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f64ed77ea70d43c1b6a47a40c14e7986232739d"/>
    <w:p>
      <w:pPr>
        <w:pStyle w:val="Heading1"/>
      </w:pPr>
      <w:r>
        <w:t xml:space="preserve">Rheinmetall AG (RHM): análisis growth, 14-oct-2026</w:t>
      </w:r>
    </w:p>
    <w:p>
      <w:pPr>
        <w:pStyle w:val="FirstParagraph"/>
      </w:pPr>
      <w:r>
        <w:rPr>
          <w:bCs/>
          <w:b/>
        </w:rPr>
        <w:t xml:space="preserve">Señal (método v7): Mantener</w:t>
      </w:r>
      <w:r>
        <w:t xml:space="preserve"> </w:t>
      </w:r>
      <w:r>
        <w:t xml:space="preserve">· Puntuación 64,3/100 · Señales de cambio de tendencia 2/8 · EV/beneficio bruto 6,4x</w:t>
      </w:r>
      <w:r>
        <w:t xml:space="preserve"> </w:t>
      </w:r>
      <w:r>
        <w:t xml:space="preserve">Precio 953,3 EUR · Objetivo 12 m 975 EUR (ponderada +3,5 %, base -2,1 %, bajista -55,4 %, alcista +73,6 %) · Compra hasta 932,9 EUR</w:t>
      </w:r>
      <w:r>
        <w:t xml:space="preserve"> </w:t>
      </w:r>
      <w:r>
        <w:t xml:space="preserve">Peso orientativo: no entra · Por qué: no compra: ponderada &lt; 5 %, base &lt; 0 %, bajista peor que -50 %</w:t>
      </w:r>
    </w:p>
    <w:p>
      <w:pPr>
        <w:pStyle w:val="BlockText"/>
      </w:pPr>
      <w:r>
        <w:rPr>
          <w:bCs/>
          <w:b/>
        </w:rPr>
        <w:t xml:space="preserve">Calculado con el método v7</w:t>
      </w:r>
      <w:r>
        <w:t xml:space="preserve"> </w:t>
      </w:r>
      <w:r>
        <w:t xml:space="preserve">(vigente desde el 14-oct tras el backtest de 71 casos,</w:t>
      </w:r>
      <w:r>
        <w:t xml:space="preserve"> </w:t>
      </w:r>
      <w:r>
        <w:rPr>
          <w:rStyle w:val="VerbatimChar"/>
        </w:rPr>
        <w:t xml:space="preserve">verticales/growth/metodo.md</w:t>
      </w:r>
      <w:r>
        <w:t xml:space="preserve"> </w:t>
      </w:r>
      <w:r>
        <w:t xml:space="preserve">§6). Si la sección 9 enseña otras cifras de valoración, son del borrador con la proyección del analista; mandan las de arriba: ventas con la regla mecánica (18190 M en el base) y múltiplo de hoy con rebaja por desaceleración (5,2x / 8,7x / 13,9x).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Rheinmetall es el gran ganador del rearme europeo: ventas +29 % en 2025 (9.935 M), +39 % en el primer semestre de 2026 y una cartera récord de 80.500 M, casi seis años de ventas [1][4].</w:t>
      </w:r>
    </w:p>
    <w:p>
      <w:pPr>
        <w:numPr>
          <w:ilvl w:val="0"/>
          <w:numId w:val="1001"/>
        </w:numPr>
        <w:pStyle w:val="Compact"/>
      </w:pPr>
      <w:r>
        <w:t xml:space="preserve">La acción ha caído ~52 % desde su máximo (~2.008 EUR) por el fin del programa de fragatas F126, la guía de 2026 recortada, un FCF del semestre de −1.616 M, el miedo a la paz en Ucrania y las dudas sobre el crecimiento después de 2030 [1][8][24].</w:t>
      </w:r>
    </w:p>
    <w:p>
      <w:pPr>
        <w:numPr>
          <w:ilvl w:val="0"/>
          <w:numId w:val="1001"/>
        </w:numPr>
        <w:pStyle w:val="Compact"/>
      </w:pPr>
      <w:r>
        <w:t xml:space="preserve">Ya no es cara en absoluto (EV/EBITDA de los próximos 12 meses ~10,8x, por debajo de Saab y en línea con Thales y BAE), y el DCF inverso solo descuenta un ~15 % anual a 10 años, muy lejos del objetivo de 50.000 M en 2030 [11][18].</w:t>
      </w:r>
    </w:p>
    <w:p>
      <w:pPr>
        <w:numPr>
          <w:ilvl w:val="0"/>
          <w:numId w:val="1001"/>
        </w:numPr>
        <w:pStyle w:val="Compact"/>
      </w:pPr>
      <w:r>
        <w:t xml:space="preserve">Pero el método growth castiga la desaceleración: con un crecimiento del 33 % hoy y del 21,5 % en 2028 (escenario base), el múltiplo base baja a 7,0x y el objetivo queda bajo el precio. Solo hay 2 de 8 señales de giro (compras del consejero delegado y pedidos nuevos); precio, revisiones, múltiplo y sentimiento siguen en contra.</w:t>
      </w:r>
    </w:p>
    <w:p>
      <w:pPr>
        <w:numPr>
          <w:ilvl w:val="0"/>
          <w:numId w:val="1001"/>
        </w:numPr>
        <w:pStyle w:val="Compact"/>
      </w:pPr>
      <w:r>
        <w:t xml:space="preserve">Conclusión: buen negocio en un mal momento de percepción; por la regla, no entra. Se vigila por debajo de 677 EUR o si el múltiplo, la media de 200 sesiones y las revisiones giran (Arminius en diciembre, FCF del 2S).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Rheinmetall (Düsseldorf) es ya una empresa 100 % de defensa: el negocio civil (Power Systems) se vende y figura como actividad interrumpida desde las cuentas de 2025 [4]. Cinco divisiones:</w:t>
      </w:r>
      <w:r>
        <w:t xml:space="preserve"> </w:t>
      </w:r>
      <w:r>
        <w:rPr>
          <w:bCs/>
          <w:b/>
        </w:rPr>
        <w:t xml:space="preserve">vehículos</w:t>
      </w:r>
      <w:r>
        <w:t xml:space="preserve"> </w:t>
      </w:r>
      <w:r>
        <w:t xml:space="preserve">(Lynx, Panther, Boxer con KNDS, camiones militares con MAN, Puma con KNDS),</w:t>
      </w:r>
      <w:r>
        <w:t xml:space="preserve"> </w:t>
      </w:r>
      <w:r>
        <w:rPr>
          <w:bCs/>
          <w:b/>
        </w:rPr>
        <w:t xml:space="preserve">armas y munición</w:t>
      </w:r>
      <w:r>
        <w:t xml:space="preserve"> </w:t>
      </w:r>
      <w:r>
        <w:t xml:space="preserve">(líder europeo en munición de 155 mm, fábrica nueva de Unterlüß),</w:t>
      </w:r>
      <w:r>
        <w:t xml:space="preserve"> </w:t>
      </w:r>
      <w:r>
        <w:rPr>
          <w:bCs/>
          <w:b/>
        </w:rPr>
        <w:t xml:space="preserve">sistemas de defensa aérea</w:t>
      </w:r>
      <w:r>
        <w:t xml:space="preserve"> </w:t>
      </w:r>
      <w:r>
        <w:t xml:space="preserve">(Skyranger, Skynex),</w:t>
      </w:r>
      <w:r>
        <w:t xml:space="preserve"> </w:t>
      </w:r>
      <w:r>
        <w:rPr>
          <w:bCs/>
          <w:b/>
        </w:rPr>
        <w:t xml:space="preserve">sistemas digitales</w:t>
      </w:r>
      <w:r>
        <w:t xml:space="preserve"> </w:t>
      </w:r>
      <w:r>
        <w:t xml:space="preserve">(electrónica, drones, C4I) y</w:t>
      </w:r>
      <w:r>
        <w:t xml:space="preserve"> </w:t>
      </w:r>
      <w:r>
        <w:rPr>
          <w:bCs/>
          <w:b/>
        </w:rPr>
        <w:t xml:space="preserve">naval</w:t>
      </w:r>
      <w:r>
        <w:t xml:space="preserve">, nueva tras la compra de Naval Vessels Lürssen (NVL) [1][18].</w:t>
      </w:r>
    </w:p>
    <w:p>
      <w:pPr>
        <w:pStyle w:val="BodyText"/>
      </w:pPr>
      <w:r>
        <w:t xml:space="preserve">Clientes: la Bundeswehr (el mayor), otros ejércitos de la OTAN y de la UE (Rumanía, Hungría, Italia vía la empresa conjunta con Leonardo, Países Bajos, Reino Unido), Ucrania y EE. UU. (camiones militares, American Rheinmetall) [16].</w:t>
      </w:r>
    </w:p>
    <w:p>
      <w:pPr>
        <w:pStyle w:val="BodyText"/>
      </w:pPr>
      <w:r>
        <w:t xml:space="preserve">Qué tiene de nuevo: no es una tecnología disruptiva sino</w:t>
      </w:r>
      <w:r>
        <w:t xml:space="preserve"> </w:t>
      </w:r>
      <w:r>
        <w:rPr>
          <w:bCs/>
          <w:b/>
        </w:rPr>
        <w:t xml:space="preserve">capacidad industrial a escala</w:t>
      </w:r>
      <w:r>
        <w:t xml:space="preserve"> </w:t>
      </w:r>
      <w:r>
        <w:t xml:space="preserve">(munición, vehículos) en un mercado que llevaba 30 años subinvirtiendo, más un giro a defensa aérea, drones y espacio. Buena tecnología, pero con alternativas (KNDS, BAE, Hanwha, CSG):</w:t>
      </w:r>
      <w:r>
        <w:t xml:space="preserve"> </w:t>
      </w:r>
      <w:r>
        <w:rPr>
          <w:bCs/>
          <w:b/>
        </w:rPr>
        <w:t xml:space="preserve">tecnología 3/5</w:t>
      </w:r>
      <w:r>
        <w:t xml:space="preserve">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(reexpresado, sin civil)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+29 % (≈0,5 pp por la compra de LOC)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1T25 (derivado)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 (derivado)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2S25 (derivado: 2025 − 1S25)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~+31 % (estimado)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+8 % (camiones retrasados al 2T)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Últimos 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~11.395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~+33 % (estimado)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~19 % (EBIT ~2.174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13.700-14.200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+38/+43 %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 propio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~+27 %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 propio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~+21,5 %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propio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Crecimiento de los últimos 12 meses ~33 %</w:t>
      </w:r>
      <w:r>
        <w:t xml:space="preserve"> </w:t>
      </w:r>
      <w:r>
        <w:t xml:space="preserve">(estimación: la empresa no publica el desglose trimestral reexpresado sin el negocio civil para el 3T y 4T25; el resultado es robusto entre el 31 % y el 37 % con cualquier supuesto razonable para el 1S24).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CAGR propio a 2 años 24 %</w:t>
      </w:r>
      <w:r>
        <w:t xml:space="preserve"> </w:t>
      </w:r>
      <w:r>
        <w:t xml:space="preserve">(13.950 M en 2026 → 21.500 M en 2028, escenario base).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Aceleración +8 pp</w:t>
      </w:r>
      <w:r>
        <w:t xml:space="preserve"> </w:t>
      </w:r>
      <w:r>
        <w:t xml:space="preserve">(prudente): el 2T26 (+69 %) frente a la media de los cuatro trimestres anteriores sale +45 pp o más, pero está inflado por las entregas desplazadas del 1T; con el semestre entero (+39 %) frente al 2S25 (~+31 %) son unos +8 pp. Puntúa igual (5/5) en ambos casos.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Retención neta</w:t>
      </w:r>
      <w:r>
        <w:t xml:space="preserve">: no aplica (negocio de contratos públicos); la medida equivalente es la cartera: 80.500 M a 30-jun (63.800 M a cierre de 2025), con 16.200 M de nominaciones en el semestre [1][4].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Guía</w:t>
      </w:r>
      <w:r>
        <w:t xml:space="preserve">: 2026 recortada en 300 M por el F126 (de 14.000-14.500 a 13.700-14.200 M), margen ~19 % mantenido. Objetivo 2030 (Capital Markets Day de nov-2025): ~50.000 M de ventas y margen operativo &gt; 20 % [1][18]. JPMorgan señala que el objetivo de pedidos pasó de 135.000 M a «más de 100.000 M» [9].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Mercado alcanzable 2028: ~150.000 M EUR.</w:t>
      </w:r>
      <w:r>
        <w:t xml:space="preserve"> </w:t>
      </w:r>
      <w:r>
        <w:t xml:space="preserve">Base: la adquisición de equipo de los países de la UE fue de 115.000 M en 2025 (Agencia Europea de Defensa) dentro de un gasto total de 418.000 M; McKinsey estima ~500.000 M de gasto europeo en 2028 y Gabelli ~155.000 M USD de mercado europeo de equipo en 2024 [20]. Proyectado a 2028 con un ~10 % anual da ~150.000 M; se excluyen aviones de combate y misiles de largo alcance (no son mercado de Rheinmetall) y se compensan con Reino Unido, Noruega, Ucrania y EE. UU., que sí lo son.</w:t>
      </w:r>
      <w:r>
        <w:t xml:space="preserve"> </w:t>
      </w:r>
      <w:r>
        <w:rPr>
          <w:bCs/>
          <w:b/>
        </w:rPr>
        <w:t xml:space="preserve">Penetración: 7,6 %.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Cuota y posición</w:t>
      </w:r>
      <w:r>
        <w:t xml:space="preserve">: líder europeo en munición de artillería y en vehículos de combate de cadenas y ruedas (Lynx, Boxer, Puma), creciendo más que el mercado (+29 % frente a +20 % del gasto de la UE en 2025) [4][20]. Pierde en naval (F126 cancelado, Alemania elige buques más pequeños de TKMS) [24].</w:t>
      </w:r>
      <w:r>
        <w:t xml:space="preserve"> </w:t>
      </w:r>
      <w:r>
        <w:rPr>
          <w:bCs/>
          <w:b/>
        </w:rPr>
        <w:t xml:space="preserve">Posición 4/5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Rivales</w:t>
      </w:r>
      <w:r>
        <w:t xml:space="preserve">: KNDS (Leopard, Boxer y Puma a medias), BAE Systems, CSG (munición), Hanwha (K9, Redback), Saab y Kongsberg (defensa aérea), Thales y Leonardo (electrónica; Leonardo es socio en Italia).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 qué gana</w:t>
      </w:r>
      <w:r>
        <w:t xml:space="preserve">: capacidad instalada y velocidad (fábricas de munición en Alemania, Hungría, Lituania, Rumanía), relación con Berlín y producción local en cada país cliente.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¿Sí/no?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2026 recortada; JPMorgan espera previsiones menores; Berenberg baja a Mantener (objetivo de 1.600 a 1.020 EUR) y mwb a Vender (1.050) en septiembre-octubre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[1][7][8][9]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953 EUR frente a una media exponencial de 200 sesiones de ~1.324 EUR a 31-ago, bajando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−15/−20 % en seis meses y −39 % en el año, con el DAX cerca de máximos (~25.400)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 próximos 12 meses ~10,7-10,8x, cerca del mínimo del año (~20x a cierre de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 +3,6 pp en el 2T26 y +2,9 pp en el semestre (no llega a +5 pp); FCF del semestre −1.616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Foros neutros o negativos, más cortos; rebajas de analistas en octubre; solo titulares de «¿suelo?»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[12][13]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de inversores de referencia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Papperger compra ~3,04 M EUR a ~955 EUR (25-jun) y 0,5 M EUR a 950 EUR (29-sep); compran también consejeros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[14][15]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 (6 meses)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Rumanía (~5.700 M), Puma (~3.500 M), Skynex (jul.), cartera récord de 80.500 M; Arminius (Boxer, 12.400 M en firme) en el Bundestag el 9-dic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[1][16][17]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Al contrario: la acción ha bajado a la mitad y la conversación es de capitulación y de «¿suelo?». Bloque C: 5/20.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Margen bruto (ventas menos materiales) ~48 %</w:t>
      </w:r>
      <w:r>
        <w:t xml:space="preserve"> </w:t>
      </w:r>
      <w:r>
        <w:t xml:space="preserve">(48,3 % a 12 meses a mar-2026 y 49,8 % en 2025, según Macrotrends; Rheinmetall presenta la cuenta por naturaleza y no publica «margen bruto») [23]. Puntúa 3/5.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Margen operativo</w:t>
      </w:r>
      <w:r>
        <w:t xml:space="preserve">: 18,5 % en 2025, 15,0 % en el 1S26 y ~19 % de guía para el año; objetivo &gt; 20 % en 2030 [1][4][18]. Es una empresa industrial rentable, no un growth en pérdidas.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FCF</w:t>
      </w:r>
      <w:r>
        <w:t xml:space="preserve">: el FCF operativo fue 1.218 M en 2025, pero −1.616 M en el 1S26 (frente a −631 M en el 1S25) por anticipos retrasados, inventario y capex de capacidad [1][4][5].</w:t>
      </w:r>
      <w:r>
        <w:t xml:space="preserve"> </w:t>
      </w:r>
      <w:r>
        <w:rPr>
          <w:bCs/>
          <w:b/>
        </w:rPr>
        <w:t xml:space="preserve">FCF de 12 meses ≈ +233 M (margen ~2 %)</w:t>
      </w:r>
      <w:r>
        <w:t xml:space="preserve">: positivo, pero en retroceso. El cobro del 2S (históricamente fuerte por los anticipos) es la clave de 2026.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Regla del 40: 35</w:t>
      </w:r>
      <w:r>
        <w:t xml:space="preserve"> </w:t>
      </w:r>
      <w:r>
        <w:t xml:space="preserve">(33 % de crecimiento + 2 % de margen FCF). Puntúa 2/5.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claro en el resultado (2T26: ventas +69 %, resultado operativo +115 %) [2]; no en caja, por el capex (que la empresa ha rebajado del ~16 % a 8-9 % de las ventas según la prensa) y el circulante.</w:t>
      </w:r>
    </w:p>
    <w:p>
      <w:pPr>
        <w:numPr>
          <w:ilvl w:val="0"/>
          <w:numId w:val="1004"/>
        </w:numPr>
        <w:pStyle w:val="Compact"/>
      </w:pPr>
      <w:r>
        <w:t xml:space="preserve">Camino a la rentabilidad: «FCF positivo» (4/5). Bloque D: 9/15.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Posición financiera neta ~−2.700 M a 30-jun-2026</w:t>
      </w:r>
      <w:r>
        <w:t xml:space="preserve"> </w:t>
      </w:r>
      <w:r>
        <w:t xml:space="preserve">(tras comprar NVL), con un ratio de capital del 28 % (resumen de Quartr del 2T26; no he podido abrir el informe semestral para comprobar el desglose de caja y deuda) [1][16]. En el JSON va como</w:t>
      </w:r>
      <w:r>
        <w:t xml:space="preserve"> </w:t>
      </w:r>
      <w:r>
        <w:rPr>
          <w:rStyle w:val="VerbatimChar"/>
        </w:rPr>
        <w:t xml:space="preserve">caja_m</w:t>
      </w:r>
      <w:r>
        <w:t xml:space="preserve"> </w:t>
      </w:r>
      <w:r>
        <w:t xml:space="preserve">0 y</w:t>
      </w:r>
      <w:r>
        <w:t xml:space="preserve"> </w:t>
      </w:r>
      <w:r>
        <w:rPr>
          <w:rStyle w:val="VerbatimChar"/>
        </w:rPr>
        <w:t xml:space="preserve">deuda_m</w:t>
      </w:r>
      <w:r>
        <w:t xml:space="preserve"> </w:t>
      </w:r>
      <w:r>
        <w:t xml:space="preserve">2.700 (deuda neta).</w:t>
      </w:r>
    </w:p>
    <w:p>
      <w:pPr>
        <w:numPr>
          <w:ilvl w:val="0"/>
          <w:numId w:val="1005"/>
        </w:numPr>
        <w:pStyle w:val="Compact"/>
      </w:pPr>
      <w:r>
        <w:t xml:space="preserve">Bono de 500 M al 3,375 % con vencimiento en 2031 (mayo-2026), el primero desde 2010 [19].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Convertibles</w:t>
      </w:r>
      <w:r>
        <w:t xml:space="preserve"> </w:t>
      </w:r>
      <w:r>
        <w:t xml:space="preserve">2028/2030 por 1.000 M (precio de conversión 307,80 EUR, muy dentro del dinero). Uso</w:t>
      </w:r>
      <w:r>
        <w:t xml:space="preserve"> </w:t>
      </w:r>
      <w:r>
        <w:rPr>
          <w:bCs/>
          <w:b/>
        </w:rPr>
        <w:t xml:space="preserve">46,0 M de acciones diluidas</w:t>
      </w:r>
      <w:r>
        <w:t xml:space="preserve"> </w:t>
      </w:r>
      <w:r>
        <w:t xml:space="preserve">(capitalización de wallstreet-online a 1.167 EUR) frente a 43,56 M de acciones de los estatutos [19]. Si la deuda neta incluye aún los convertibles, el cálculo es algo conservador (cuenta ~1.000 M dos veces, ~20 EUR por acción).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Pista: FCF positivo.</w:t>
      </w:r>
      <w:r>
        <w:t xml:space="preserve"> </w:t>
      </w:r>
      <w:r>
        <w:rPr>
          <w:bCs/>
          <w:b/>
        </w:rPr>
        <w:t xml:space="preserve">Dilución anual ~0 %</w:t>
      </w:r>
      <w:r>
        <w:t xml:space="preserve"> </w:t>
      </w:r>
      <w:r>
        <w:t xml:space="preserve">(las acciones diluidas incluso bajan: 233 M de ADR a 229 M entre dic-25 y mar-26). Pagos en acciones: no relevantes. Bloque E: 10/10.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Armin Papperger</w:t>
      </w:r>
      <w:r>
        <w:t xml:space="preserve">, consejero delegado desde 2013, ha llevado la empresa de ~2.700 M a ~14.000 M de ventas. Compra acciones con su dinero en la caída (≈3,5 M EUR en 2026) [14][15]. Asignación de capital agresiva pero coherente (LOC en EE. UU., NVL, fábricas de munición); dividendo creciente (11,50 EUR por 2025). Riesgo de sucesión y de «empresa de un solo hombre».</w:t>
      </w:r>
      <w:r>
        <w:t xml:space="preserve"> </w:t>
      </w:r>
      <w:r>
        <w:rPr>
          <w:bCs/>
          <w:b/>
        </w:rPr>
        <w:t xml:space="preserve">Dirección 4/5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Historial: 3/5.</w:t>
      </w:r>
      <w:r>
        <w:t xml:space="preserve"> </w:t>
      </w:r>
      <w:r>
        <w:t xml:space="preserve">Cumplió 2025 (+29 % frente a la guía del 25-30 %, margen 18,5 %), pero el 3T25 y el 1T26 quedaron bajo el consenso por retrasos, la guía de 2026 se presentó un 12 % bajo el consenso y luego se recortó, y el objetivo de pedidos bajó de 135.000 a &gt; 100.000 M [2][8][9]. El 2T26 batió con holgura.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Métrica: EV/EBITDA, no EV/ventas.</w:t>
      </w:r>
      <w:r>
        <w:t xml:space="preserve"> </w:t>
      </w:r>
      <w:r>
        <w:t xml:space="preserve">Rheinmetall gana dinero de forma estable (margen operativo 18-19 %) y sus márgenes son de industria (~25 % de EBITDA), muy por debajo de los de un software. EV/ventas premiaría o castigaría el mix de margen y no es como la valora el mercado. Entre EV/EBITDA y EV/EBIT elijo</w:t>
      </w:r>
      <w:r>
        <w:t xml:space="preserve"> </w:t>
      </w:r>
      <w:r>
        <w:rPr>
          <w:bCs/>
          <w:b/>
        </w:rPr>
        <w:t xml:space="preserve">EV/EBITDA</w:t>
      </w:r>
      <w:r>
        <w:t xml:space="preserve"> </w:t>
      </w:r>
      <w:r>
        <w:t xml:space="preserve">porque hay datos comparables fechados para Rheinmetall y sus pares (MarketScreener, 7-oct-2026 [11]); EV/EBIT habría sido equivalente (amortización ~5-6 % de las ventas y creciendo por el capex). En el JSON,</w:t>
      </w:r>
      <w:r>
        <w:t xml:space="preserve"> </w:t>
      </w:r>
      <w:r>
        <w:rPr>
          <w:rStyle w:val="VerbatimChar"/>
        </w:rPr>
        <w:t xml:space="preserve">ventas_objetivo_m</w:t>
      </w:r>
      <w:r>
        <w:t xml:space="preserve"> </w:t>
      </w:r>
      <w:r>
        <w:t xml:space="preserve">lleva el</w:t>
      </w:r>
      <w:r>
        <w:t xml:space="preserve"> </w:t>
      </w:r>
      <w:r>
        <w:rPr>
          <w:bCs/>
          <w:b/>
        </w:rPr>
        <w:t xml:space="preserve">EBITDA de 2028</w:t>
      </w:r>
      <w:r>
        <w:t xml:space="preserve"> </w:t>
      </w:r>
      <w:r>
        <w:t xml:space="preserve">de cada escenario.</w:t>
      </w:r>
    </w:p>
    <w:p>
      <w:pPr>
        <w:pStyle w:val="BodyText"/>
      </w:pPr>
      <w:r>
        <w:t xml:space="preserve">Supuestos (2028, propios; el consenso de ventas de 2028 no aparece de forma fiable: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 (incl. 1,2 % de dividendo)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302,9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−67,0 %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759,2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−19,2 %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1.396,2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+47,7 %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804,4 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−14,4 %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Múltiplos</w:t>
      </w:r>
      <w:r>
        <w:t xml:space="preserve">: actual</w:t>
      </w:r>
      <w:r>
        <w:t xml:space="preserve"> </w:t>
      </w:r>
      <w:r>
        <w:rPr>
          <w:bCs/>
          <w:b/>
        </w:rPr>
        <w:t xml:space="preserve">10,8x</w:t>
      </w:r>
      <w:r>
        <w:t xml:space="preserve"> </w:t>
      </w:r>
      <w:r>
        <w:t xml:space="preserve">(EV ≈ 46.550 M = 953,30 × 46,0 M + 2.700 M de deuda neta, sobre un EBITDA de los 12 meses siguientes ~4.310 M; MarketScreener da 10,7x) [11].</w:t>
      </w:r>
      <w:r>
        <w:t xml:space="preserve"> </w:t>
      </w:r>
      <w:r>
        <w:rPr>
          <w:bCs/>
          <w:b/>
        </w:rPr>
        <w:t xml:space="preserve">Mediana de 3 años ~14x y mínimo ~7x</w:t>
      </w:r>
      <w:r>
        <w:t xml:space="preserve">: estimación propia (no hay serie publicada a mi alcance) con precios de cierre y EBITDA del año siguiente: ~7x a finales de 2023, ~11x a finales de 2024, ~21x a finales de 2025 (1.561 EUR), ~29x en el máximo de oct-2025 y ~11x hoy.</w:t>
      </w:r>
      <w:r>
        <w:t xml:space="preserve"> </w:t>
      </w:r>
      <w:r>
        <w:rPr>
          <w:bCs/>
          <w:b/>
        </w:rPr>
        <w:t xml:space="preserve">Comparables</w:t>
      </w:r>
      <w:r>
        <w:t xml:space="preserve"> </w:t>
      </w:r>
      <w:r>
        <w:t xml:space="preserve">(EV/EBITDA próximos 12 meses): Saab 18,9x, Thales 11,3x, BAE 11,4x, Leonardo 8,7x, Kongsberg ~21x;</w:t>
      </w:r>
      <w:r>
        <w:t xml:space="preserve"> </w:t>
      </w:r>
      <w:r>
        <w:rPr>
          <w:bCs/>
          <w:b/>
        </w:rPr>
        <w:t xml:space="preserve">mediana 11,4x</w:t>
      </w:r>
      <w:r>
        <w:t xml:space="preserve"> </w:t>
      </w:r>
      <w:r>
        <w:t xml:space="preserve">[11].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Rebaja por desaceleración</w:t>
      </w:r>
      <w:r>
        <w:t xml:space="preserve">: crecimiento de 12 meses 33 % → 21,5 % en 2028: factor 0,652. Base = min(10,8; 14) × 0,652 =</w:t>
      </w:r>
      <w:r>
        <w:t xml:space="preserve"> </w:t>
      </w:r>
      <w:r>
        <w:rPr>
          <w:bCs/>
          <w:b/>
        </w:rPr>
        <w:t xml:space="preserve">7,0x</w:t>
      </w:r>
      <w:r>
        <w:t xml:space="preserve">. Bajista = min(7,0 × 0,6; 7) =</w:t>
      </w:r>
      <w:r>
        <w:t xml:space="preserve"> </w:t>
      </w:r>
      <w:r>
        <w:rPr>
          <w:bCs/>
          <w:b/>
        </w:rPr>
        <w:t xml:space="preserve">4,2x</w:t>
      </w:r>
      <w:r>
        <w:t xml:space="preserve">. Alcista = max(7,0; 14; 11,4) con techo 7,0 × 1,4 =</w:t>
      </w:r>
      <w:r>
        <w:t xml:space="preserve"> </w:t>
      </w:r>
      <w:r>
        <w:rPr>
          <w:bCs/>
          <w:b/>
        </w:rPr>
        <w:t xml:space="preserve">9,9x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Probabilidades 25/50/25</w:t>
      </w:r>
      <w:r>
        <w:t xml:space="preserve">: FCF positivo, sin dependencia de un solo producto; la Bundeswehr pesa mucho, pero hay cartera repartida en varios países.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Asimetría 0,7</w:t>
      </w:r>
      <w:r>
        <w:t xml:space="preserve"> </w:t>
      </w:r>
      <w:r>
        <w:t xml:space="preserve">(alcista +47,7 % frente a bajista −67,0 %).</w:t>
      </w:r>
      <w:r>
        <w:t xml:space="preserve"> </w:t>
      </w:r>
      <w:r>
        <w:rPr>
          <w:bCs/>
          <w:b/>
        </w:rPr>
        <w:t xml:space="preserve">Precio máximo de compra 677,1 EUR.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Contraste con el consenso</w:t>
      </w:r>
      <w:r>
        <w:t xml:space="preserve">: objetivo medio de los analistas ~1.635 EUR (rango 1.300-2.000; 6 comprar, 1 mantener) [22], pero viene de antes de los recortes de octubre (Berenberg 1.020, mwb 1.050, JPMorgan 1.350, Bernstein 1.900) [7][8][9]. JPMorgan la sitúa a 23,7x el beneficio de 2027 y 18x el de 2028 [21], lo que implica unas ventas en 2028 del orden de 19.000-20.000 M:</w:t>
      </w:r>
      <w:r>
        <w:t xml:space="preserve"> </w:t>
      </w:r>
      <w:r>
        <w:rPr>
          <w:bCs/>
          <w:b/>
        </w:rPr>
        <w:t xml:space="preserve">mi base (21.500 M) no es más pesimista que el mercado</w:t>
      </w:r>
      <w:r>
        <w:t xml:space="preserve">; lo que la hunde es el múltiplo.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Sensibilidad (no cambia la señal, la explica)</w:t>
      </w:r>
      <w:r>
        <w:t xml:space="preserve">: sin la rebaja por desaceleración (10,8x sobre el EBITDA base) el precio base sería ~1.200 EUR (+27 %). Todo el «Vender» viene de que el método aplica a una industrial ya barata la compresión de múltiplos de un growth.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DCF inverso</w:t>
      </w:r>
      <w:r>
        <w:t xml:space="preserve">: el precio de hoy descuenta un</w:t>
      </w:r>
      <w:r>
        <w:t xml:space="preserve"> </w:t>
      </w:r>
      <w:r>
        <w:rPr>
          <w:bCs/>
          <w:b/>
        </w:rPr>
        <w:t xml:space="preserve">~15 % anual de crecimiento de ventas a 10 años</w:t>
      </w:r>
      <w:r>
        <w:t xml:space="preserve"> </w:t>
      </w:r>
      <w:r>
        <w:t xml:space="preserve">(coste de capital 9 %, margen FCF a largo plazo 10 %, crecimiento terminal 2,5 %). Es</w:t>
      </w:r>
      <w:r>
        <w:t xml:space="preserve"> </w:t>
      </w:r>
      <w:r>
        <w:rPr>
          <w:bCs/>
          <w:b/>
        </w:rPr>
        <w:t xml:space="preserve">razonable e incluso exigente poco</w:t>
      </w:r>
      <w:r>
        <w:t xml:space="preserve">: la cartera ya cubre ~6 años de ventas y el plan a 2030 supone ~38 % anual. Por valor intrínseco a largo plazo la acción no parece cara; por la regla de 12 meses, sí.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Foros alemanes (wallstreet-online)</w:t>
      </w:r>
      <w:r>
        <w:t xml:space="preserve">: resumen de la comunidad «neutral» a 8-sep; se discute si 1.000 EUR es soporte, la estocástica y el aumento de posiciones cortas [12].</w:t>
      </w:r>
      <w:r>
        <w:t xml:space="preserve"> </w:t>
      </w:r>
      <w:r>
        <w:rPr>
          <w:bCs/>
          <w:b/>
        </w:rPr>
        <w:t xml:space="preserve">Börse-Express / Goldesel / 4investors</w:t>
      </w:r>
      <w:r>
        <w:t xml:space="preserve">: titulares de «¿Es por fin el suelo?», «Insiderkäufe stützen», y a la vez «Albtraum» y «hier rast sie abwärts» [13][15].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TradingView / getquin</w:t>
      </w:r>
      <w:r>
        <w:t xml:space="preserve">: dividido; unos compran porque compra Papperger, otros ven el gráfico bajista y la guía recortada [13].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Reddit (r/stocks, r/investing, r/eupersonalfinance) y Seeking Alpha</w:t>
      </w:r>
      <w:r>
        <w:t xml:space="preserve">: no he encontrado hilos ni artículos recientes en las búsquedas (en sí mismo es un dato: el interés minorista anglosajón se ha enfriado mucho desde el boom de 2025).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Castellano (Rankia, Investing ES)</w:t>
      </w:r>
      <w:r>
        <w:t xml:space="preserve">: sin hilos recientes localizados; la prensa (Bolsamanía, CapitalBolsa con Bankinter, XTB) habla de «resultados sobresalientes que no bastan» y de que «los inversores ya no se conforman con titulares de gasto militar» [3].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sentimiento es peor que el negocio (ventas +69 % en el 2T26, cartera récord). Eso es lo que precede a un giro, pero el giro aún no está en el precio ni en las revisiones: la señal 6 no se marca.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Paz o alto el fuego en Ucrania</w:t>
      </w:r>
      <w:r>
        <w:t xml:space="preserve"> </w:t>
      </w:r>
      <w:r>
        <w:t xml:space="preserve">y relajación del gasto (ya provocó caídas en nov-2025) [24].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Retrasos y recortes de la Bundeswehr</w:t>
      </w:r>
      <w:r>
        <w:t xml:space="preserve">: presupuesto, munición desde 2027, Arminius (si el Bundestag lo aplaza el 9-dic) [17].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Caja</w:t>
      </w:r>
      <w:r>
        <w:t xml:space="preserve">: FCF del 1S26 de −1.616 M; si el 2S no recupera los anticipos, el FCF anual sería negativo y cambiaría la pista y la puntuación.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Ejecución y credibilidad</w:t>
      </w:r>
      <w:r>
        <w:t xml:space="preserve">: dos fallos trimestrales y una guía recortada en 12 meses; el plan de 50.000 M en 2030 depende de capacidad, personal y proveedores.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Concentración</w:t>
      </w:r>
      <w:r>
        <w:t xml:space="preserve"> </w:t>
      </w:r>
      <w:r>
        <w:t xml:space="preserve">en el Estado alemán; riesgo político y de exportación (licencias).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Crecimiento después de 2030</w:t>
      </w:r>
      <w:r>
        <w:t xml:space="preserve"> </w:t>
      </w:r>
      <w:r>
        <w:t xml:space="preserve">(argumento de Berenberg) y</w:t>
      </w:r>
      <w:r>
        <w:t xml:space="preserve"> </w:t>
      </w:r>
      <w:r>
        <w:rPr>
          <w:bCs/>
          <w:b/>
        </w:rPr>
        <w:t xml:space="preserve">competencia</w:t>
      </w:r>
      <w:r>
        <w:t xml:space="preserve"> </w:t>
      </w:r>
      <w:r>
        <w:t xml:space="preserve">de KNDS, Hanwha y CSG; tecnologías nuevas (drones) que restan peso a blindados y artillería [7][21].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Reversión del sentimiento</w:t>
      </w:r>
      <w:r>
        <w:t xml:space="preserve">: ya ha ocurrido (−52 %); el riesgo ahora es el contrario, perderse el rebote.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Señales de venta concretas (si la tuviera)</w:t>
      </w:r>
      <w:r>
        <w:t xml:space="preserve">: dos trimestres seguidos con crecimiento &lt; 15 %, FCF anual 2026 negativo, cancelación de Arminius o nuevo recorte de guía.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5-nov-2026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3T26 (crecimiento, FCF, confirmación de la guía) 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9-dic-2026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Votación del Bundestag sobre Arminius (Boxer, 12.400 M en firme; firma 5-10 días después) [17]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Dic-2026 / ene-2027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 alemán 2027 y nuevos pedidos de munición; cierre de la venta del negocio civil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 2026 y guía de 2027; FCF del 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Negociaciones de paz en Ucrania</w:t>
            </w:r>
          </w:p>
        </w:tc>
      </w:tr>
    </w:tbl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Cartera value propuesta (~29.800 EUR)</w:t>
      </w:r>
      <w:r>
        <w:t xml:space="preserve">: IGLN (oro), Edenred, Daiichi Sankyo, Uber, Viscofan, Alphabet, Netflix, SAP, Intuit, Nemetschek, LVMH y ~6.300 EUR de liquidez. No hay ninguna empresa de defensa ni industrial pesada: Rheinmetall diversificaría (gasto público europeo, ciclo propio, poco correlacionado con el software y el lujo).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Por el método, no merece hueco hoy</w:t>
      </w:r>
      <w:r>
        <w:t xml:space="preserve">: señal Vender (ponderada −14,4 %, base −19,2 %, solo 2 de 8 señales, puntuación 64,3 &lt; 70).</w:t>
      </w:r>
      <w:r>
        <w:t xml:space="preserve"> </w:t>
      </w:r>
      <w:r>
        <w:rPr>
          <w:bCs/>
          <w:b/>
        </w:rPr>
        <w:t xml:space="preserve">Peso orientativo: 0 %.</w:t>
      </w:r>
      <w:r>
        <w:t xml:space="preserve"> </w:t>
      </w:r>
      <w:r>
        <w:t xml:space="preserve">La liquidez se queda para los suplentes value.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Cuándo podría entrar</w:t>
      </w:r>
      <w:r>
        <w:t xml:space="preserve">: si cae por debajo de</w:t>
      </w:r>
      <w:r>
        <w:t xml:space="preserve"> </w:t>
      </w:r>
      <w:r>
        <w:rPr>
          <w:bCs/>
          <w:b/>
        </w:rPr>
        <w:t xml:space="preserve">677 EUR</w:t>
      </w:r>
      <w:r>
        <w:t xml:space="preserve"> </w:t>
      </w:r>
      <w:r>
        <w:t xml:space="preserve">(precio máximo de compra) sin cambio de tesis, o si se dan a la vez una subida del múltiplo (≥ 20 % sobre el mínimo, ~13x), el precio sobre la media de 200 sesiones y revisiones al alza (por ejemplo, tras Arminius y un 2S con caja fuerte), y el recálculo da ponderada ≥ 20 %. En ese caso entraría como growth de convicción baja:</w:t>
      </w:r>
      <w:r>
        <w:t xml:space="preserve"> </w:t>
      </w:r>
      <w:r>
        <w:rPr>
          <w:bCs/>
          <w:b/>
        </w:rPr>
        <w:t xml:space="preserve">3,5 % de la cartera (~1.040 EUR, por encima del mínimo de 1.000 EUR)</w:t>
      </w:r>
      <w:r>
        <w:t xml:space="preserve">, en dos tramos (mitad ya, mitad tras los resultados de mar-2027 o con una caída del 10 %), pagado con liquidez.</w:t>
      </w:r>
    </w:p>
    <w:p>
      <w:pPr>
        <w:numPr>
          <w:ilvl w:val="0"/>
          <w:numId w:val="1010"/>
        </w:numPr>
        <w:pStyle w:val="Compact"/>
      </w:pPr>
      <w:r>
        <w:t xml:space="preserve">Bolsillo growth (≤ 20 % de la cartera, ≤ ~5.960 EUR): hoy sin ocupar por esta empresa.</w:t>
      </w:r>
    </w:p>
    <w:p>
      <w:pPr>
        <w:numPr>
          <w:ilvl w:val="0"/>
          <w:numId w:val="1010"/>
        </w:numPr>
        <w:pStyle w:val="Compact"/>
      </w:pPr>
      <w:r>
        <w:t xml:space="preserve">Nota: Rheinmetall no tiene informe value en el repositorio; la regla value (PER, ROIC − WACC ≥ 5) quizá la trataría mejor que la regla growth, porque es una industrial rentable con un crecimiento alto. Si interesa, conviene un análisis value aparte.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~33 % (4), CAGR propio 2 años 24 % (3), aceleración +8 pp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7,6 % (3), tecnología 3, posición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señales (directivos, catalizador);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~48 % (3), regla del 40 = 35 (2), FCF positivo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positivo, dilución ~0 %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3, dirección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64,3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Rheinmetall, Half-Yearly Financial Report H1 2026 y nota de prensa (6-ago-2026), rheinmetall.com</w:t>
      </w:r>
      <w:r>
        <w:t xml:space="preserve"> </w:t>
      </w:r>
      <w:r>
        <w:t xml:space="preserve">[2] Rheinmetall, EQS ad hoc del 2T26 (jul-2026), live.deutsche-boerse.com; Quarterly Statement Q1 2026 (7-may-2026)</w:t>
      </w:r>
      <w:r>
        <w:t xml:space="preserve"> </w:t>
      </w:r>
      <w:r>
        <w:t xml:space="preserve">[3] Bolsamanía / Europa Press (6-ago-2026); CapitalBolsa con Bankinter (6-ago-2026); XTB Latam (6-ago-2026)</w:t>
      </w:r>
      <w:r>
        <w:t xml:space="preserve"> </w:t>
      </w:r>
      <w:r>
        <w:t xml:space="preserve">[4] Rheinmetall, «Rheinmetall presents annual report for 2025» (11-mar-2026); EDR Magazine, Q4 2025</w:t>
      </w:r>
      <w:r>
        <w:t xml:space="preserve"> </w:t>
      </w:r>
      <w:r>
        <w:t xml:space="preserve">[5] Rheinmetall, Half-Yearly Financial Report H1 2025 (7-ago-2025)</w:t>
      </w:r>
      <w:r>
        <w:t xml:space="preserve"> </w:t>
      </w:r>
      <w:r>
        <w:t xml:space="preserve">[6] Börse Stuttgart, boersennews.de y kapitalmarktexperten.de, cotización del 13 y 14-oct-2026</w:t>
      </w:r>
      <w:r>
        <w:t xml:space="preserve"> </w:t>
      </w:r>
      <w:r>
        <w:t xml:space="preserve">[7] goldesel.de (~12-oct-2026), Berenberg rebaja a Mantener (1.020 EUR); finanzen.net</w:t>
      </w:r>
      <w:r>
        <w:t xml:space="preserve"> </w:t>
      </w:r>
      <w:r>
        <w:t xml:space="preserve">[8] marketscreener.com (DE), «Rheinmetall fällt erneut…» (sep-2026)</w:t>
      </w:r>
      <w:r>
        <w:t xml:space="preserve"> </w:t>
      </w:r>
      <w:r>
        <w:t xml:space="preserve">[9] finanzen.net / finanzen.at, JPMorgan Neutral, 1.350 EUR (6-ago-2026)</w:t>
      </w:r>
      <w:r>
        <w:t xml:space="preserve"> </w:t>
      </w:r>
      <w:r>
        <w:t xml:space="preserve">[10] BNP Paribas, Daily Aktien (14 y 31-ago-2026)</w:t>
      </w:r>
      <w:r>
        <w:t xml:space="preserve"> </w:t>
      </w:r>
      <w:r>
        <w:t xml:space="preserve">[11] MarketScreener, estimaciones y EV/EBITDA de los próximos 12 meses de Rheinmetall, Saab, Thales, Leonardo y BAE (7-oct-2026, recogidas en el informe value de Kongsberg de este repositorio)</w:t>
      </w:r>
      <w:r>
        <w:t xml:space="preserve"> </w:t>
      </w:r>
      <w:r>
        <w:t xml:space="preserve">[12] wallstreet-online.de, foro «Rheinmetall» (8-sep-2026)</w:t>
      </w:r>
      <w:r>
        <w:t xml:space="preserve"> </w:t>
      </w:r>
      <w:r>
        <w:t xml:space="preserve">[13] TradingView (RHM); getquin (29-jul-2026); 4investors.de (oct-2026)</w:t>
      </w:r>
      <w:r>
        <w:t xml:space="preserve"> </w:t>
      </w:r>
      <w:r>
        <w:t xml:space="preserve">[14] boerse-express.com / boerse-global.de, compras de Papperger (jun-2026); Rheinmetall, Managers’ Transactions</w:t>
      </w:r>
      <w:r>
        <w:t xml:space="preserve"> </w:t>
      </w:r>
      <w:r>
        <w:t xml:space="preserve">[15] goldesel.de, «Insiderkäufe bei 953 EUR nach F126-Aus»</w:t>
      </w:r>
      <w:r>
        <w:t xml:space="preserve"> </w:t>
      </w:r>
      <w:r>
        <w:t xml:space="preserve">[16] Quartr, resumen del 2T26; mezha.net (cartera de 80.000 M, Bundeswehr y Rumanía); vermoegenszentrum.ch (Skynex, 2-jul-2026)</w:t>
      </w:r>
      <w:r>
        <w:t xml:space="preserve"> </w:t>
      </w:r>
      <w:r>
        <w:t xml:space="preserve">[17] boerse-express.com, «Projekt Arminius vor 12,4-Milliarden-Deal»; calibredefence.co.uk, «Arminius ante portas»</w:t>
      </w:r>
      <w:r>
        <w:t xml:space="preserve"> </w:t>
      </w:r>
      <w:r>
        <w:t xml:space="preserve">[18] Bloomberg y Börsen-Zeitung, Capital Markets Day (18-nov-2025)</w:t>
      </w:r>
      <w:r>
        <w:t xml:space="preserve"> </w:t>
      </w:r>
      <w:r>
        <w:t xml:space="preserve">[19] Estatutos de Rheinmetall AG (43.558.850 acciones); wallstreet-online (capitalización); EQS, convertibles 2028/2030; Rheinmetall, bono de 500 M (28-may-2026)</w:t>
      </w:r>
      <w:r>
        <w:t xml:space="preserve"> </w:t>
      </w:r>
      <w:r>
        <w:t xml:space="preserve">[20] Agencia Europea de Defensa vía Meticulous Research; McKinsey, «Innovation and efficiency: increasing Europe’s defense capabilities»; Gabelli, Arminius white paper (jun-2026)</w:t>
      </w:r>
      <w:r>
        <w:t xml:space="preserve"> </w:t>
      </w:r>
      <w:r>
        <w:t xml:space="preserve">[21] optionfinance.fr (11-sep-2026), con datos de JPMorgan</w:t>
      </w:r>
      <w:r>
        <w:t xml:space="preserve"> </w:t>
      </w:r>
      <w:r>
        <w:t xml:space="preserve">[22] Börse Express, «Rheinmetall Aktie kaufen oder verkaufen? Prognose 2026»</w:t>
      </w:r>
      <w:r>
        <w:t xml:space="preserve"> </w:t>
      </w:r>
      <w:r>
        <w:t xml:space="preserve">[23] macrotrends.net, margen bruto de RNMBY</w:t>
      </w:r>
      <w:r>
        <w:t xml:space="preserve"> </w:t>
      </w:r>
      <w:r>
        <w:t xml:space="preserve">[24] XTB, «Rheinmetall: is the drop already overdone?» (26-jun-2026); Bloomberg (6-feb-2026); ain.ua (24-nov-2025)</w:t>
      </w:r>
    </w:p>
    <w:p>
      <w:pPr>
        <w:pStyle w:val="BodyText"/>
      </w:pPr>
      <w:r>
        <w:rPr>
          <w:iCs/>
          <w:i/>
        </w:rPr>
        <w:t xml:space="preserve">Limitaciones: el acceso directo a las páginas (WebFetch) estaba bloqueado por la red del entorno; todas las cifras vienen de los fragmentos de las búsquedas, con prioridad a las notas de la empresa. Son estimaciones propias, y así se dice en cada caso: los trimestres de 2025 sin el negocio civil, el crecimiento de 12 meses, la mediana y el mínimo de 3 años del múltiplo y el TAM.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2026-10-14T15:14:30Z</dcterms:created>
  <dcterms:modified xsi:type="dcterms:W3CDTF">2026-10-14T15:14:30Z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