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Mastercard Incorporated</w:t>
      </w:r>
    </w:p>
    <w:p>
      <w:pPr>
        <w:spacing w:after="60"/>
        <w:rPr>
          <w:color w:val="52514E"/>
          <w:sz w:val="22"/>
          <w:szCs w:val="22"/>
        </w:rPr>
      </w:pPr>
      <w:r>
        <w:rPr>
          <w:color w:val="52514E"/>
          <w:sz w:val="22"/>
          <w:szCs w:val="22"/>
        </w:rPr>
        <w:t xml:space="preserve">MA · NYSE (acciones de clase A) · ISIN US57636Q1040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589,14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681,89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+16,3 % (base +13,3 %)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410,13 USD · mercado 489,80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521.978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Mastercard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 / US57636Q1040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Transaction &amp; Payment Processing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mastercard.com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589,14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464,52 – 601,77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521.978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532.569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681,89 USD</w:t>
      </w:r>
      <w:r>
        <w:t xml:space="preserve"> frente a 589,14 · Rentabilidad a 12 meses </w:t>
      </w:r>
      <w:r>
        <w:rPr>
          <w:b/>
          <w:bCs/>
        </w:rPr>
        <w:t xml:space="preserve">+16,3 % (base +13,3 %)</w:t>
      </w:r>
      <w:r>
        <w:t xml:space="preserve"> · Valor intrínseco 410,13 USD · con la prima implícita del mercado: 489,80 (-16,9 %) · Alcista / bajista -18,0 % / -48,7 %</w:t>
      </w:r>
    </w:p>
    <w:p>
      <w:pPr>
        <w:spacing w:after="100"/>
      </w:pPr>
      <w:r>
        <w:rPr>
          <w:b/>
        </w:rPr>
        <w:t xml:space="preserve">La recomendación y por qué.</w:t>
      </w:r>
      <w:r>
        <w:t xml:space="preserve"> Mantener, con convicción media. Con nuestro BPA de 2028e y la regla común de múltiplos, el objetivo a 12 meses es de 681,89 USD frente a 589,14 USD de cierre del 9 de octubre: +16,3 % con el dividendo, y +13,3 % en el caso base (664,20 USD). Pasa los dos umbrales de rentabilidad (15 % y 12 %), pero no el tercero: el valor intrínseco (410,13 USD) queda un 30,4 % por debajo del precio, y sin él la regla no da Comprar. El objetivo medio de los 37 analistas (667,30 USD) coincide con nuestro base [36]. La asimetría a 12 meses es de 3,69 veces: el alcista gana un 52,0 % si el PER vuelve a su media de 2022-2025 y el bajista pierde un 13,4 %. Convicción media porque las cifras salen de extractos de búsqueda y la distancia al valor intrínseco es de tasa, no de beneficio; subiría si la guía de 2027 (finales de enero) apunta a ingresos por encima del 12 % y bajaría si el transfronterizo baja del 10 %.</w:t>
      </w:r>
    </w:p>
    <w:p>
      <w:pPr>
        <w:spacing w:after="100"/>
      </w:pPr>
      <w:r>
        <w:rPr>
          <w:b/>
        </w:rPr>
        <w:t xml:space="preserve">El negocio.</w:t>
      </w:r>
      <w:r>
        <w:t xml:space="preserve"> Mastercard mueve 2,7 billones de USD por trimestre con un margen operativo del 57,6 % y casi sin capital: el ROIC fue del 98,3 % en 2025 frente a un WACC del 10,44 % [1, 4]. Los ingresos crecieron un 15 % a tipo constante en 2025 y un 12 % en el 2T26, con el valor añadido (+20 %, el 41 % de los ingresos) tirando del precio por transacción [3]. La calidad sostiene el crecimiento que proyectamos (veredicto «Sí»): el 9,3 % medio es dos tercios del histórico, el volumen crece con el mercado sin ganar cuota y no hace falta reinvertir.</w:t>
      </w:r>
    </w:p>
    <w:p>
      <w:pPr>
        <w:spacing w:after="100"/>
      </w:pPr>
      <w:r>
        <w:rPr>
          <w:b/>
        </w:rPr>
        <w:t xml:space="preserve">Finanzas.</w:t>
      </w:r>
      <w:r>
        <w:t xml:space="preserve"> La conversión del beneficio en caja libre fue del 104 % en 2025 (16.433 M), y casi toda se devuelve: 28.739 M de recompras en 2022-2024 y 4.900 M solo en el 2T26 [2, 3, 9]. La deuda neta ajustada (10.591 M) es de 0,5 veces el EBITDA.</w:t>
      </w:r>
    </w:p>
    <w:p>
      <w:pPr>
        <w:spacing w:after="100"/>
      </w:pPr>
      <w:r>
        <w:rPr>
          <w:b/>
        </w:rPr>
        <w:t xml:space="preserve">Equipo y gobierno.</w:t>
      </w:r>
      <w:r>
        <w:t xml:space="preserve"> Presidencia independiente y separada, voto de remuneración con un 94,6 % a favor y una dirección que bate el consenso cada trimestre [31]. Resta algo el relevo del director financiero en agosto, a tres meses de la guía de 2027 [15].</w:t>
      </w:r>
    </w:p>
    <w:p>
      <w:pPr>
        <w:spacing w:after="100"/>
      </w:pPr>
      <w:r>
        <w:rPr>
          <w:b/>
        </w:rPr>
        <w:t xml:space="preserve">Valoración.</w:t>
      </w:r>
      <w:r>
        <w:t xml:space="preserve"> El DCF da 415,38 USD con un WACC del 10,44 %; con la prima implícita del mercado (4,2 %), 505,50 USD. El precio descuenta un crecimiento del 14,0 % anual en 2027-2035 frente al 8,8 % de nuestro base, o una rentabilidad implícita del 8,4 %: exigente, pero es lo que Mastercard hizo en 2021-2025. Nuestro BPA de 2027e (22,18 USD) es el del consenso (22,27) [37]: no discrepamos de las cifras, sino del precio que se paga por ellas. Cotiza a 26,6 veces nuestro BPA de 2027e, bajo su PER mínimo de 2022-2025 (32,0x) [23].</w:t>
      </w:r>
    </w:p>
    <w:p>
      <w:pPr>
        <w:spacing w:after="100"/>
      </w:pPr>
      <w:r>
        <w:rPr>
          <w:b/>
        </w:rPr>
        <w:t xml:space="preserve">Riesgos y catalizadores.</w:t>
      </w:r>
      <w:r>
        <w:t xml:space="preserve"> El riesgo de mayor impacto es la regulación del enrutamiento en EE. UU. (Credit Card Competition Act o un remedio del pleito contra Visa), que en el bajista recorta un 27 % el valor intrínseco [22]. Le siguen las stablecoins y una nueva compresión del múltiplo (−13,4 % a 12 meses con 22,6x). Catalizadores: resultados del 3T el 29 de octubre, guía de 2027 a finales de enero y el nuevo plan de recompras en diciembre [35]. Los foros han pasado del miedo de marzo a «el negocio va por delante de la acción», en línea con nuestra lectura [41].</w:t>
      </w:r>
    </w:p>
    <w:p>
      <w:pPr>
        <w:spacing w:after="100"/>
      </w:pPr>
      <w:r>
        <w:rPr>
          <w:b/>
        </w:rPr>
        <w:t xml:space="preserve">Qué cambiaría la decisión.</w:t>
      </w:r>
      <w:r>
        <w:t xml:space="preserve"> Compraríamos por debajo de 410,13 USD, donde el precio queda bajo el valor intrínseco y se cumplen los tres requisitos; venderíamos por encima de 761,35 USD. También cambiaría con una guía de 2027 por debajo del 9 % de crecimiento o con la aprobación de la CCCA.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681,89 USD</w:t>
      </w:r>
      <w:r>
        <w:t xml:space="preserve"> (rentabilidad +16,3 % (base +13,3 %)) · Valor intrínseco: 410,13 USD (-30,4 % sobre 589,14) · con la prima implícita del mercado: 489,80 (-16,9 %)</w:t>
      </w:r>
    </w:p>
    <w:p>
      <w:pPr>
        <w:spacing w:after="100"/>
      </w:pPr>
      <w:r>
        <w:t xml:space="preserve">Mastercard es la segunda red de pagos con tarjeta del mundo fuera de China: cobra por cada operación sin prestar dinero, con un margen operativo del 57,6 % y un ROIC del 98,3 % en 2025, y crece al 12-16 % por el paso del efectivo a la tarjeta, el transfronterizo y los servicios de valor añadido, que ya son el 41 % de los ingresos [1, 3]. Es uno de los mejores negocios cotizados: duopolio con Visa, efecto de red y casi sin necesidad de capital.</w:t>
      </w:r>
    </w:p>
    <w:p>
      <w:pPr>
        <w:spacing w:after="100"/>
      </w:pPr>
      <w:r>
        <w:t xml:space="preserve">El precio de 589,14 USD descuenta un crecimiento del 14,0 % anual en 2027-2035 con nuestro WACC del 10,44 %, o una rentabilidad del 8,4 % con nuestras cifras. En múltiplos, 26,6 veces nuestro BPA de 2027e, por debajo de las 32-36 veces de 2022-2025 [39]: el mercado ya ha descontado parte del riesgo de stablecoins y regulación.</w:t>
      </w:r>
    </w:p>
    <w:p>
      <w:pPr>
        <w:spacing w:after="100"/>
      </w:pPr>
      <w:r>
        <w:t xml:space="preserve">El mercado acierta en las cifras (nuestro BPA coincide con el consenso) y se equivoca, si acaso, en el múltiplo: a 26,6 veces la acción rinde a 12 meses lo que crece su beneficio, un 13 %, y algo más si recupera el PER medio. Para invertir hay que creer que la regulación en EE. UU. no cambia el enrutamiento y que las stablecoins pasan por la red; para comprar con nuestra regla, además, haría falta un precio por debajo del valor intrínseco, 410,13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 × 22,43 = 506,92 · 26,6x × 24,97 = 664,20 · 33,9x × 26,32 = 892,25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 / 13,3 %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667,30 (nuestro base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410,13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 -48,7 %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10,4 % y 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410,13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410,13 y 761,35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761,35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410,13 USD (por debajo del valor intrínseco, con la ponderada a 12 meses por encima del 15 %), pasaríamos a Comprar.</w:t>
      </w:r>
    </w:p>
    <w:p>
      <w:pPr>
        <w:pStyle w:val="ListParagraph"/>
        <w:numPr>
          <w:ilvl w:val="0"/>
          <w:numId w:val="2"/>
        </w:numPr>
        <w:spacing w:after="60"/>
      </w:pPr>
      <w:r>
        <w:t xml:space="preserve">Si sube por encima de 761,35 USD, pasaríamos a Vender.</w:t>
      </w:r>
    </w:p>
    <w:p>
      <w:pPr>
        <w:pStyle w:val="ListParagraph"/>
        <w:numPr>
          <w:ilvl w:val="0"/>
          <w:numId w:val="2"/>
        </w:numPr>
        <w:spacing w:after="60"/>
      </w:pPr>
      <w:r>
        <w:t xml:space="preserve">Si la guía de 2027 apunta a ingresos por debajo del 9 % a tipo constante, recortaríamos el base y probablemente el objetivo bajaría de 600 USD.</w:t>
      </w:r>
    </w:p>
    <w:p>
      <w:pPr>
        <w:pStyle w:val="ListParagraph"/>
        <w:numPr>
          <w:ilvl w:val="0"/>
          <w:numId w:val="2"/>
        </w:numPr>
        <w:spacing w:after="60"/>
      </w:pPr>
      <w:r>
        <w:t xml:space="preserve">Si el Congreso aprueba la Credit Card Competition Act, aplicaríamos el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Mastercard mantendrá un crecimiento de dos cifras del beneficio durante años, pero con un riesgo mayor que hace dos: el PER ha bajado de 34-36 veces a unas 27 veces nuestro BPA de 2027e por las stablecoins, la regulación de EE. UU. y un bono al 5,2 %.</w:t>
      </w:r>
    </w:p>
    <w:p>
      <w:pPr>
        <w:keepNext/>
        <w:spacing w:after="100"/>
      </w:pPr>
      <w:r>
        <w:rPr>
          <w:b/>
          <w:bCs/>
        </w:rPr>
        <w:t xml:space="preserve">Lo que creemos nosotros.</w:t>
      </w:r>
    </w:p>
    <w:p>
      <w:pPr>
        <w:spacing w:after="100"/>
      </w:pPr>
      <w:r>
        <w:t xml:space="preserve">Coincidimos en las cifras: nuestro BPA de 2026e (19,60) y 2027e (22,18) es el del consenso. Discrepamos en el valor: con un WACC del 10,44 % el negocio vale 410,13 USD, y solo con la prima del mercado se acerca a 505,50. A 12 meses la acción rinde un 13 % en el base.</w:t>
      </w:r>
    </w:p>
    <w:p>
      <w:pPr>
        <w:keepNext/>
        <w:spacing w:after="100"/>
      </w:pPr>
      <w:r>
        <w:rPr>
          <w:b/>
          <w:bCs/>
        </w:rPr>
        <w:t xml:space="preserve">Por qué podemos tener razón.</w:t>
      </w:r>
    </w:p>
    <w:p>
      <w:pPr>
        <w:spacing w:after="100"/>
      </w:pPr>
      <w:r>
        <w:t xml:space="preserve">Porque el precio exige un 14 % de crecimiento durante nueve años. Podríamos estar equivocados si el mercado sigue aceptando rentabilidades del 8-9 % en los mejores negocios, como ha hecho en la última década.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8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98,3 % y margen operativo del 57,6 % en 2025 [1].</w:t>
      </w:r>
    </w:p>
    <w:p>
      <w:pPr>
        <w:pStyle w:val="ListParagraph"/>
        <w:numPr>
          <w:ilvl w:val="0"/>
          <w:numId w:val="2"/>
        </w:numPr>
        <w:spacing w:after="60"/>
      </w:pPr>
      <w:r>
        <w:rPr>
          <w:b/>
        </w:rPr>
        <w:t xml:space="preserve">Crecimiento sostenido</w:t>
      </w:r>
      <w:r>
        <w:t xml:space="preserve">: ingresos +12 % a tipo constante y BPA ajustado +21 % en el 2T26 [3].</w:t>
      </w:r>
    </w:p>
    <w:p>
      <w:pPr>
        <w:pStyle w:val="ListParagraph"/>
        <w:numPr>
          <w:ilvl w:val="0"/>
          <w:numId w:val="2"/>
        </w:numPr>
        <w:spacing w:after="60"/>
      </w:pPr>
      <w:r>
        <w:rPr>
          <w:b/>
        </w:rPr>
        <w:t xml:space="preserve">Valor añadido como motor</w:t>
      </w:r>
      <w:r>
        <w:t xml:space="preserve">: +20 % y ya el 41 % de los ingresos [14].</w:t>
      </w:r>
    </w:p>
    <w:p>
      <w:pPr>
        <w:pStyle w:val="ListParagraph"/>
        <w:numPr>
          <w:ilvl w:val="0"/>
          <w:numId w:val="2"/>
        </w:numPr>
        <w:spacing w:after="60"/>
      </w:pPr>
      <w:r>
        <w:rPr>
          <w:b/>
        </w:rPr>
        <w:t xml:space="preserve">Múltiplo en mínimos recientes</w:t>
      </w:r>
      <w:r>
        <w:t xml:space="preserve">: 26,6 veces nuestro BPA de 2027e frente a 32-36 veces en 2022-2025 [39].</w:t>
      </w:r>
    </w:p>
    <w:p>
      <w:pPr>
        <w:pStyle w:val="ListParagraph"/>
        <w:numPr>
          <w:ilvl w:val="0"/>
          <w:numId w:val="2"/>
        </w:numPr>
        <w:spacing w:after="60"/>
      </w:pPr>
      <w:r>
        <w:rPr>
          <w:b/>
        </w:rPr>
        <w:t xml:space="preserve">Recompras con criterio</w:t>
      </w:r>
      <w:r>
        <w:t xml:space="preserve">: 4.900 M en el 2T26 con la acción cerca de mínimos [3].</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410,13 USD, un 30,4 % menos.</w:t>
      </w:r>
    </w:p>
    <w:p>
      <w:pPr>
        <w:pStyle w:val="ListParagraph"/>
        <w:numPr>
          <w:ilvl w:val="0"/>
          <w:numId w:val="2"/>
        </w:numPr>
        <w:spacing w:after="60"/>
      </w:pPr>
      <w:r>
        <w:rPr>
          <w:b/>
        </w:rPr>
        <w:t xml:space="preserve">Regulación en EE. UU.</w:t>
      </w:r>
      <w:r>
        <w:t xml:space="preserve">: la CCCA o un remedio del pleito contra Visa recortarían un 27 % el valor en el bajista [22].</w:t>
      </w:r>
    </w:p>
    <w:p>
      <w:pPr>
        <w:pStyle w:val="ListParagraph"/>
        <w:numPr>
          <w:ilvl w:val="0"/>
          <w:numId w:val="2"/>
        </w:numPr>
        <w:spacing w:after="60"/>
      </w:pPr>
      <w:r>
        <w:rPr>
          <w:b/>
        </w:rPr>
        <w:t xml:space="preserve">Stablecoins y agentes de IA</w:t>
      </w:r>
      <w:r>
        <w:t xml:space="preserve">: el miedo ya bajó la acción un 18 % en marzo [23].</w:t>
      </w:r>
    </w:p>
    <w:p>
      <w:pPr>
        <w:pStyle w:val="ListParagraph"/>
        <w:numPr>
          <w:ilvl w:val="0"/>
          <w:numId w:val="2"/>
        </w:numPr>
        <w:spacing w:after="60"/>
      </w:pPr>
      <w:r>
        <w:rPr>
          <w:b/>
        </w:rPr>
        <w:t xml:space="preserve">Transfronterizo con efectos puntuales</w:t>
      </w:r>
      <w:r>
        <w:t xml:space="preserve">: +20 % sin viajes en el 2T26 por Venezuela y promociones [14].</w:t>
      </w:r>
    </w:p>
    <w:p>
      <w:pPr>
        <w:pStyle w:val="ListParagraph"/>
        <w:numPr>
          <w:ilvl w:val="0"/>
          <w:numId w:val="2"/>
        </w:numPr>
        <w:spacing w:after="60"/>
      </w:pPr>
      <w:r>
        <w:rPr>
          <w:b/>
        </w:rPr>
        <w:t xml:space="preserve">Relevo del director financiero</w:t>
      </w:r>
      <w:r>
        <w:t xml:space="preserve"> en agosto, antes de la guía de 2027 [15].</w:t>
      </w:r>
    </w:p>
    <w:p>
      <w:pPr>
        <w:pStyle w:val="Heading2"/>
      </w:pPr>
      <w:r>
        <w:t xml:space="preserve">Qué tiene que pasar para que la tesis funcione</w:t>
      </w:r>
    </w:p>
    <w:p>
      <w:pPr>
        <w:spacing w:after="100"/>
      </w:pPr>
      <w:r>
        <w:t xml:space="preserve">La tesis depende de que el volumen siga creciendo al 7-8 % y el valor añadido al 15-20 % sin que la regulación toque el enrutamiento. La señal de que no se cumple: dos trimestres con los ingresos de la red creciendo menos que el volumen bruto, o el transfronterizo por debajo del 10 % en moneda local.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 netos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12 % en 2027e.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más margen y más cíclica.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precio por transacción.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Incentivos crecientes a emisores.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sobre BPA del año siguiente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23x o &gt; 33x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múltiplos del bajista y del alcista.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Mastercard nace en 1966 como Interbank Card Association, una asociación de bancos de EE. UU. que quería competir con BankAmericard (hoy Visa); en 1979 adopta el nombre MasterCard. Fue una cooperativa propiedad de los bancos hasta su salida a bolsa en el NYSE en mayo de 2006, que creó la Mastercard Foundation como accionista y dio a los bancos acciones de clase B sin voto. En 2002 se fusionó con Europay, lo que le dio más peso fuera de EE. UU. que a Visa. Desde 2010 ha ido sumando servicios de valor añadido (datos, seguridad, fidelización) con compras pequeñas, y desde 2021 la dirige Michael Miebach, que ha empujado la seguridad (Recorded Future, 2024), los pagos de cuenta a cuenta y las stablecoins (BVNK, 2026) [2,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Interbank Card Association, origen de la marca Master Charge.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Adopta el nombre MasterCard.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Europay International: base de su peso fuera de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NYSE; nace la Mastercard Foundation como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Banco Popular de China aprueba de forma preparatoria su empresa conjunta con NetsUnion para compensar pagos domésticos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Miebach sustituye a Ajay Banga como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Rusia; empieza a publicar la línea de servicios de valor añadido.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Recorded Future (inteligencia de amenazas), la mayor de su historia.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BVNK (stablecoins) por hasta 1.800 M USD; caída del 18 % desde máximos en marzo por el miedo a las stablecoins y al tope a los intereses de las tarjetas [23, 28].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Mastercard opera la segunda red de pagos con tarjeta del mundo fuera de China: conecta a los bancos emisores, que dan las tarjetas, con los adquirentes, que dan servicio a los comercios, y cobra por autorizar, compensar y liquidar cada operación. No presta dinero ni asume el riesgo de crédito del titular, que es del banco emisor. En el segundo trimestre de 2026 el volumen bruto (GDV) creció un 8 % y el volumen de compras un 10 % en moneda local, y el transfronterizo un 12 % [3, 14]. Además de la red, vende servicios de valor añadido (seguridad y fraude, datos e información de mercado, fidelización, ciberseguridad tras la compra de Recorded Future en 2024) y mueve dinero fuera de la tarjeta (cuenta a cuenta, Mastercard Move); en 2026 acordó comprar BVNK, infraestructura de stablecoins, por hasta 1.800 M USD [3, 15].</w:t>
      </w:r>
    </w:p>
    <w:p>
      <w:pPr>
        <w:pStyle w:val="Heading2"/>
      </w:pPr>
      <w:r>
        <w:t xml:space="preserve">Cómo gana dinero</w:t>
      </w:r>
    </w:p>
    <w:p>
      <w:pPr>
        <w:spacing w:after="100"/>
      </w:pPr>
      <w:r>
        <w:t xml:space="preserve">Desde 2022 publica dos líneas: la red de pagos (comisiones por volumen, por transacción y por transfronterizo, netas de los incentivos que paga a emisores y comercios) y los servicios de valor añadido y soluciones. En el 2T26 los ingresos netos fueron 9.277 M (+14 %; +12 % a tipo constante): la red creció un 10 % y el valor añadido un 20 %, hasta 3.800 M, ya un 41 % del total [3, 14]. Casi todo es recurrente y variable con el gasto nominal con tarjeta, el paso del efectivo a la tarjeta y los viajes. El coste es sobre todo personal y tecnología, así que el apalancamiento operativo es alto: margen operativo del 57,6 % en 2025 (59 % ajustado) [1, 13] y 61 % ajustado en el 2T26 (gastos ajustados de 3.608 M) [14]. El transfronterizo, con comisiones más altas, es la parte cíclica.</w:t>
      </w:r>
    </w:p>
    <w:p>
      <w:pPr>
        <w:pStyle w:val="Heading2"/>
      </w:pPr>
      <w:r>
        <w:t xml:space="preserve">Clientes, recurrencia y poder de precios</w:t>
      </w:r>
    </w:p>
    <w:p>
      <w:pPr>
        <w:spacing w:after="100"/>
      </w:pPr>
      <w:r>
        <w:t xml:space="preserve">Los clientes directos son bancos emisores y adquirentes; ninguno es material por sí solo, pero los incentivos (rebajas de contratos plurianuales) son la mayor partida que se resta de los ingresos brutos y suben con cada renovación: en el 2T26 Zacks señala que los incentivos de acuerdos renovados frenaron el crecimiento de la red [14]. El poder de precios se ve en que los ingresos netos crecen más que el volumen: en 2025, ingresos +16 % (+15 % a tipo constante) con un volumen bruto que creció en torno al 9 % [1]; en el 2T26, ingresos +12 % a tipo constante con GDV +8 % [3]. Parte de la diferencia es mezcla (más transfronterizo y más valor añadido), no tarifa.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a tipo constante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bruto (GDV),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billones de USD en el 1T26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transfronterizo,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vio frenazo a principios de abril; el comercio electrónico transfronterizo sin viajes creció un 20 % en el 2T26 (Venezuela y promociones) [4,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(2T26), +20 %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e información de mercado [5,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plusvalías o minusvalías de participadas ni provisiones de litigios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trimestrales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precio cerca del mínimo de 52 semanas [3, 16].</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las redes de pagos con tarjeta (crédito, débito y prepago) para compras de bienes y servicios, a escala mundial: Visa, Mastercard, UnionPay, American Express, JCB y Discover/Diners. Lo medimos en transacciones de compra, la métrica pública de The Nilson Report, porque el volumen en dinero por marca está detrás de un muro de pago. Fuera del perímetro quedan las transferencias inmediatas (Pix, UPI), las billeteras de circuito cerrado y las stablecoins, que compiten por los mismos pagos y son la principal amenaza de sustitución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828.100 millones de transacciones de compra con tarjetas de red en 2025 (+7,1 %)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efectivo a la tarjeta y al pago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con tarjeta de red +7,1 % en 2025 [19]; volumen de compras de Mastercard +10 % en moneda local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Viajes y comercio electrónico transfronterizo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Transfronterizo de Mastercard +12 % en el 2T26 y +13 % en el 1T26, con frenazo a principios de abril [4,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nominal del consumidor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bruto crece con el gasto nominal: +8 % en moneda local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tasas y de enrutamiento (CCCA, pleitos de comercios, tope a los intereses)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Credit Card Competition Act se reintrodujo en enero de 2026 sin calendario; el tope del 10 % a los intereses de las tarjetas propuesto en 2026 hundió al sector en marzo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Transferencias inmediatas y stablecoins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marzo de 2026 Visa, Mastercard y Amex cayeron un 19 %, 18 % y 23 % desde máximos por el miedo a las stablecoins [23,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Visa fuera de China; se compite por contratos con emisores a base de incentivos, no por precio al comercio. Márgenes operativos del 60,0 % (Visa) y 57,6 % (Mastercard) en 2025 [2,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emisores negocian incentivos crecientes en cada renovación (frenaron la red de Mastercard en el 2T26); los comercios presionan por vía judicial y legislativa [14,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y personal; ningún proveedor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red nueva necesita a la vez emisores, comercios y titulares; las que han entrado lo han hecho con apoyo estatal (UnionPay, Pix, UPI)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cuenta a cuenta y stablecoins; hoy pequeños en compras con tarjeta en EE. UU. y Europa, grandes en Brasil e India [23].</w:t>
            </w:r>
          </w:p>
        </w:tc>
      </w:tr>
    </w:tbl>
    <w:p>
      <w:pPr>
        <w:spacing w:after="160" w:before="0"/>
      </w:pPr>
    </w:p>
    <w:p>
      <w:pPr>
        <w:pStyle w:val="Heading2"/>
      </w:pPr>
      <w:r>
        <w:t xml:space="preserve">Ciclo</w:t>
      </w:r>
    </w:p>
    <w:p>
      <w:pPr>
        <w:spacing w:after="100"/>
      </w:pPr>
      <w:r>
        <w:t xml:space="preserve">Los ingresos de Mastercard crecen al 12 % a tipo constante y el volumen de compras al 10 % en el 2T26 [14]. En 2008-09 las redes apenas notaron la crisis porque el débito sustituyó al crédito; en 2020 los ingresos de Mastercard cayeron por el hundimiento del transfronterizo y se recuperaron en 2021 (+23 %) y 2022 (+18 %); en 2022 la inflación empujó el volumen nominal. Un frenazo del consumo afecta sobre todo al transfronterizo, la parte de más margen.</w:t>
      </w:r>
    </w:p>
    <w:p>
      <w:pPr>
        <w:pStyle w:val="Heading2"/>
      </w:pPr>
      <w:r>
        <w:t xml:space="preserve">Regulación</w:t>
      </w:r>
    </w:p>
    <w:p>
      <w:pPr>
        <w:spacing w:after="100"/>
      </w:pPr>
      <w:r>
        <w:t xml:space="preserve">En EE. UU., tres frentes: la Credit Card Competition Act, que obligaría a ofrecer una segunda red en las tarjetas de crédito, reintroducida en enero de 2026 sin calendario [22]; los pleitos de tasas de intercambio de los comercios, con provisiones casi todos los años; y la propuesta de tope del 10 % a los intereses de las tarjetas de 2026, que afectaría a los emisores y, por volumen, a las redes [23]. La demanda del Departamento de Justicia por monopolización del débito (septiembre de 2024) es contra Visa, pero el remedio fijaría el marco de las dos [21]. En Europa, el tope a las tasas de intercambio, las demandas colectivas del Reino Unido y el euro digital. En China, Mastercard tiene desde 2020 la aprobación preparatoria de su empresa conjunta con NetsUnion [29].</w:t>
      </w:r>
    </w:p>
    <w:p>
      <w:pPr>
        <w:pStyle w:val="Heading2"/>
      </w:pPr>
      <w:r>
        <w:t xml:space="preserve">Tendencias y disrupción</w:t>
      </w:r>
    </w:p>
    <w:p>
      <w:pPr>
        <w:spacing w:after="100"/>
      </w:pPr>
      <w:r>
        <w:t xml:space="preserve">Tres tendencias: los pagos de cuenta a cuenta respaldados por Estados y bancos centrales (Pix, UPI), que restan transacciones a la tarjeta en emergentes; las stablecoins, que Mastercard intenta integrar como red de liquidación (compra de BVNK) en vez de combatir [28]; y el comercio con agentes de IA, donde Mastercard lanza Agent Pay para ser la capa de autenticación de las compras de los agentes [28]. La empresa gana si la credencial tokenizada sigue siendo la de por defecto; pierde si los comercios enrutan fuera de la red.</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red abierta de tarjetas del mundo fuera de China, detrás de Visa, que tiene el 40,8 % de las transacciones de compra con tarjeta de red (con UnionPay incluida) y el 70,4 % del volumen de compras de las marcas que mide Nilson en EE. UU. [19, 20]. La cuota de Mastercard no aparece en los extractos gratuitos de Nilson.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otra gran red abierta; ingresos netos de 40.000 M en el ejercicio a septiembre de 2025 (+11 %) y crecimiento del 14 % en el 3T FY2026 [24, 25]. Más peso en EE. UU. y en débito.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UnionPay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Dominante en China;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Express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cerrada: emite, adquiere y asume el crédito; compite en tarjetas premium.</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Billetera digital; buena parte de su volumen pasa por las redes de tarjetas. Margen operativo contable del 17,4 % en el 4T 2025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Adyen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Adquirente; cliente más que rival, pero promueve el enrutamiento y los pagos de cuenta a cuenta. Ingresos netos 2025 de 2.364 M EUR (2.643 M USD al 1,1181)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billones de USD de volumen bruto en un trimestre; cada emisor y cada comercio nuevos hacen la red más valiosa para los demás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con emisores y migraciones de cartera costosas; los incentivos crecientes muestran que los grandes emisores sí cambian de red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aceptación universal; tokenización, gestión de riesgo y ciberseguridad propias (Recorded Future).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57,6 % en 2025, muy por encima de procesadores (Adyen) y billeteras (PayPal, 17,4 %) [12,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Duopolio fuera de China: no hay sitio para una tercera red abierta sin apoyo estatal.</w:t>
            </w:r>
          </w:p>
        </w:tc>
      </w:tr>
    </w:tbl>
    <w:p>
      <w:pPr>
        <w:spacing w:after="160" w:before="0"/>
      </w:pPr>
    </w:p>
    <w:p>
      <w:pPr>
        <w:pStyle w:val="Heading2"/>
      </w:pPr>
      <w:r>
        <w:t xml:space="preserve">Amenazas</w:t>
      </w:r>
    </w:p>
    <w:p>
      <w:pPr>
        <w:spacing w:after="100"/>
      </w:pPr>
      <w:r>
        <w:t xml:space="preserve">Tres vías de erosión, por probabilidad: la regulación del enrutamiento y de las tasas en EE. UU. (CCCA o un remedio del pleito del DOJ contra Visa que se extienda a las dos), probabilidad media en cinco años; los pagos de cuenta a cuenta respaldados por Estados y bancos centrales, ya altos en Brasil e India y posibles en Europa con el euro digital; y las stablecoins como medio de liquidación del comercio electrónico, hoy baja. Ninguna toca el efecto de red a corto plazo, pero sí el precio por transacción. Mastercard está algo más expuesta que Visa al transfronterizo y algo menos a EE. UU.</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14,8 %</w:t>
      </w:r>
      <w:r>
        <w:t xml:space="preserve">, EBITDA </w:t>
      </w:r>
      <w:r>
        <w:rPr>
          <w:b/>
          <w:bCs/>
        </w:rPr>
        <w:t xml:space="preserve">16,7 %</w:t>
      </w:r>
      <w:r>
        <w:t xml:space="preserve">, BPA </w:t>
      </w:r>
      <w:r>
        <w:rPr>
          <w:b/>
          <w:bCs/>
        </w:rPr>
        <w:t xml:space="preserve">17,2 %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netos pasaron de 18.884 M en 2021 a 32.791 M en 2025, con crecimientos del 18 %, 13 %, 12 % y 16 % [1, 6]. Casi todo es orgánico: las compras (Recorded Future en 2024, Finicity, Ekata o Dynamic Yield antes) son pequeñas frente a los ingresos; 2022 llevó la salida de Rusia (≈4 % de los ingresos de 2021). El margen operativo contable subió del 53,4 % en 2021 al 57,6 % en 2025 (+420 pb) por apalancamiento operativo: los gastos crecieron un 10 % en 2025 frente a un 16 % de los ingresos [1, 13]. El 1S26 mantiene el ritmo: ingresos +16 % y +14 % en los dos trimestres, y margen operativo ajustado del 61 % en el 2T26 [3, 4, 14]. Las cifras de EBITDA son EBIT más amortizaciones del estado de flujos [8]. Ningún año es no comparable.</w:t>
      </w:r>
    </w:p>
    <w:p>
      <w:pPr>
        <w:pStyle w:val="Heading2"/>
      </w:pPr>
      <w:r>
        <w:t xml:space="preserve">Ajustes y partidas no recurrentes</w:t>
      </w:r>
    </w:p>
    <w:p>
      <w:pPr>
        <w:spacing w:after="100"/>
      </w:pPr>
      <w:r>
        <w:t xml:space="preserve">Mastercard publica un BPA ajustado que excluye las plusvalías y minusvalías de sus participadas (dentro de «otros ingresos y gastos») y las provisiones de litigios y otros especiales: 8,40 USD en 2021 (frente a 8,76 contable, por plusvalías de participadas), 10,65 en 2022 (10,22), 12,26 en 2023 (11,83), 14,60 en 2024 (13,89) y 17,01 en 2025 (16,52) [2, 10]. Las provisiones de litigios (comercios de EE. UU. y del Reino Unido) aparecen casi todos los años: no las tratamos como no recurrentes en el EBITDA contable, pero sí usamos el BPA ajustado, la base de la empresa y del consenso, para el objetivo a 12 meses. En 2025 los gastos operativos contables (13.900 M) superaron a los ajustados (13.400 M) en unos 500 M [13]. El LTM a junio de 2026 suma los trimestres del 3T25 al 2T26; su EBIT y su EBITDA son estimación propia (el EBIT contable del 2T26 no salió en las búsquedas: lo derivamos del ajustado de 5.669 M menos unos 120 M de especiales).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BPA ajustado; «orgánico» = a tipo constante. Los ingresos de 3T24 a 2T25 se derivan del crecimiento publicado del trimestre del año siguiente (estimación propia). En la conferencia del 1T26 (30-abr) la dirección avisó de que el transfronterizo se frenaba a principios de abril y la acción bajó un 1,4 % antes de abrir; el BPA ajustado (4,60 USD) superó los 4,41 esperados [4]. En la del 2T26 (30-jul) el tono cambió: BPA ajustado de 5,04 USD frente a 4,77 esperados e ingresos de 9.277 M frente a 9.078 M; subió la guía de 2026 a la parte alta de «low double digits» a tipo constante, con 1 punto de viento a favor de la divisa, y mantuvo el crecimiento de gastos en «low double digits» [3, 15]. El transfronterizo creció un 12 % y el comercio electrónico transfronterizo sin viajes un 20 %, inflado por Venezuela y por promociones de grandes comercios: los analistas preguntaron cuánto se repite [14]. Zacks destacó que los incentivos de contratos renovados frenaron la red. Hubo relevo en la dirección financiera: Ling Hai sustituye a Sachin Mehra como CFO desde el 3-ago [14, 15]. Recompras de 4.900 M en el trimestre y unos 700 M más hasta el 27-jul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patrimonio contable es pequeño (7.746 M en 2025 y unos 5.600 M en junio de 2026) porque las recompras se comen casi todo el beneficio: el capital invertido apenas crece mientras el beneficio se duplica [7, 18]. La deuda a largo plazo subió de 13.109 M en 2021 a 18.251 M en 2025 y a unos 22.200 M en junio de 2026, y la caja de 7.421 M a 10.566 M, así que la deuda neta pasó de unos 5.700 M a unos 10.600 M, alrededor de 0,5 veces el EBITDA [11, 12, 18]. El fondo de comercio saltó en 2024 (de 7.660 M a 9.193 M) por la compra de Recorded Future [7]. Las series de caja (Fintel/Capital IQ) y de deuda (Barchart, solo largo plazo) son de proveedores distintos: el detalle de la nota de deuda no estuvo disponible.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60.472</w:t>
      </w:r>
      <w:r>
        <w:t xml:space="preserve">, conversión </w:t>
      </w:r>
      <w:r>
        <w:rPr>
          <w:b/>
          <w:bCs/>
        </w:rPr>
        <w:t xml:space="preserve">105 %</w:t>
      </w:r>
      <w:r>
        <w:t xml:space="preserve"> del beneficio neto; adquisiciones 0, dividendos 7.362, recompras 28.739.</w:t>
      </w:r>
    </w:p>
    <w:p>
      <w:pPr>
        <w:spacing w:after="100"/>
      </w:pPr>
      <w:r>
        <w:t xml:space="preserve">El flujo operativo pasó de 9.463 M en 2021 a 17.648 M en 2025 [2, 8]; en 2024 subió 2.800 M por más beneficio, mejores cobros y menos pagos de litigios [9]. El capex incluye inmovilizado material e intangibles (software capitalizado): 1.097-1.215 M al año, un 3,7-4,9 % de los ingresos, por encima de las amortizaciones (750-1.143 M) [8]. Con un capex de mantenimiento cercano a la amortización (estimación propia), el capex de crecimiento es de unos 100-350 M al año: el negocio apenas necesita capital. La conversión de beneficio en caja libre fue del 104 % en 2025 (16.433 M de caja libre sobre 14.968 M de beneficio) y del 106 % en 2024. Las recompras (8.753 M en 2022, 9.032 M en 2023 y 10.954 M en 2024) y los dividendos se llevan casi toda la caja libre; las de 2025 suman unos 8.100 M en los nueve primeros meses (sin el 4T en las búsquedas) [9, 16].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hay cambios de criterio relevantes en 2021-2025. Tres asuntos que mirar. Primero, el BPA ajustado excluye las plusvalías y minusvalías de las participadas a valor razonable y las provisiones de litigios, que aparecen casi todos los años: la diferencia con el contable fue de 0,43-0,71 USD por acción en 2022-2025 (3-5 %), moderada y siempre en el mismo sentido salvo en 2021 [2, 10]. Segundo, los incentivos a clientes se contabilizan como menos ingresos y se reconocen a lo largo de los contratos con estimaciones del volumen futuro: es el principal juicio contable y un cambio en las renovaciones mueve el margen. Tercero, el software capitalizado (≈700 M al año) va al capex: la caja libre es la de después de ese gasto. La remuneración en acciones es pequeña frente al beneficio. El flujo operativo supera al beneficio todos los años desde 2023, señal de calidad. El auditor PwC lleva décadas con la empresa (sin cifra exacta en las búsquedas).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litigios recurrentes excluidas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M en 2025; si se repiten, el BPA ajustado sobrestima un 3 % el beneficio sostenible [2,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pequeño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ROE y ROIC inflados por las recompras; no es un problema de solvencia (deuda neta ≈0,5x EBITDA).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281,5 % · </w:t>
      </w:r>
      <w:r>
        <w:rPr>
          <w:b/>
          <w:bCs/>
        </w:rPr>
        <w:t xml:space="preserve">WACC</w:t>
      </w:r>
      <w:r>
        <w:t xml:space="preserve">: 10,4 %.</w:t>
      </w:r>
    </w:p>
    <w:p>
      <w:pPr>
        <w:spacing w:after="100"/>
      </w:pPr>
      <w:r>
        <w:t xml:space="preserve">Mastercard crea valor con una holgura casi sin igual: el ROIC pasó del 64,9 % en 2021 al 98,3 % en 2025 frente a un WACC del 10,44 %, casi 88 puntos de diferencia. La subida viene a la vez del margen (el EBIT pasó del 53,4 % al 57,6 % de los ingresos) y de la rotación: el capital invertido apenas crece porque las recompras se llevan el beneficio y el patrimonio contable se queda en 6.000-7.700 M. El ROE (209,9 % en 2025) lo exagera por el patrimonio pequeño. El ROIC incremental histórico (281,5 %) dice que cada dólar de capital nuevo genera casi tres de NOPAT: el crecimiento no cuesta capital. Frente a Visa (ROIC del 52,3 % según su análisis del 14-oct), Mastercard es más rentable por no tener los intangibles de la compra de Visa Europe, no por un negocio distinto [52].</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11.291 M e inversiones a corto plazo de 318 M a 30-jun-2026, más 1.667 M de inversiones a largo plazo; deuda a largo plazo de unos 22.200 M [12,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Los pasivos que no son deuda pero pesan son los litigios: el pleito de tasas de intercambio de los comercios en EE. UU. y las demandas colectivas del Reino Unido sobre tasas de intercambio, que generan provisiones casi todos los años (en 2025, unos 500 M de diferencia entre gastos contables y ajustados) [2, 13]. A diferencia de Visa, Mastercard no tiene una cuenta de garantía financiada por otra clase de acciones: los paga la caja de la clase A. Los pasivos con comercios y emisores por liquidaciones son circulante operativo. Mastercard aplica US GAAP: los arrendamientos operativos no van al puente. No tiene pensiones relevantes.</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invertir en el negocio (incluidas compras pequeñas), dividendo creciente y recompras con el resto. El dividendo trimestral pasó de 0,57 USD en 2023 a 0,76 en 2025 y 0,87 desde 2026 (pagado por acción: 2,28, 2,64 y 3,04 USD en 2023-2025) [2]. En diciembre de 2025 el consejo aprobó un programa de recompras de hasta 14.000 M USD, que empieza al terminar el de 12.000 M de 2024 [16]. En el 2T26 recompró 4.900 M y unos 700 M más hasta el 27 de julio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Recorded Future (inteligencia de amenazas)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el valor añadido de seguridad; el fondo de comercio subió 1.533 M en 2024 [7].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BVNK (infraestructura de stablecoins)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(hasta 1.800 M con pagos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respuesta a la amenaza de las stablecoins [15].</w:t>
            </w:r>
          </w:p>
        </w:tc>
      </w:tr>
    </w:tbl>
    <w:p>
      <w:pPr>
        <w:spacing w:after="160" w:before="0"/>
      </w:pPr>
    </w:p>
    <w:p>
      <w:pPr>
        <w:spacing w:after="100"/>
      </w:pPr>
      <w:r>
        <w:t xml:space="preserve">Mastercard devuelve casi toda la caja que genera: en 2022-2024 la caja libre sumó unos 34.600 M y las recompras 28.739 M, más unos 4.600 M de dividendos en 2023-2024 [2, 9]. Las acciones diluidas bajaron de 991,7 M en 2021 a 906,1 M en 2025. Las compras son pequeñas y de capacidades (Recorded Future, BVNK), y el fondo de comercio es el 18 % del activo: no hay deterioros. En el 2T26 duplicó la recompra (4.900 M) con la acción cerca del mínimo de 52 semanas [3]. Un ROIC del 98,3 % y un capital invertido que apenas crece dicen que el negocio no necesita la caja: devolverla es lo correcto. La deuda ha subido (de 13.109 M a unos 22.200 M) para financiar parte de las recompras, pero sigue en 0,5 veces el EBITDA.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Miebach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producto antes de suceder a Ajay Banga en 2021; antes, Barclays y Citi. Con él los ingresos netos pasaron de 18.884 M (2021) a 32.791 M (2025) y el margen operativo del 53,4 % al 57,6 % [2, 6]. Reelegido consejero en 2026 con 735,9 M de votos a favor y 4,3 M en contra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Ling Hai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Asia-Pacífico, Europa, Oriente Medio y África hasta su nombramiento como CFO el 3-ago-2026 [15]. Sin historial como director financiero de la empresa.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Sachin Mehra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negocio (Chief Business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 2019 a agosto de 2026, periodo en el que las recompras pasaron de unos 8.800 M a 11.000 M al año; ahora dirige el negocio [9,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Merit E. Janow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Profesora y exdecana de la Escuela de Asuntos Internacionales de Columbia; preside el consejo. Reelegida en 2026 con 695,4 M de votos a favor y 44,3 M en contra (6 %)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los ingresos netos a tipo constante de «low double digits»; en julio, en la parte alta de esa horquilla, con 1 punto de viento a favor de la divisa, y gastos creciendo «low double digits»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ingresos +16 % y +14 % (+12 % a tipo constante) y BPA ajustado de 9,64 USD (+22 %); el año se publica a finales de enero de 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batido el consenso de BPA en los cuatro últimos trimestres y subió la guía de 2026 en julio [15, 32]. El equipo es estable en la cúpula (Miebach desde 2021, con una sucesión anunciada con antelación), pero el relevo del CFO en agosto de 2026, a tres meses de dar la guía de 2027, añade algo de incertidumbre: Ling Hai viene del negocio, no de finanzas. Mehra se queda como director de negocio, lo que sugiere un relevo ordenado y no una salida. Sin historial de guías anterior a 2026 verificado en esta sesión.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Merit E. Janow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Miebach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16-jun-2026 aprobó la remuneración de los directivos con 701,0 M de votos a favor, 38,0 M en contra y 1,8 M de abstenciones: un 94,6 % a favor y un 5,1 % en contra de los votos emitidos, un apoyo amplio [31]. La tabla de remuneración del proxy de 2026 (DEF 14A del 27-abr) no salió en las búsquedas, así que no damos el total del CEO ni las métricas exactas del variable; un agregador da 9,76 M de «pago» a Miebach en 2025, que parece solo una parte del total y no usamos [30, 33].</w:t>
      </w:r>
    </w:p>
    <w:p>
      <w:pPr>
        <w:pStyle w:val="Heading2"/>
      </w:pPr>
      <w:r>
        <w:t xml:space="preserve">Operaciones vinculadas, estructura de control y defensas</w:t>
      </w:r>
    </w:p>
    <w:p>
      <w:pPr>
        <w:spacing w:after="100"/>
      </w:pPr>
      <w:r>
        <w:t xml:space="preserve">No hay accionista de control: el capital con voto son las acciones de clase A (785,4 M presentes en la junta de 2026); las de clase B, de los antiguos bancos socios, no votan y son una parte pequeña del capital [31]. Los estatutos de la salida a bolsa de 2006 limitan la participación de un solo accionista en la clase A (con excepción de la Mastercard Foundation), una defensa estatutaria frente a una toma de control, poco relevante para una empresa de este tamaño. La presidencia es independiente y separada del primer ejecutivo, por lo que no hay consejero coordinador. No constan operaciones vinculadas relevantes.</w:t>
      </w:r>
    </w:p>
    <w:p>
      <w:pPr>
        <w:pStyle w:val="Heading2"/>
      </w:pPr>
      <w:r>
        <w:t xml:space="preserve">Señales de alerta</w:t>
      </w:r>
    </w:p>
    <w:p>
      <w:pPr>
        <w:pStyle w:val="ListParagraph"/>
        <w:numPr>
          <w:ilvl w:val="0"/>
          <w:numId w:val="2"/>
        </w:numPr>
        <w:spacing w:after="60"/>
      </w:pPr>
      <w:r>
        <w:t xml:space="preserve">Relevo del director financiero el 3-ago-2026, a tres meses de la guía de 2027 [15].</w:t>
      </w:r>
    </w:p>
    <w:p>
      <w:pPr>
        <w:pStyle w:val="ListParagraph"/>
        <w:numPr>
          <w:ilvl w:val="0"/>
          <w:numId w:val="2"/>
        </w:numPr>
        <w:spacing w:after="60"/>
      </w:pPr>
      <w:r>
        <w:t xml:space="preserve">Litigios de tasas de intercambio en EE. UU. y Reino Unido con provisiones casi todos los años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para 2026, subida en los resultados del 2T del 30-jul-2026: crecimiento de los ingresos netos a tipo constante (sin compras) en la parte alta de «low double digits», más arriba de lo que esperaba antes, con 1 punto de viento a favor de la divisa; gastos operativos creciendo «low double digits» con 0,5-1 punto de divisa en contra [3, 15]. El primer semestre suma unos 17.677 M de ingresos (+15 %) y 9,64 USD de BPA ajustado [3, 4]. El 3T se publica el 29-oct-2026 y la guía de 2027 llegará con el 4T, a finales de enero de 2027 [35]. La empresa no ha actualizado objetivos a medio plazo desde su día del inversor de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MarketBeat (BPA, 30-jul-2026) y Tickflow (ingresos) [37,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vía MarketBeat (30-jul-2026) [37]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667,30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550,00 – 735,00</w:t>
            </w:r>
          </w:p>
        </w:tc>
      </w:tr>
    </w:tbl>
    <w:p>
      <w:pPr>
        <w:spacing w:after="160" w:before="0"/>
      </w:pPr>
    </w:p>
    <w:p>
      <w:pPr>
        <w:pStyle w:val="Heading2"/>
      </w:pPr>
      <w:r>
        <w:t xml:space="preserve">Revisiones de estimaciones</w:t>
      </w:r>
    </w:p>
    <w:p>
      <w:pPr>
        <w:spacing w:after="100"/>
      </w:pPr>
      <w:r>
        <w:t xml:space="preserve">Tras el 2T26 (30-jul) las estimaciones y los objetivos subieron: Cantor mantuvo 695 USD el 3-ago y UBS, TD Cowen, BMO y RBC reiteraron Comprar con objetivos de 630-670 USD el 31-jul [36]. Zacks subió su estimación del 1T27; Erste recortó la de 2026 [37]. El objetivo medio de Investing (667,30 USD, 37 analistas, «compra fuerte») se contrasta con el de MarketBeat (653,65 USD) y el de Tickflow (660,43 USD) [36, 37, 38]. Solo hay estimaciones parciales gratuitas (BPA de 2026 y 2027 e ingresos de 2026), de agosto: no hemos podido ver revisiones de septiembre y octubre.</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60" w:before="0"/>
      </w:pPr>
    </w:p>
    <w:p>
      <w:pPr>
        <w:spacing w:after="100"/>
      </w:pPr>
      <w:r>
        <w:t xml:space="preserve">Mastercard cerró el 9-oct-2026 en 589,14 USD (+2,66 % en el día), un 3,5 % por encima del cierre de 2025 (569,05 USD ajustado) y un 2 % por debajo del máximo de 52 semanas (601,77 USD) [34, 39, 40]. El año ha sido de ida y vuelta: en marzo cayó un 18 % desde máximos, junto a Visa y Amex, por la propuesta de tope del 10 % a los intereses de las tarjetas y el miedo a las stablecoins; en junio cotizaba en torno a 490 USD; tras el 2T26 subió un 2,5 % en el día y en agosto rondaba 580-595 USD [23, 40, 41]. La acción va por detrás del negocio: el BPA ajustado del 1S26 crece un 22 % con la cotización plana en el año [41].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Con el BPA contable, el PER de los últimos 12 meses está en 32,4x frente a una media de 35,0x en 2022-2025, y el EV/EBITDA en 24,5x frente a 26,7x: un descuento del 7-8 % frente a su historia reciente, en mínimos de la serie. Con el BPA ajustado, el PER de cierre fue de 32,0x en 2022, 34,3x en 2023, 35,7x en 2024 y 33,5x en 2025; hoy cotiza a 26,6 veces nuestro BPA de 2027e [2, 39]. Lo que ha cambiado es el riesgo percibido, no el crecimiento: el BPA ajustado crece al 20 % en 2026, pero desde marzo el mercado descuenta la amenaza de las stablecoins, la regulación de EE. UU. y un bono a 10 años por encima del 5 % [23, 50]. 2021 se excluye: el BPA estaba deprimido por la caída de los viajes y el PER (41,6x) no es comparable.</w:t>
      </w:r>
    </w:p>
    <w:p>
      <w:pPr>
        <w:pStyle w:val="Heading1"/>
      </w:pPr>
      <w:r>
        <w:t xml:space="preserve">18. Comparables cotizados</w:t>
      </w:r>
    </w:p>
    <w:p>
      <w:pPr>
        <w:pStyle w:val="Confianza"/>
        <w:spacing w:after="100"/>
      </w:pPr>
      <w:r>
        <w:t xml:space="preserve">Confianza: Media</w:t>
      </w:r>
    </w:p>
    <w:p>
      <w:pPr>
        <w:spacing w:after="100"/>
      </w:pPr>
      <w:r>
        <w:t xml:space="preserve">Las dos redes abiertas no tienen más comparable directo que Visa. Añadimos los adquirentes y procesadores (Adyen, Fiserv, Global Payments, Nexi, Worldline) y las billeteras (PayPal, Block), que viven del mismo flujo de pagos con márgenes y crecimientos mucho menores. American Express no entra porque asume riesgo de crédito y su beneficio depende del margen financiero. Las cifras son del análisis de Adyen del 12-oct (MarketScreener y Stock Analysis, cierre del 9-oct, el mismo día que nuestro precio) [47, 48,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 mediana del PER de los próximos 12 meses de los ocho es de 18,8x, con un crecimiento mediano de un dígito: Mastercard (27,1x, con un ROIC del 98,3 %) no se parece a la mediana [47]. El único comparable útil es Visa: 25,6x de PER, 19,8x de EV/EBITDA de los próximos 12 meses y un 12,3 % de crecimiento, frente a 27,1x y un crecimiento algo mayor de Mastercard [52]. La prima de Mastercard sobre Visa (≈6 % en PER) se explica por un crecimiento 1-2 puntos mayor (más transfronterizo y más valor añadido) y por un ROIC más alto, sin la mochila de intangibles de Visa Europe. Los procesadores cotizan a 6-12 veces porque crecen al 2-5 % y pierden cuota: el valor implícito por PER de la tabla (408,00 USD) mezcla negocios distintos y por eso pesa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valoradas en 22.000 M USD; la nota no da el valor empresa ni el múltiplo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con deuda; prima del 14 % sobre el cierre previo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acciones de TSYS valoradas en unos 21.500 M USD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7.800 M EUR (≈9.200 M USD al tipo de entonces, estimación propia), ~20x EBITDA 2020e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~8,5x EBITDA ajustado 2025e con sinergias [46].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Procesamiento para emisores; ~12,3x EBITDA ajustado 2025e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242,76 – 383,59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Ninguna operación es comparable con Mastercard: son adquirentes y procesadores, con márgenes y crecimiento muy inferiores, comprados a 8-20 veces el EBITDA [42, 43, 44, 45, 46]. Mastercard, con más de 500.000 M de capitalización, no es objetivo de compra; las transacciones solo recuerdan a qué múltiplo cambia de manos un negocio de pagos sin efecto de red. Peso 0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14,0 %, fijo, con dos trimestres publicados (+16 % y +14 %) y la guía en la parte alta de «low double digits» a tipo constante más 1 punto de divisa; el consenso de ingresos es de 37.000 M (+12,8 %) [3, 4, 38]. 2027e: 12 %, por debajo del 15 % de 2025 porque el transfronterizo sin viajes del 2T26 (+20 %) llevaba efectos puntuales (Venezuela, promociones) [14]. Después bajamos medio o un punto al año hasta el 5 % de 2035e. La media de 2026-2035 es del 9,3 %, frente al 14,8 % anual compuesto de 2021-2025, que incluye la salida de la pandemia.</w:t>
      </w:r>
    </w:p>
    <w:p>
      <w:pPr>
        <w:keepNext/>
        <w:spacing w:after="100"/>
      </w:pPr>
      <w:r>
        <w:rPr>
          <w:b/>
          <w:bCs/>
        </w:rPr>
        <w:t xml:space="preserve">Márgenes.</w:t>
      </w:r>
    </w:p>
    <w:p>
      <w:pPr>
        <w:spacing w:after="100"/>
      </w:pPr>
      <w:r>
        <w:t xml:space="preserve">Margen EBITDA del 62,5 % en 2026e y del 63,5 % desde 2028e, frente al 61,1 % contable de 2025 (EBIT del 57,6 % más 3,5 % de amortización) [1, 13]. El margen operativo ajustado del 2T26 fue del 61 % y el del 1T26 del 61 % [3, 4, 14]: nuestra proyección deja ≈1 punto para las provisiones de litigios y especiales, que se repiten casi todos los años. No proyectamos más apalancamiento operativo a partir de 2028 porque los incentivos a los emisores suben con cada renovación.</w:t>
      </w:r>
    </w:p>
    <w:p>
      <w:pPr>
        <w:keepNext/>
        <w:spacing w:after="100"/>
      </w:pPr>
      <w:r>
        <w:rPr>
          <w:b/>
          <w:bCs/>
        </w:rPr>
        <w:t xml:space="preserve">Inversión y circulante.</w:t>
      </w:r>
    </w:p>
    <w:p>
      <w:pPr>
        <w:spacing w:after="100"/>
      </w:pPr>
      <w:r>
        <w:t xml:space="preserve">Capex (inmovilizado e intangibles, sobre todo software) del 3,8 % de las ventas en 2026-2030e y del 3,6 % después, frente al 3,7-4,9 % de 2022-2025; amortización del 3,5 %, la de 2025 (1.143 M) [8]. Circulante cero: los saldos de liquidación con emisores y adquirentes se compensan y el histórico no muestra consumo de caja. Tipo impositivo del 20 %, por encima del 19,4 % de 2025 y en línea con el ajustado del 3T25 (21,4 %), por el impuesto mínimo global de Singapur [2, 5].</w:t>
      </w:r>
    </w:p>
    <w:p>
      <w:pPr>
        <w:keepNext/>
        <w:spacing w:after="100"/>
      </w:pPr>
      <w:r>
        <w:rPr>
          <w:b/>
          <w:bCs/>
        </w:rPr>
        <w:t xml:space="preserve">Coste del capital.</w:t>
      </w:r>
    </w:p>
    <w:p>
      <w:pPr>
        <w:spacing w:after="100"/>
      </w:pPr>
      <w:r>
        <w:t xml:space="preserve">Tasa libre del 5,22 % (bono de EE. UU. a 10 años del 13-oct-2026) [50]; beta de 1,0, estimación propia sin dato verificado (las de proveedores para Mastercard suelen quedar entre 0,9 y 1,1); prima de mercado del 5,5 %. Coste de la deuda del 4,5 % y peso del 4 % (22.200 M sobre unos 522.000 M de capitalización). WACC del 10,44 %. Con la prima implícita del mercado (4,2 %) el WACC baja al 9,19 % y el valor sube a 489,80 USD [51]. La recomendación depende más de la tasa que de las cifras: cada 0,1 de beta mueve el DCF un 8-10 %.</w:t>
      </w:r>
    </w:p>
    <w:p>
      <w:pPr>
        <w:keepNext/>
        <w:spacing w:after="100"/>
      </w:pPr>
      <w:r>
        <w:rPr>
          <w:b/>
          <w:bCs/>
        </w:rPr>
        <w:t xml:space="preserve">Valor terminal.</w:t>
      </w:r>
    </w:p>
    <w:p>
      <w:pPr>
        <w:spacing w:after="100"/>
      </w:pPr>
      <w:r>
        <w:t xml:space="preserve">Crecimiento terminal del 3,0 %: 1,5 % real más 1,5-2 % de inflación en USD, por debajo de la tasa libre del 5,22 %. El terminal pesa un 56 % del valor. El múltiplo de salida implícito en Gordon es moderado para una red que hoy cotiza a 24,5 veces el EBITDA de los últimos 12 meses: es la razón principal de que el DCF quede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530.246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391,00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 M (0 % del NOPAT)</w:t>
            </w:r>
          </w:p>
        </w:tc>
      </w:tr>
    </w:tbl>
    <w:p>
      <w:pPr>
        <w:spacing w:after="160" w:before="0"/>
      </w:pPr>
    </w:p>
    <w:p>
      <w:pPr>
        <w:spacing w:after="100"/>
      </w:pPr>
      <w:r>
        <w:t xml:space="preserve">La proyección apenas necesita inversión neta de la amortización (reinversión acumulada de 1.063 M, el 0 % del NOPAT, con un capex bruto medio del 3,7 % de las ventas). En un negocio de activos ligeros, el crecimiento medio del 9,3 %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GDV +7-8 % y volumen de compras +10 % en moneda local en el 1S26 [3, 4]. Precio y mezcla: transfronterizo +12-13 % y valor añadido +20 % [14]. Otros: 1 punto de divisa a favor según la guía y compras pequeñas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gasto nominal con tarjeta (transacciones con tarjeta de red +7,1 % en 2025) [19]; precio y mezcla por valor añadido (+15-20 %) frente a incentivos crecientes.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medio punto menos de volumen.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añadido pierde algo de ritmo al ganar peso (41 % de los ingresos en el 2T26)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volumen del 7 % y precio y mezcla del 3 %.</w:t>
            </w:r>
          </w:p>
        </w:tc>
      </w:tr>
    </w:tbl>
    <w:p>
      <w:pPr>
        <w:spacing w:after="160" w:before="0"/>
      </w:pPr>
    </w:p>
    <w:p>
      <w:pPr>
        <w:spacing w:after="100"/>
      </w:pPr>
      <w:r>
        <w:t xml:space="preserve">Sí. Mastercard no necesita capital para crecer: la reinversión neta de la proyección es de 1.063 M, el 0 % del NOPAT, así que el motor no puede hacer la prueba de financiación y la hacemos con el poder de precios y el volumen. Precios: los ingresos netos crecieron un 15 % a tipo constante en 2025 con un volumen bruto del 9 % y un 12 % en el 2T26 con un GDV del 8 % [1, 3], con margen al alza. Volumen: el 7,5-8 % que proyectamos en 2026-2029 es el ritmo del mercado (transacciones con tarjeta de red +7,1 % en 2025) [19]: no suponemos ganancia de cuota. Sin mercado final en dinero (Nilson solo publica transacciones, hueco). El crecimiento medio proyectado (9,3 %) es dos tercios del histórico.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(base: 8,8 %)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88,1 % (base: 63,5 %)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10,4 %)</w:t>
            </w:r>
          </w:p>
        </w:tc>
      </w:tr>
    </w:tbl>
    <w:p>
      <w:pPr>
        <w:spacing w:after="160" w:before="0"/>
      </w:pPr>
    </w:p>
    <w:p>
      <w:pPr>
        <w:spacing w:after="100"/>
      </w:pPr>
      <w:r>
        <w:t xml:space="preserve">El DCF da 415,38 USD por acción, un 29,5 % por debajo del precio, con un WACC del 10,44 % y un valor terminal que pesa el 56 %. El DCF inverso dice que, con nuestro margen, el precio de 589,14 USD descuenta un crecimiento de los ingresos del 14,0 % anual en 2027-2035, frente al 8,8 % de nuestro caso base en esos años, o una rentabilidad implícita del 8,4 %, por debajo de nuestro WACC (10,44 %) y del que pide el mercado para su beta (9,19 %). Un 14 % durante nueve años es lo que hizo Mastercard en 2021-2025 (14,8 %), con la salida de la pandemia; repetirlo exige que el transfronterizo y el valor añadido no se normalicen pese a la regulación y a los pagos alternativos. Es exigente, no imposible. La lectura útil es la relativa: con la prima implícita del mercado (4,2 %) el DCF sube a 505,50 USD, un 14 % por debajo del precio. La diferencia con el mercado es de tasa de descuento más que de cifras: nuestro BPA de 2027e (22,18 USD) es casi el del consenso (22,27).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Credit Card Competition Act o un remedio del pleito del DOJ contra Visa obliga a ofrecer enrutamiento alternativo en EE. UU., el transfronterizo se normaliza tras 2026 y los incentivos a los grandes emisores suben: crecimiento 3,5 puntos menor y margen 2,5 puntos menor. Ya pasó con la enmienda Durbin en el débito de EE. UU. en 2011.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los ingresos del 14 % en 2026 y del 12 % en 2027, que baja al 5 % en 2035, con un margen EBITDA del 63,5 %: el volumen crece con el mercado y el valor añadido sostiene el precio por transacción.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añadido (seguridad, datos, cuenta a cuenta) mantiene crecimientos del 20 % y las stablecoins y los agentes de IA pasan por la red de Mastercard: crecimiento 2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58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404,10 USD (-31,4 %).</w:t>
      </w:r>
    </w:p>
    <w:p>
      <w:pPr>
        <w:spacing w:after="100"/>
      </w:pPr>
      <w:r>
        <w:t xml:space="preserve">En valor intrínseco los tres escenarios quedan por debajo del precio (302,37, 415,38 y 483,28 USD): a un WACC del 10,44 % ni el alcista justifica 589 USD. La asimetría a 12 meses, la que decide, es de 3,69 veces: el alcista gana un 52,0 % porque vuelve al PER medio de 2022-2025 (33,9x) y el bajista pierde un 13,4 % con un PER de 22,6x. Esa asimetría depende de que el mercado vuelva a pagar el múltiplo de antes del miedo a las stablecoins, algo que ha ocurrido con Visa en octubre pero que no está garantizado.</w:t>
      </w:r>
    </w:p>
    <w:p>
      <w:pPr>
        <w:pStyle w:val="Heading1"/>
      </w:pPr>
      <w:r>
        <w:t xml:space="preserve">22. Suma de partes</w:t>
      </w:r>
    </w:p>
    <w:p>
      <w:pPr>
        <w:pStyle w:val="Confianza"/>
        <w:spacing w:after="100"/>
      </w:pPr>
      <w:r>
        <w:t xml:space="preserve">Confianza: Media</w:t>
      </w:r>
    </w:p>
    <w:p>
      <w:pPr>
        <w:spacing w:after="100"/>
      </w:pPr>
      <w:r>
        <w:t xml:space="preserve">Mastercard publica dos líneas de ingresos (red de pagos y servicios de valor añadido), pero los servicios se venden sobre la misma red y a los mismos clientes, sin resultado por línea: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58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410,13 USD (-30,4 % sobre 589,14).</w:t>
      </w:r>
    </w:p>
    <w:p>
      <w:pPr>
        <w:spacing w:after="100"/>
      </w:pPr>
      <w:r>
        <w:t xml:space="preserve">Pesos: DCF 50 %, escenarios 40 % y comparables 10 %. El DCF es el método más fiable para un negocio con flujos tan previsibles, pero su resultado depende de la tasa libre (5,22 %) más que de las cifras: con la prima implícita del mercado sube a 505,50 USD. Los comparables pesan poco porque solo Visa se parece a Mastercard; el resto son procesadores que crecen al 2-5 % y cotizan a 8-25 veces. Las transacciones no pesan (son control de procesadores, no de redes). La dispersión es grande: de 302 USD (bajista del DCF) a 892 USD (alcista a 12 meses). El valor intrínseco (410,13 USD) y el objetivo a 12 meses (681,89 USD) dan señales distintas: manda el segundo, y la regla exige además valor intrínseco ≥ precio para comprar.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r>
    </w:tbl>
    <w:p>
      <w:pPr>
        <w:spacing w:after="160" w:before="0"/>
      </w:pPr>
    </w:p>
    <w:p>
      <w:pPr>
        <w:spacing w:after="100"/>
      </w:pPr>
      <w:r>
        <w:rPr>
          <w:b/>
          <w:bCs/>
        </w:rPr>
        <w:t xml:space="preserve">Objetivo a 12 meses (ponderado):</w:t>
      </w:r>
      <w:r>
        <w:t xml:space="preserve"> 681,89 USD · rentabilidad +16,3 % (base +13,3 %) · señal Mantener.</w:t>
      </w:r>
    </w:p>
    <w:p>
      <w:pPr>
        <w:keepNext/>
        <w:spacing w:after="100"/>
      </w:pPr>
      <w:r>
        <w:rPr>
          <w:b/>
          <w:bCs/>
        </w:rPr>
        <w:t xml:space="preserve">Frente al consenso (solo contraste).</w:t>
      </w:r>
    </w:p>
    <w:p>
      <w:pPr>
        <w:spacing w:after="100"/>
      </w:pPr>
      <w:r>
        <w:t xml:space="preserve">Nuestro precio base (664,20 USD) queda un 0,5 % por debajo del objetivo medio de los 37 analistas (667,30 USD; rango 550-735) [36]. El BPA de 2027e es casi el mismo (22,18 frente a 22,27 de Zacks) [37]; el de 2026e también (19,60 frente a 19,61). Nuestras cifras no cuentan recompras no anunciadas (≈2 % menos de acciones al año), así que nuestro BPA de 2028e (24,97 USD) es probablemente un 2-4 % inferior al que tendrá el consenso. La coincidencia del precio viene de que los analistas aplican un múltiplo algo mayor sobre el BPA de 2027e y nosotros el actual sobre el de 2028e.</w:t>
      </w:r>
    </w:p>
    <w:p>
      <w:pPr>
        <w:keepNext/>
        <w:spacing w:after="100"/>
      </w:pPr>
      <w:r>
        <w:rPr>
          <w:b/>
          <w:bCs/>
        </w:rPr>
        <w:t xml:space="preserve">Del valor intrínseco al objetivo a 12 meses.</w:t>
      </w:r>
    </w:p>
    <w:p>
      <w:pPr>
        <w:spacing w:after="100"/>
      </w:pPr>
      <w:r>
        <w:t xml:space="preserve">El objetivo a 12 meses (681,89 USD) queda un 66 % por encima del valor intrínseco (410,13 USD). La distancia es de tasa de descuento: el mercado paga 26,6 veces el beneficio de 2027e, lo que con nuestro WACC del 10,44 % exige un crecimiento del 14 % anual durante nueve años. Para que el precio converja al valor intrínseco haría falta que el mercado exigiera la rentabilidad de nuestro WACC a Mastercard, algo que no ha hecho en la última década. La tesis a 12 meses es de beneficio (BPA +12-13 % al año) con el múltiplo estable; el riesgo es que el múltiplo siga bajando como en 2025-2026.</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unos 5,12 USD de BPA ajustado; confirma o no la parte alta de la guía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fija el BPA del objetivo; nuestro base supone ingresos +12 % y BPA de 22,18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transfronterizo sin viajes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+20 % del 2T26 llevaba Venezuela y promociones: comparativas difíciles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BVNK y regulación de stablecoins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las stablecoins pasan por la red de Mastercard o la rodean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Congreso 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Credit Card Competition Act y tope a los intereses de las tarjetas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calendario; su aprobación es el principal riesgo de cola [22,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plan de recompras y subida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no anunciadas no están en nuestro BPA: un plan nuevo de 14.000-16.000 M añadiría 2-3 % al año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del enrutamiento y de las tasas en EE. UU. (CCCA, remedio del pleito del DOJ contra 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del DCF: 302,37 frente a 415,38)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 de la enmienda Durbin: el volumen siguió creciendo; Mastercard depende menos de EE. UU. que 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CCCA en comisión o sentencia en el pleito de débito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pagos de cuenta a cuenta, stablecoins y agentes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a largo plazo (menos crecimiento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BVNK, Agent Pay y tokenización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compras creciendo por debajo del 7 %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−13,4 % a 12 meses (bajista: PER de 22,6x)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12-13 %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25 veces el BPA del año siguiente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transfronterizo (viajes y comercio electrónico)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en el BPA de 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doméstico y el valor añadido son menos cíclicos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Transfronterizo por debajo del 10 % en moneda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crecientes a grandes emisores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−2 % de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la red creciendo menos que el volumen bruto [14]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tasas de intercambio (EE. UU. y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por cada 1.000 M de acuerdo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anuales; deuda neta de 0,5x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encima de 1.000 M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Relevo del director financiero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Mehra sigue como director de negocio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2027 menos precisa o cambios en la política de recompras</w:t>
            </w:r>
          </w:p>
        </w:tc>
      </w:tr>
    </w:tbl>
    <w:p>
      <w:pPr>
        <w:spacing w:after="160" w:before="0"/>
      </w:pPr>
    </w:p>
    <w:p>
      <w:pPr>
        <w:pStyle w:val="Heading2"/>
      </w:pPr>
      <w:r>
        <w:t xml:space="preserve">Pre-mortem</w:t>
      </w:r>
    </w:p>
    <w:p>
      <w:pPr>
        <w:spacing w:after="100"/>
      </w:pPr>
      <w:r>
        <w:t xml:space="preserve">Octubre de 2029: Mastercard vale un 40 % menos. La cadena más probable empieza en 2027, cuando el transfronterizo y el valor añadido se normalizan y el crecimiento de los ingresos baja del 14 % al 8 %, mientras la guía de 2027 decepciona. En 2028 el Congreso aprueba una versión de la Credit Card Competition Act tras un remedio duro del pleito del DOJ contra Visa en débito: los comercios enrutan por redes alternativas y los grandes emisores renegocian incentivos al alza. Las stablecoins reguladas ganan el comercio electrónico transfronterizo, la parte de más margen. El margen EBITDA cae del 63 % al 60 % y el BPA de 2028 se queda en 21-22 USD. El mercado, que ya había bajado el PER de 34 a 27 veces, lo lleva a 20 veces, el de un negocio maduro: 21 × 20 = 420 USD, un 29 % menos, y con un bono al 5,5 % se llega al −40 %. Los indicadores que lo habrían anticipado: el volumen de compras por debajo del 7 %, el transfronterizo por debajo del 10 % y los ingresos de la red creciendo menos que el volumen bruto durante dos trimestres seguidos.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las cifras son de gobierno y competencia, no ambientales: litigios de tasas de intercambio en EE. UU. y Reino Unido, con provisiones de unos 500 M en 2025 [2]; protección de datos y fraude, el núcleo del servicio y de la línea de valor añadido; e inclusión financiera, ligada al paso del efectivo a la tarjeta. La huella de carbono es pequeña (centros de datos y oficinas).</w:t>
      </w:r>
    </w:p>
    <w:p>
      <w:pPr>
        <w:pStyle w:val="Heading2"/>
      </w:pPr>
      <w:r>
        <w:t xml:space="preserve">Controversias</w:t>
      </w:r>
    </w:p>
    <w:p>
      <w:pPr>
        <w:spacing w:after="100"/>
      </w:pPr>
      <w:r>
        <w:t xml:space="preserve">Pleitos de tasas de intercambio de comercios en EE. UU. y demandas colectivas en el Reino Unido, con provisiones recurrentes [2]; presión regulatoria por la Credit Card Competition Act y por el tope a los intereses de las tarjetas propuesto en 2026 [22, 23].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(≈14 %) se repite sin el efecto de Venezuela y de las promociones del transfronterizo?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de 2028e supone un 12 % de crecimiento en 2027e; cada punto menos resta un 1 % al objetivo.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ingresos de EE. UU. está expuesto a un cambio de enrutamiento en crédito y débito?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escenario bajista (−3,5 puntos de crecimiento y −2,5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liquidará BVNK y con qué comisión frente a la tarjeta?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Saber si es canibalización o mercado nuevo.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renovaciones de grandes emisores vencen en 2027-2028 y cuánto suben los incentivos?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Frenaron la red en el 2T26 y son la mayor partida contra los ingresos brutos.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exposición queda en las demandas colectivas del Reino Unido y en el pleito de comercios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los paga con caja de la clase A, sin cuenta de garantía como Visa.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CFO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¿Cambiará la política de recompras y de deuda con el nuevo director financiero?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explican 2-3 puntos del crecimiento anual del BPA.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(«Mastercard: Not Cheap, But Cheap Enough»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y buena parte de los lectores ven el PER cerca de su mínimo de diez años tras los resultados de 2025; el debate es si el múltiplo bajo es una oportunidad o el reflejo de la amenaza de las stablecoins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(artículos para particulares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de «el negocio va por delante de la acción»: BPA ajustado +21 % en el 2T26 con la acción casi plana en el año; se aplauden las recompras de 5.700 M cerca del mínimo de 52 semanas [41,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con comentarios (Yahoo Finance, Finviz/Zacks)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el PER de unas 26 veces «caro pero no sobrevalorado»; otros piden esperar a una caída. Las stablecoins se ven como asunto de largo plazo más que como amenaza inmediata [28,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Robinhood y Simply Wall St (páginas del valor con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acción en torno a 490 USD en junio, los comentarios giraban en torno al tope del 10 % a los intereses de las tarjetas y a si afecta a Mastercard, que no presta [40,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Stablecoins y pagos con agentes de IA como sustitutos de la tarjeta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lo trata como riesgo de precio por transacción a largo plazo: el volumen de compras crece al 10 % y Mastercard compra BVNK y lanza Agent Pay para estar dentro [B10].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del 10 % a los intereses de las tarjetas y regulación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no asume riesgo de crédito; el efecto sería indirecto (menos crédito emitido). El riesgo regulatorio de verdad es la CCCA, que define nuestro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en mínimos de varios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de cierre bajó de 34-36 veces en 2023-2024 a unas 27 veces nuestro BPA de 2027e; la regla común usa ese múltiplo actual en el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crecimiento del BPA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4.900 M en el 2T26 [A14]; nuestro BPA no cuenta recompras no anunciadas, así que es conservador frente al consenso.</w:t>
            </w:r>
          </w:p>
        </w:tc>
      </w:tr>
    </w:tbl>
    <w:p>
      <w:pPr>
        <w:spacing w:after="160" w:before="0"/>
      </w:pPr>
    </w:p>
    <w:p>
      <w:pPr>
        <w:spacing w:after="100"/>
      </w:pPr>
      <w:r>
        <w:t xml:space="preserve">El sentimiento de los particulares es positivo y mejora tras el susto de marzo: la conversación ha pasado de «las stablecoins matan a la tarjeta» a «el negocio crece un 20 % en BPA y la acción no se ha movido». No es euforia: el tono dominante es que el precio es razonable, no barato, en línea con nuestra lectura. Coincide con el consenso de analistas (37, compra fuerte). No anticipa un riesgo que el informe no recoja; recuerda que el miedo a las stablecoins puede volver con cualquier noticia regulatoria (la ley de stablecoins de EE. UU.) y mover la acción más que las cifras. Cobertura baja: Reddit y Stocktwits no aparecieron en la búsqueda.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56 (21 primarias); citas distintas en el texto: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intangibles, rating, coste de la deuda,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en sec.gov (sin red); 2) Stock Analysis y Barchart vía búsqueda (solo totales); 3) Fintel (solo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2021 y 2025, dividendos de 2021-2022, capex de 2021 y 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FY2024 (recompras 2022-2024); 2) 8-K trimestrales de 2025 (1T-3T: ≈8.100 M); 3) 10-K FY2025 en búsqueda: solo dividendos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por intereses y BPA ajustado anterior a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2) Stock Analysis; 3) 10-K FY2018-FY2022 en búsqueda (conciliaciones parciales)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en dinero, cr5 y crecimiento previsto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Nilson Report (cifras por marca en volumen tras muro de pago; solo transacciones); 2) análisis de Visa y Adyen del mismo periodo (mismas fuentes); 3) presupuesto de búsquedas compartido: no se buscaron estudios de McKinsey o Capgemini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tamaño en transacciones con fuente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Mastercard e ingresos y margen de American Express y PayPal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Nilson (cuota por marca de pago); 2) análisis de Visa del 14-oct (mismo hueco);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buscado por presupuesto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con comisiones, accionistas significativos (13G), operaciones de directivos (Form 4), remuneración del CEO y métricas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en sec.gov (sin red); 2) búsqueda del proxy y de la junta (solo votos y presidenta); 3) agregadores (Yahoo: cifra parcial de remuneración, no usada); form4.mjs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presidenta, CEO y votos de la junta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guías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4T (solo cifras reales); 2) conferencias (resúmenes de 2026); 3)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 acciones en circulación a 30-sep-2026, volumen y capitalización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búsquedas de cotización (último cierre fechado: 9-oct, 589,14 USD); 3) acciones derivadas del BPA ajustado del 2T26 (4.500 M / 5,04 = 893 M de media diluida) menos las recompras de julio-septiembre (≈7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precio del 9-oct y 886 M de acciones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a 1, 3, 5 y 10 años, anuales,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Macrotrends y Profitbridge (solo cierres anuales); 3) Robinhood y TIKR (rango y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la rentabilidad en el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EBIT y DPA de consenso; ingresos de 2027 y BPA de 2028;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sin WebFetch; 2) MarketBeat y Zacks vía prensa (solo BPA); 3) Investing y Tickflow (precio objetivo e ingresos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cierres anuales sin ajustar y BPA ajustado anterior a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Macrotrends y Profitbridge (cierres ajustados por dividendos); 2) Digrin (sin la serie completa); 3) conciliaciones de 10-K anteriores (no salieron)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cierres ajustados por dividendos (≈1 % por debajo del real) y la historia del PER desde 2021</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(ninguno); 2) Seeking Alpha de agosto-septiembre (no apareció); 3) prensa con comentarios y TIKR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sección con cuatro fuentes y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Stock Analysis y Yahoo vía búsqueda (no salió); 3) análisis de Visa y Adyen del mismo periodo (tampoco la tienen)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1,0</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https://s25.q4cdn.com/479285134/files/doc_financials/2025/q4/4Q25-Mastercard-Earnings-Release.pdf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https://www.sec.gov/Archives/edgar/data/1141391/000114139126000013/ma-20251231.htm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https://www.sec.gov/Archives/edgar/data/0001141391/000114139126000081/ma06302026-exx991xearnings.htm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https://www.sec.gov/Archives/edgar/data/0001141391/000114139126000029/ma03312026-exx991xearnings.htm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https://www.sec.gov/Archives/edgar/data/1141391/000114139125000191/ma09302025-exx991xearnings.htm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FY2024 (recompras y flujos 2022-2024)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https://www.sec.gov/Archives/edgar/data/1141391/000114139125000011/ma-20241231.htm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FY2022 (conciliación del BPA ajustado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https://www.sec.gov/Archives/edgar/data/1141391/000114139123000020/ma-20221231.htm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 Balance Sheet (Annual), datos de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https://fintel.io/bs/cl/ma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 balance sheet (deuda a largo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https://www.barchart.com/stocks/quotes/MA/balance-sheet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full-year 2025: operating income 18.9 billion, margin 57.6 %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https://www.mexc.com/news/587935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Beats Q2 Earnings on Solid Cross-Border Volume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https://www.nasdaq.com/articles/mastercard-beats-q2-earnings-solid-cross-border-volume-growth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https://www.marketbeat.com/instant-alerts/mastercard-q2-earnings-call-highlights-2026-07-31/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https://www.sec.gov/Archives/edgar/data/1141391/000114139125000170/ma06302025-exx991xearnings.htm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https://www.sec.gov/Archives/edgar/data/1141391/000114139125000193/ma-20250930.htm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2026 y balance trimestral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https://www.sec.gov/Archives/edgar/data/0001141391/000114139126000083/ma-20260630.htm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Network Card Results Worldwide 2025 (Issue 1310)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https://nilsonreport.com/articles/global-network-card-results-worldwide-2025/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Brand Cards — U.S.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Nilson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https://nilsonreport.com/articles/global-brand-cards-us-2025/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Next for Visa Stock After DOJ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Kiplinger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https://www.kiplinger.com/investing/stocks/whats-next-for-visa-stock-after-doj-lawsuit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 Stock: 3 Impending Events That Could Invalidate the Thesis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https://www.trefis.com/stock/v/articles2/598310/v-stock-3-impending-events-that-could-invalidate-the-thesis/2026-05-05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(V) Nosedives as Stablecoins Take Center Stage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https://finance.yahoo.com/news/visa-inc-v-nosedives-stablecoins-180424566.html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Fiscal Third Quarter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https://www.sec.gov/Archives/edgar/data/0001403161/000140316126000103/q32026earningsrelease.htm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https://newsroom.paypal-corp.com/2026-02-03-PayPal-Reports-Fourth-Quarter-and-Full-Year-2025-Results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análisis del 12-oct-2026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(carpeta adyen-2026-10-12)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stablecoins, BVNK y Agent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https://www.mexc.com/news/969660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given approval to prepare for entry into China's payments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https://techcrunch.com/2020/02/11/mastercard-given-approval-to-prepare-for-entry-into-chinas-payments-market/amp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https://www.sec.gov/Archives/edgar/data/0001141391/000114139126000021/ma-20260427.htm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anual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https://www.sec.gov/Archives/edgar/data/0001141391/000114139126000041/ma-20260616.htm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Q1 2026 earnings beat estimates, April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https://finance.yahoo.com/markets/stocks/articles/mastercard-q1-2026-earnings-beat-131244907.html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profile: key executives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https://finance.yahoo.com/quote/MA/profile/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quote: cierre del 9-oct-2026 en 589,14 USD (+2,66 %)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https://uk.finance.yahoo.com/quote/MA/chart/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to Host Conference Call on Third Quarter 2026 Financial Results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https://s25.q4cdn.com/479285134/files/doc_news/Mastercard-Incorporated-to-Host-Conference-Call-on-Third-Quarter-2026-Financial-Results-2026.pdf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(MA) consensus estimates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https://www.investing.com/equities/mastercard-cl-a-consensus-estimates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EPS estimates for Mastercard (consenso de MarketBeat) y estimación de Zacks para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https://www.marketbeat.com/instant-alerts/q1-earnings-estimate-for-mastercard-issued-by-zacks-research-2026-07-30/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stock forecast (ingresos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https://tickflow.io/stock/MA/forecast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 stock price history (cierres anuales ajustados por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Profitbridge / 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https://profitbridge.it.com/stocks/charts/MA/mastercard/stock-price-history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stock: rango de 52 semanas 464,52-601,77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https://robinhood.com/stocks/ma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Stock Is Barely Up in 2026. Its Business Has Never Been More Profitable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https://www.tikr.com/blog/mastercard-stock-is-barely-up-in-2026-its-business-has-never-been-more-profitable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Block, Fiserv, Global Payments, Nexi y Worldline: finances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(12-oct-2026: 1,1181 USD/EUR)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statistics y finances (comparable; tomado del análisis de Adyen del 12-oct, cierre del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Not Cheap, But Cheap Enough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https://seekingalpha.com/article/4879367-mastercard-not-cheap-but-cheap-enough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Mastercard Repurchased $5.7 Billion in Shares While the Stock Sat Near 52-Week Lows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https://www.tikr.com/blog/why-mastercard-repurchased-5-7-billion-in-shares-while-the-stock-sat-near-52-week-lows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at 25.9x P/E: Pricey but Not Overpriced — Buy or Wait?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https://finviz.com/news/335707/mastercard-at-259x-pe-pricey-but-not-overpriced-buy-or-wait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(NYSE:MA) community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https://www.simplywall.st/stocks/us/diversified-financials/nyse-ma/mastercard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77,7 %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Análisis hecho desde la nube con la red limitada a la búsqueda web: sec.gov, la web de inversores de Mastercard y los proveedores de datos no se pudieron abrir, así que las cifras salen de los extractos de búsqueda de los comunicados 8-K, de los 10-K y 10-Q, de Stock Analysis y de la prensa financiera, cruzadas cuando fue posible (la cuenta de 2021-2025 cuadra línea a línea: EBIT, resultado financiero, impuestos y beneficio). La confianza es menor que en un análisis normal y lo que no cuadró está en null y en los huecos. Línea cotizada: acciones de clase A en el NYSE. Cuentas en USD con US GAAP; ejercicio natural. Precio: cierre del 9-oct-2026 (589,14 USD), el último fechado que dio la búsqueda; no se pudo verificar el del 13-oct. Acciones: 886 M, estimación desde la media diluida del 2T26. El BPA del objetivo a 12 meses y la historia del PER están en base ajustada (sin plusvalías de participadas ni provisiones de litigios), la que publica Mastercard; los cierres anuales están ajustados por dividendos (≈1 % por debajo del real). Comparables tomados del análisis de Adyen del 12-oct (cierre del 9-oct) y pasados a USD al 1,1181 del BCE [47, 48, 49].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Mastercard Incorporated (MA)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589,14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Hoja1!$B$2:$B$8</c:f>
              <c:numCache>
                <c:formatCode>#,##0</c:formatCode>
                <c:ptCount val="7"/>
                <c:pt idx="0">
                  <c:v>464.52</c:v>
                </c:pt>
                <c:pt idx="1">
                  <c:v>550</c:v>
                </c:pt>
                <c:pt idx="2">
                  <c:v>237.64</c:v>
                </c:pt>
                <c:pt idx="3">
                  <c:v>373.59</c:v>
                </c:pt>
                <c:pt idx="4">
                  <c:v>302.37</c:v>
                </c:pt>
                <c:pt idx="5">
                  <c:v>465.3</c:v>
                </c:pt>
                <c:pt idx="6">
                  <c:v>586.19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Hoja1!$C$2:$C$8</c:f>
              <c:numCache>
                <c:formatCode>#,##0</c:formatCode>
                <c:ptCount val="7"/>
                <c:pt idx="0">
                  <c:v>137.25</c:v>
                </c:pt>
                <c:pt idx="1">
                  <c:v>185</c:v>
                </c:pt>
                <c:pt idx="2">
                  <c:v>243.06</c:v>
                </c:pt>
                <c:pt idx="3">
                  <c:v>96.18</c:v>
                </c:pt>
                <c:pt idx="4">
                  <c:v>180.90999999999997</c:v>
                </c:pt>
                <c:pt idx="5">
                  <c:v>87.58999999999997</c:v>
                </c:pt>
                <c:pt idx="6">
                  <c:v>5.899999999999977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Mastercard</c:v>
                </c:pt>
                <c:pt idx="1">
                  <c:v>Visa</c:v>
                </c:pt>
                <c:pt idx="2">
                  <c:v>UnionPay</c:v>
                </c:pt>
                <c:pt idx="3">
                  <c:v>American Express</c:v>
                </c:pt>
                <c:pt idx="4">
                  <c:v>PayPal</c:v>
                </c:pt>
                <c:pt idx="5">
                  <c:v>Adyen</c:v>
                </c:pt>
              </c:strCache>
            </c:strRef>
          </c:cat>
          <c:val>
            <c:numRef>
              <c:f>Hoja1!$B$2:$B$7</c:f>
              <c:numCache>
                <c:formatCode>0.0"%"</c:formatCode>
                <c:ptCount val="6"/>
                <c:pt idx="0">
                  <c:v>57.6</c:v>
                </c:pt>
                <c:pt idx="1">
                  <c:v>60</c:v>
                </c:pt>
                <c:pt idx="4">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18884</c:v>
                </c:pt>
                <c:pt idx="1">
                  <c:v>22237</c:v>
                </c:pt>
                <c:pt idx="2">
                  <c:v>25098</c:v>
                </c:pt>
                <c:pt idx="3">
                  <c:v>28167</c:v>
                </c:pt>
                <c:pt idx="4">
                  <c:v>32791</c:v>
                </c:pt>
                <c:pt idx="5">
                  <c:v>37382</c:v>
                </c:pt>
                <c:pt idx="6">
                  <c:v>41868</c:v>
                </c:pt>
                <c:pt idx="7">
                  <c:v>46682</c:v>
                </c:pt>
                <c:pt idx="8">
                  <c:v>51817</c:v>
                </c:pt>
                <c:pt idx="9">
                  <c:v>56999</c:v>
                </c:pt>
                <c:pt idx="10">
                  <c:v>62129</c:v>
                </c:pt>
                <c:pt idx="11">
                  <c:v>67099</c:v>
                </c:pt>
                <c:pt idx="12">
                  <c:v>71796</c:v>
                </c:pt>
                <c:pt idx="13">
                  <c:v>76104</c:v>
                </c:pt>
                <c:pt idx="14">
                  <c:v>79909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10808</c:v>
                </c:pt>
                <c:pt idx="1">
                  <c:v>13014</c:v>
                </c:pt>
                <c:pt idx="2">
                  <c:v>14807</c:v>
                </c:pt>
                <c:pt idx="3">
                  <c:v>16479</c:v>
                </c:pt>
                <c:pt idx="4">
                  <c:v>20040</c:v>
                </c:pt>
                <c:pt idx="5">
                  <c:v>23364</c:v>
                </c:pt>
                <c:pt idx="6">
                  <c:v>26377</c:v>
                </c:pt>
                <c:pt idx="7">
                  <c:v>29643</c:v>
                </c:pt>
                <c:pt idx="8">
                  <c:v>32904</c:v>
                </c:pt>
                <c:pt idx="9">
                  <c:v>36194</c:v>
                </c:pt>
                <c:pt idx="10">
                  <c:v>39452</c:v>
                </c:pt>
                <c:pt idx="11">
                  <c:v>42608</c:v>
                </c:pt>
                <c:pt idx="12">
                  <c:v>45591</c:v>
                </c:pt>
                <c:pt idx="13">
                  <c:v>48326</c:v>
                </c:pt>
                <c:pt idx="14">
                  <c:v>50742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57.2</c:v>
                </c:pt>
                <c:pt idx="1">
                  <c:v>58.5</c:v>
                </c:pt>
                <c:pt idx="2">
                  <c:v>59</c:v>
                </c:pt>
                <c:pt idx="3">
                  <c:v>58.5</c:v>
                </c:pt>
                <c:pt idx="4">
                  <c:v>61.1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53.4</c:v>
                </c:pt>
                <c:pt idx="1">
                  <c:v>55.2</c:v>
                </c:pt>
                <c:pt idx="2">
                  <c:v>55.8</c:v>
                </c:pt>
                <c:pt idx="3">
                  <c:v>55.3</c:v>
                </c:pt>
                <c:pt idx="4">
                  <c:v>57.6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46</c:v>
                </c:pt>
                <c:pt idx="1">
                  <c:v>44.7</c:v>
                </c:pt>
                <c:pt idx="2">
                  <c:v>44.6</c:v>
                </c:pt>
                <c:pt idx="3">
                  <c:v>45.7</c:v>
                </c:pt>
                <c:pt idx="4">
                  <c:v>45.6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17</c:v>
                </c:pt>
                <c:pt idx="5">
                  <c:v>18</c:v>
                </c:pt>
                <c:pt idx="6">
                  <c:v>16</c:v>
                </c:pt>
                <c:pt idx="7">
                  <c:v>14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15</c:v>
                </c:pt>
                <c:pt idx="5">
                  <c:v>15</c:v>
                </c:pt>
                <c:pt idx="6">
                  <c:v>12</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9463</c:v>
                </c:pt>
                <c:pt idx="1">
                  <c:v>10098</c:v>
                </c:pt>
                <c:pt idx="2">
                  <c:v>10892</c:v>
                </c:pt>
                <c:pt idx="3">
                  <c:v>13586</c:v>
                </c:pt>
                <c:pt idx="4">
                  <c:v>16433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8687</c:v>
                </c:pt>
                <c:pt idx="1">
                  <c:v>9930</c:v>
                </c:pt>
                <c:pt idx="2">
                  <c:v>11195</c:v>
                </c:pt>
                <c:pt idx="3">
                  <c:v>12874</c:v>
                </c:pt>
                <c:pt idx="4">
                  <c:v>14968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64.9</c:v>
                </c:pt>
                <c:pt idx="1">
                  <c:v>79.2</c:v>
                </c:pt>
                <c:pt idx="2">
                  <c:v>88.9</c:v>
                </c:pt>
                <c:pt idx="3">
                  <c:v>92.9</c:v>
                </c:pt>
                <c:pt idx="4">
                  <c:v>98.3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10.4</c:v>
                </c:pt>
                <c:pt idx="1">
                  <c:v>10.4</c:v>
                </c:pt>
                <c:pt idx="2">
                  <c:v>10.4</c:v>
                </c:pt>
                <c:pt idx="3">
                  <c:v>10.4</c:v>
                </c:pt>
                <c:pt idx="4">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117.2</c:v>
                </c:pt>
                <c:pt idx="1">
                  <c:v>144</c:v>
                </c:pt>
                <c:pt idx="2">
                  <c:v>167.4</c:v>
                </c:pt>
                <c:pt idx="3">
                  <c:v>190.6</c:v>
                </c:pt>
                <c:pt idx="4">
                  <c:v>209.9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0.53</c:v>
                </c:pt>
                <c:pt idx="1">
                  <c:v>0.52</c:v>
                </c:pt>
                <c:pt idx="2">
                  <c:v>0.39</c:v>
                </c:pt>
                <c:pt idx="3">
                  <c:v>0.55</c:v>
                </c:pt>
                <c:pt idx="4">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2158</c:v>
                </c:pt>
                <c:pt idx="3">
                  <c:v>2448</c:v>
                </c:pt>
                <c:pt idx="4">
                  <c:v>2756</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1">
                  <c:v>8753</c:v>
                </c:pt>
                <c:pt idx="2">
                  <c:v>9032</c:v>
                </c:pt>
                <c:pt idx="3">
                  <c:v>10954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32.6</c:v>
                </c:pt>
                <c:pt idx="1">
                  <c:v>25.9</c:v>
                </c:pt>
                <c:pt idx="2">
                  <c:v>27.2</c:v>
                </c:pt>
                <c:pt idx="3">
                  <c:v>29.9</c:v>
                </c:pt>
                <c:pt idx="4">
                  <c:v>26.1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26.7</c:v>
                </c:pt>
                <c:pt idx="1">
                  <c:v>26.7</c:v>
                </c:pt>
                <c:pt idx="2">
                  <c:v>26.7</c:v>
                </c:pt>
                <c:pt idx="3">
                  <c:v>26.7</c:v>
                </c:pt>
                <c:pt idx="4">
                  <c:v>26.7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Mastercard</c:v>
                </c:pt>
                <c:pt idx="1">
                  <c:v>Visa</c:v>
                </c:pt>
                <c:pt idx="2">
                  <c:v>Adyen</c:v>
                </c:pt>
                <c:pt idx="3">
                  <c:v>PayPal</c:v>
                </c:pt>
                <c:pt idx="4">
                  <c:v>Block</c:v>
                </c:pt>
                <c:pt idx="5">
                  <c:v>Fiserv</c:v>
                </c:pt>
                <c:pt idx="6">
                  <c:v>Global Payments</c:v>
                </c:pt>
                <c:pt idx="7">
                  <c:v>Nexi</c:v>
                </c:pt>
                <c:pt idx="8">
                  <c:v>Worldline</c:v>
                </c:pt>
              </c:strCache>
            </c:strRef>
          </c:cat>
          <c:val>
            <c:numRef>
              <c:f>Hoja1!$B$2:$B$10</c:f>
              <c:numCache>
                <c:formatCode>0.0"x"</c:formatCode>
                <c:ptCount val="9"/>
                <c:pt idx="1">
                  <c:v>19.8</c:v>
                </c:pt>
                <c:pt idx="2">
                  <c:v>12.8</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12.3</c:v>
                </c:pt>
              </c:numCache>
            </c:numRef>
          </c:xVal>
          <c:yVal>
            <c:numRef>
              <c:f>Hoja1!$C$2</c:f>
              <c:numCache>
                <c:formatCode>0.0"x"</c:formatCode>
                <c:ptCount val="1"/>
                <c:pt idx="0">
                  <c:v>19.8</c:v>
                </c:pt>
              </c:numCache>
            </c:numRef>
          </c:yVal>
          <c:smooth val="0"/>
        </c:ser>
        <c:ser>
          <c:idx val="1"/>
          <c:order val="1"/>
          <c:tx>
            <c:strRef>
              <c:f>Hoja1!$A$3</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22.8</c:v>
                </c:pt>
              </c:numCache>
            </c:numRef>
          </c:xVal>
          <c:yVal>
            <c:numRef>
              <c:f>Hoja1!$C$3</c:f>
              <c:numCache>
                <c:formatCode>0.0"x"</c:formatCode>
                <c:ptCount val="1"/>
                <c:pt idx="0">
                  <c:v>12.8</c:v>
                </c:pt>
              </c:numCache>
            </c:numRef>
          </c:yVal>
          <c:smooth val="0"/>
        </c:ser>
        <c:ser>
          <c:idx val="2"/>
          <c:order val="2"/>
          <c:tx>
            <c:strRef>
              <c:f>Hoja1!$A$4</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7.5</c:v>
                </c:pt>
              </c:numCache>
            </c:numRef>
          </c:yVal>
          <c:smooth val="0"/>
        </c:ser>
        <c:ser>
          <c:idx val="3"/>
          <c:order val="3"/>
          <c:tx>
            <c:strRef>
              <c:f>Hoja1!$A$5</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10.2</c:v>
                </c:pt>
              </c:numCache>
            </c:numRef>
          </c:xVal>
          <c:yVal>
            <c:numRef>
              <c:f>Hoja1!$C$5</c:f>
              <c:numCache>
                <c:formatCode>0.0"x"</c:formatCode>
                <c:ptCount val="1"/>
                <c:pt idx="0">
                  <c:v>8.6</c:v>
                </c:pt>
              </c:numCache>
            </c:numRef>
          </c:yVal>
          <c:smooth val="0"/>
        </c:ser>
        <c:ser>
          <c:idx val="4"/>
          <c:order val="4"/>
          <c:tx>
            <c:strRef>
              <c:f>Hoja1!$A$6</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6.2</c:v>
                </c:pt>
              </c:numCache>
            </c:numRef>
          </c:yVal>
          <c:smooth val="0"/>
        </c:ser>
        <c:ser>
          <c:idx val="5"/>
          <c:order val="5"/>
          <c:tx>
            <c:strRef>
              <c:f>Hoja1!$A$7</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c:v>
                </c:pt>
              </c:numCache>
            </c:numRef>
          </c:xVal>
          <c:yVal>
            <c:numRef>
              <c:f>Hoja1!$C$7</c:f>
              <c:numCache>
                <c:formatCode>0.0"x"</c:formatCode>
                <c:ptCount val="1"/>
                <c:pt idx="0">
                  <c:v>4.7</c:v>
                </c:pt>
              </c:numCache>
            </c:numRef>
          </c:yVal>
          <c:smooth val="0"/>
        </c:ser>
        <c:ser>
          <c:idx val="6"/>
          <c:order val="6"/>
          <c:tx>
            <c:strRef>
              <c:f>Hoja1!$A$8</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-3.4</c:v>
                </c:pt>
              </c:numCache>
            </c:numRef>
          </c:xVal>
          <c:yVal>
            <c:numRef>
              <c:f>Hoja1!$C$8</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17532</c:v>
                </c:pt>
                <c:pt idx="1">
                  <c:v>19803</c:v>
                </c:pt>
                <c:pt idx="2">
                  <c:v>22267</c:v>
                </c:pt>
                <c:pt idx="3">
                  <c:v>24717</c:v>
                </c:pt>
                <c:pt idx="4">
                  <c:v>27189</c:v>
                </c:pt>
                <c:pt idx="5">
                  <c:v>29760</c:v>
                </c:pt>
                <c:pt idx="6">
                  <c:v>32141</c:v>
                </c:pt>
                <c:pt idx="7">
                  <c:v>34390</c:v>
                </c:pt>
                <c:pt idx="8">
                  <c:v>36454</c:v>
                </c:pt>
                <c:pt idx="9">
                  <c:v>38277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166132</c:v>
                </c:pt>
                <c:pt idx="1">
                  <c:v>212488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589,14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302.37</c:v>
                </c:pt>
                <c:pt idx="1">
                  <c:v>415.38</c:v>
                </c:pt>
                <c:pt idx="2">
                  <c:v>483.28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589,14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Hoja1!$B$2:$B$8</c:f>
              <c:numCache>
                <c:formatCode>#,##0</c:formatCode>
                <c:ptCount val="7"/>
                <c:pt idx="0">
                  <c:v>464.52</c:v>
                </c:pt>
                <c:pt idx="1">
                  <c:v>550</c:v>
                </c:pt>
                <c:pt idx="2">
                  <c:v>237.64</c:v>
                </c:pt>
                <c:pt idx="3">
                  <c:v>373.59</c:v>
                </c:pt>
                <c:pt idx="4">
                  <c:v>302.37</c:v>
                </c:pt>
                <c:pt idx="5">
                  <c:v>465.3</c:v>
                </c:pt>
                <c:pt idx="6">
                  <c:v>586.19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(464,52 – 601,77)</c:v>
                </c:pt>
                <c:pt idx="1">
                  <c:v>Precio objetivo de los analistas (550,00 – 735,00)</c:v>
                </c:pt>
                <c:pt idx="2">
                  <c:v>Comparables: PER NTM (237,64 – 480,70)</c:v>
                </c:pt>
                <c:pt idx="3">
                  <c:v>DCF (WACC y g ± 0,5) (373,59 – 469,77)</c:v>
                </c:pt>
                <c:pt idx="4">
                  <c:v>Escenarios (bajista – alcista) (302,37 – 483,28)</c:v>
                </c:pt>
                <c:pt idx="5">
                  <c:v>DCF con la prima implícita del mercado (4,2 %)</c:v>
                </c:pt>
                <c:pt idx="6">
                  <c:v>Precio actual (589,14)</c:v>
                </c:pt>
              </c:strCache>
            </c:strRef>
          </c:cat>
          <c:val>
            <c:numRef>
              <c:f>Hoja1!$C$2:$C$8</c:f>
              <c:numCache>
                <c:formatCode>#,##0</c:formatCode>
                <c:ptCount val="7"/>
                <c:pt idx="0">
                  <c:v>137.25</c:v>
                </c:pt>
                <c:pt idx="1">
                  <c:v>185</c:v>
                </c:pt>
                <c:pt idx="2">
                  <c:v>243.06</c:v>
                </c:pt>
                <c:pt idx="3">
                  <c:v>96.18</c:v>
                </c:pt>
                <c:pt idx="4">
                  <c:v>180.90999999999997</c:v>
                </c:pt>
                <c:pt idx="5">
                  <c:v>87.58999999999997</c:v>
                </c:pt>
                <c:pt idx="6">
                  <c:v>5.899999999999977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