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SILICON2 Co., Ltd.</w:t>
      </w:r>
    </w:p>
    <w:p>
      <w:pPr>
        <w:spacing w:after="60"/>
        <w:rPr>
          <w:color w:val="52514E"/>
          <w:sz w:val="22"/>
          <w:szCs w:val="22"/>
        </w:rPr>
      </w:pPr>
      <w:r>
        <w:rPr>
          <w:color w:val="52514E"/>
          <w:sz w:val="22"/>
          <w:szCs w:val="22"/>
        </w:rPr>
        <w:t xml:space="preserve">257720 · KOSDAQ (Korea Exchange) · ISIN KR7257720003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32.800,00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37.111,22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+14,1 % (base +14,0 %)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42.367,56 KRW · mercado 48.034,06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2.146.760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SILICON2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257720 / KR7257720003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Distribución mayorista de cosmética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(Corea del Sur) · 2002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https://www.silicon2.co.kr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32.800,00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29.850,00 – 56.100,00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2.146.760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2.136.183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50.437,7 M KRW/día (3 meses; 1.162.302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37.111,22 KRW</w:t>
      </w:r>
      <w:r>
        <w:t xml:space="preserve"> frente a 32.800,00 · Rentabilidad a 12 meses </w:t>
      </w:r>
      <w:r>
        <w:rPr>
          <w:b/>
          <w:bCs/>
        </w:rPr>
        <w:t xml:space="preserve">+14,1 % (base +14,0 %)</w:t>
      </w:r>
      <w:r>
        <w:t xml:space="preserve"> · Valor intrínseco 42.367,56 KRW · con la prima implícita del mercado: 48.034,06 (+46,4 %) · Alcista / bajista +58,6 % / -39,7 %</w:t>
      </w:r>
    </w:p>
    <w:p>
      <w:pPr>
        <w:spacing w:after="100"/>
      </w:pPr>
      <w:r>
        <w:rPr>
          <w:b/>
        </w:rPr>
        <w:t xml:space="preserve">Qué es.</w:t>
      </w:r>
      <w:r>
        <w:t xml:space="preserve"> Silicon2 es </w:t>
      </w:r>
      <w:r>
        <w:rPr>
          <w:b/>
        </w:rPr>
        <w:t xml:space="preserve">un mayorista</w:t>
      </w:r>
      <w:r>
        <w:t xml:space="preserve">, no un minorista: el 93,4 % de las ventas de 2025 fue venta a empresas (tiendas, cadenas, distribuidores e iHerb) por su plataforma Stylekorean Wholesale, y solo el 3,9 % venta al público en su tienda en línea y en las tiendas moida; el resto, servicios logísticos [1]. Compra cosmética a unas 1.000 marcas coreanas y la vende en 175 países con almacenes propios en Europa, EE. UU., Oriente Medio y Asia.</w:t>
      </w:r>
    </w:p>
    <w:p>
      <w:pPr>
        <w:spacing w:after="100"/>
      </w:pPr>
      <w:r>
        <w:rPr>
          <w:b/>
        </w:rPr>
        <w:t xml:space="preserve">La recomendación y por qué.</w:t>
      </w:r>
      <w:r>
        <w:t xml:space="preserve"> Mantener, con convicción media; no comprar a este precio. Objetivo a 12 meses de 37.111 KRW: +14,1 % con dividendo (+14,0 % en el caso base), frente a un precio de 32.800 KRW (cierre del 20-oct-2026 en el KOSDAQ) [23]. Se queda a 0,9 puntos del 15 % que pide la regla. El valor intrínseco es de 42.368 KRW (+29 %). No es una compra robusta porque depende del margen: con un BPA un 10 % peor la rentabilidad baja al 2,7 %; el límite robusto es de 29.313 KRW. La convicción es media porque el negocio tiene calidad y el precio ya descuenta un margen más bajo, pero la conclusión depende de un margen que no controla (won y marcas). Subiría la convicción un 3T26 con margen operativo del 17 % o más y existencias frenadas; la bajaría otra marca grande que se vaya o un margen por debajo del 15 %.</w:t>
      </w:r>
    </w:p>
    <w:p>
      <w:pPr>
        <w:spacing w:after="100"/>
      </w:pPr>
      <w:r>
        <w:rPr>
          <w:b/>
        </w:rPr>
        <w:t xml:space="preserve">Por qué ha caído un 40 %.</w:t>
      </w:r>
      <w:r>
        <w:t xml:space="preserve"> Del máximo de 54.200 KRW (31-ago, tras el 2T26 récord y la entrada de CVC a 45.000 KRW por acción) a 32.800 [23]. El won se fortaleció en el 3T (+5,6 % frente al dólar y +6,5 % frente al euro), las casas recortaron el beneficio del 3T26 y los objetivos y toda la cosmética coreana cayó [16, 40, 41]. Antes, en febrero, Goodai Global, cuyas marcas eran el 23,6 % de las ventas, compró a un distribuidor rival en EE. UU. [20].</w:t>
      </w:r>
    </w:p>
    <w:p>
      <w:pPr>
        <w:spacing w:after="100"/>
      </w:pPr>
      <w:r>
        <w:rPr>
          <w:b/>
        </w:rPr>
        <w:t xml:space="preserve">El negocio y la calidad.</w:t>
      </w:r>
      <w:r>
        <w:t xml:space="preserve"> Ventas de 1.116.287 M KRW en 2025 (+61 %; 70,8 % anual desde 2021, todo orgánico) y 749.153 M en el 1S26 (+47 %) [1, 3]. Margen operativo del 18-20 %, muy alto para un distribuidor. </w:t>
      </w:r>
      <w:r>
        <w:rPr>
          <w:b/>
        </w:rPr>
        <w:t xml:space="preserve">Calidad: Sí</w:t>
      </w:r>
      <w:r>
        <w:t xml:space="preserve">: ROIC del 45,6 % frente a un WACC del 11,95 % (34 puntos), y sostenibilidad del crecimiento </w:t>
      </w:r>
      <w:r>
        <w:rPr>
          <w:b/>
        </w:rPr>
        <w:t xml:space="preserve">sí</w:t>
      </w:r>
      <w:r>
        <w:t xml:space="preserve"> (proyectamos un 10,6 % anual desde 2027, una quinta parte del histórico). El punto débil es la caja: las existencias (450.971 M, el 27-32 % de las ventas) se comen todo el flujo operativo [3].</w:t>
      </w:r>
    </w:p>
    <w:p>
      <w:pPr>
        <w:spacing w:after="100"/>
      </w:pPr>
      <w:r>
        <w:rPr>
          <w:b/>
        </w:rPr>
        <w:t xml:space="preserve">Finanzas y capital.</w:t>
      </w:r>
      <w:r>
        <w:t xml:space="preserve"> Caja neta tras cobrar 300.000 M de CVC en septiembre en acciones preferentes convertibles y reembolsables a 45.000 KRW (dilución del 10,2 % si convierte; deuda con un 2 % anual si no) [9]. Primer dividendo (306 KRW) y recompras pequeñas en 2026 [3, 12].</w:t>
      </w:r>
    </w:p>
    <w:p>
      <w:pPr>
        <w:spacing w:after="100"/>
      </w:pPr>
      <w:r>
        <w:rPr>
          <w:b/>
        </w:rPr>
        <w:t xml:space="preserve">Equipo y gobierno.</w:t>
      </w:r>
      <w:r>
        <w:t xml:space="preserve"> El fundador, Kim Sung-woon, preside el consejo y es primer ejecutivo; controla el 43,4 % con su grupo, tiene el 5,6 % del capital pignorado por un impuesto aplazado y vende ≈ 9.000-10.000 M al año para pagarlo [29, 30]. CVC tiene dos consejeros desde el 1-oct [33].</w:t>
      </w:r>
    </w:p>
    <w:p>
      <w:pPr>
        <w:spacing w:after="100"/>
      </w:pPr>
      <w:r>
        <w:rPr>
          <w:b/>
        </w:rPr>
        <w:t xml:space="preserve">Valoración.</w:t>
      </w:r>
      <w:r>
        <w:t xml:space="preserve"> El DCF da 40.735 KRW (WACC del 11,95 % con el bono coreano al 4,45 % [38]); el precio descuenta un crecimiento del 1,9 % anual desde 2027 o un margen EBITDA del 13,6 % para siempre. A 12 meses: PER de 9,0x (el actual) sobre un BPA de 2028e de 4.119 KRW, un 20 % por debajo del consenso (5.143) [15].</w:t>
      </w:r>
    </w:p>
    <w:p>
      <w:pPr>
        <w:spacing w:after="100"/>
      </w:pPr>
      <w:r>
        <w:rPr>
          <w:b/>
        </w:rPr>
        <w:t xml:space="preserve">Riesgos.</w:t>
      </w:r>
      <w:r>
        <w:t xml:space="preserve"> Los cuatro que pedía el encargo: (1) </w:t>
      </w:r>
      <w:r>
        <w:rPr>
          <w:b/>
        </w:rPr>
        <w:t xml:space="preserve">desintermediación</w:t>
      </w:r>
      <w:r>
        <w:t xml:space="preserve">: las marcas que crecen se saltan al distribuidor (Goodai en EE. UU., APR en Europa) — el principal, en el bajista (−45,6 % a 12 meses); (2) </w:t>
      </w:r>
      <w:r>
        <w:rPr>
          <w:b/>
        </w:rPr>
        <w:t xml:space="preserve">margen de distribuidor</w:t>
      </w:r>
      <w:r>
        <w:t xml:space="preserve">: el 19,6 % de EBITDA frente al 2-3 % de los mayoristas japoneses; dos puntos menos restan un 17 % al DCF; (3) </w:t>
      </w:r>
      <w:r>
        <w:rPr>
          <w:b/>
        </w:rPr>
        <w:t xml:space="preserve">aranceles de EE. UU.</w:t>
      </w:r>
      <w:r>
        <w:t xml:space="preserve">: menores, EE. UU. es el 18 % de las ventas y ya está plano; (4) </w:t>
      </w:r>
      <w:r>
        <w:rPr>
          <w:b/>
        </w:rPr>
        <w:t xml:space="preserve">riesgo de IA: bajo</w:t>
      </w:r>
      <w:r>
        <w:t xml:space="preserve">, neutral. Más el won (alto, ya en el 2S26) y las existencias. Veredicto de precio y noticias: </w:t>
      </w:r>
      <w:r>
        <w:rPr>
          <w:b/>
        </w:rPr>
        <w:t xml:space="preserve">no cambia</w:t>
      </w:r>
      <w:r>
        <w:t xml:space="preserve">.</w:t>
      </w:r>
    </w:p>
    <w:p>
      <w:pPr>
        <w:spacing w:after="100"/>
      </w:pPr>
      <w:r>
        <w:rPr>
          <w:b/>
        </w:rPr>
        <w:t xml:space="preserve">Qué cambiaría la decisión.</w:t>
      </w:r>
      <w:r>
        <w:t xml:space="preserve"> Un precio por debajo de 29.313 KRW (límite robusto, aguanta un BPA un 10 % peor con v3 y v2); o un 3T26 y 4T26 con margen operativo del 17-18 % y existencias que dejan de subir, que acercarían nuestro base al consenso.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37.111,22 KRW</w:t>
      </w:r>
      <w:r>
        <w:t xml:space="preserve"> (rentabilidad +14,1 % (base +14,0 %)) · Valor intrínseco: 42.367,56 KRW (+29,2 % sobre 32.800,00) · con la prima implícita del mercado: 48.034,06 (+46,4 %)</w:t>
      </w:r>
    </w:p>
    <w:p>
      <w:pPr>
        <w:spacing w:after="100"/>
      </w:pPr>
      <w:r>
        <w:t xml:space="preserve">Silicon2 es el mayor distribuidor mayorista cotizado de cosmética coreana: vende a tiendas y distribuidores de 175 países y gana un margen operativo del 18-20 %, con un ROIC del 45,6 % [1].</w:t>
      </w:r>
    </w:p>
    <w:p>
      <w:pPr>
        <w:spacing w:after="100"/>
      </w:pPr>
      <w:r>
        <w:t xml:space="preserve">El precio (8,95 veces nuestro BPA de 2027e) descuenta que ese margen converge al de un distribuidor normal o que el crecimiento se para. Tiene parte de razón: las marcas que más crecen se saltan al distribuidor y el won fuerte resta, y el crecimiento consume toda la caja en existencias.</w:t>
      </w:r>
    </w:p>
    <w:p>
      <w:pPr>
        <w:spacing w:after="100"/>
      </w:pPr>
      <w:r>
        <w:t xml:space="preserve">Con un crecimiento del 24 % en 2027 y del 16 % en 2028 y un margen operativo que baja al 16,5 %, el BPA de 2028e es de 4.119 KRW y la rentabilidad a 12 meses del 14 %: casi compra, pero no aguanta un BPA un 10 % peor. Es una acción para comprar por debajo de 29.313 KRW o con señales de que el margen aguanta.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37.111,22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2.348,29 = 17.847,00 · 9,0x × 4.119,23 = 37.073,07 · 11,6x × 4.866,53 = 56.451,75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58.385,00 (nuestro base -36,5 %)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42.367,56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 / -39,7 %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frente a 11,9 % y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48.034,06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(14,6 % anual proyectado; financiable al ROIC actual: 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32.536,72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32.536,72 y 41.574,69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41.574,69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por poco: la ponderada es del 14,1 % (le falta 0,9 puntos para el 15 %) y la del base del 14,0 %; el valor intrínseco (42.368 KRW) está un 29 % por encima del precio. Es una empresa con calidad (ROIC del 45,6 % y sostenibilidad Sí) a un precio que descuenta un margen de distribuidor más bajo. No es compra robusta: con un BPA un 10 % peor la rentabilidad cae al 2,7 %. Para quien no la tiene, la acción robusta es no comprar por encima de 29.313 KRW.</w:t>
      </w:r>
    </w:p>
    <w:p>
      <w:pPr>
        <w:pStyle w:val="Heading2"/>
      </w:pPr>
      <w:r>
        <w:t xml:space="preserve">Qué cambiaría la recomendación</w:t>
      </w:r>
    </w:p>
    <w:p>
      <w:pPr>
        <w:pStyle w:val="ListParagraph"/>
        <w:numPr>
          <w:ilvl w:val="0"/>
          <w:numId w:val="2"/>
        </w:numPr>
        <w:spacing w:after="60"/>
      </w:pPr>
      <w:r>
        <w:t xml:space="preserve">Precio por debajo de 29.313 KRW (límite robusto): la compra aguantaría un BPA un 10 % peor con v3 y v2.</w:t>
      </w:r>
    </w:p>
    <w:p>
      <w:pPr>
        <w:pStyle w:val="ListParagraph"/>
        <w:numPr>
          <w:ilvl w:val="0"/>
          <w:numId w:val="2"/>
        </w:numPr>
        <w:spacing w:after="60"/>
      </w:pPr>
      <w:r>
        <w:t xml:space="preserve">Un 3T26 y 4T26 con margen operativo del 17-18 % y existencias frenadas: subiríamos el base hacia el consenso.</w:t>
      </w:r>
    </w:p>
    <w:p>
      <w:pPr>
        <w:pStyle w:val="ListParagraph"/>
        <w:numPr>
          <w:ilvl w:val="0"/>
          <w:numId w:val="2"/>
        </w:numPr>
        <w:spacing w:after="60"/>
      </w:pPr>
      <w:r>
        <w:t xml:space="preserve">Otra marca grande que deje de usar a Silicon2 o margen operativo por debajo del 15 %: bajaríamos el base hacia el bajista.</w:t>
      </w:r>
    </w:p>
    <w:p>
      <w:pPr>
        <w:pStyle w:val="ListParagraph"/>
        <w:numPr>
          <w:ilvl w:val="0"/>
          <w:numId w:val="2"/>
        </w:numPr>
        <w:spacing w:after="60"/>
      </w:pPr>
      <w:r>
        <w:t xml:space="preserve">Precio por encima de 41.575 KRW: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2 % anual desde 2027 o un margen EBITDA del 13,6 % para siempre; los analistas, en cambio, esperan un BPA de 5.143 KRW en 2028e y un objetivo medio de 58.385 KRW (13 casas, todas en comprar).</w:t>
      </w:r>
    </w:p>
    <w:p>
      <w:pPr>
        <w:keepNext/>
        <w:spacing w:after="100"/>
      </w:pPr>
      <w:r>
        <w:rPr>
          <w:b/>
          <w:bCs/>
        </w:rPr>
        <w:t xml:space="preserve">Lo que creemos nosotros.</w:t>
      </w:r>
    </w:p>
    <w:p>
      <w:pPr>
        <w:spacing w:after="100"/>
      </w:pPr>
      <w:r>
        <w:t xml:space="preserve">Entre los dos: la empresa seguirá creciendo (+24 % en 2027) con menos margen (16,5 % operativo en 2028e) por el won y el poder de las marcas. Nuestro BPA de 2028e es un 20 % menor que el del consenso, pero el valor intrínseco queda un 29 % por encima del precio.</w:t>
      </w:r>
    </w:p>
    <w:p>
      <w:pPr>
        <w:keepNext/>
        <w:spacing w:after="100"/>
      </w:pPr>
      <w:r>
        <w:rPr>
          <w:b/>
          <w:bCs/>
        </w:rPr>
        <w:t xml:space="preserve">Por qué podemos tener razón.</w:t>
      </w:r>
    </w:p>
    <w:p>
      <w:pPr>
        <w:spacing w:after="100"/>
      </w:pPr>
      <w:r>
        <w:t xml:space="preserve">Las marcas de Goodai eran el 23,6 % de las ventas y Goodai compró a su distribuidor en EE. UU. [20]; el margen operativo bajó del 19,9 % (2024) al 18,4 % (2025) y el 4T25 fue del 13,9 %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3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38.317,21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45,6 % en 2025 y margen operativo del 18-20 % [1].</w:t>
      </w:r>
    </w:p>
    <w:p>
      <w:pPr>
        <w:pStyle w:val="ListParagraph"/>
        <w:numPr>
          <w:ilvl w:val="0"/>
          <w:numId w:val="2"/>
        </w:numPr>
        <w:spacing w:after="60"/>
      </w:pPr>
      <w:r>
        <w:rPr>
          <w:b/>
        </w:rPr>
        <w:t xml:space="preserve">Crecimiento</w:t>
      </w:r>
      <w:r>
        <w:t xml:space="preserve">: ventas +47 % en el 1S26; la UE crece un ≈ 60 % [3].</w:t>
      </w:r>
    </w:p>
    <w:p>
      <w:pPr>
        <w:pStyle w:val="ListParagraph"/>
        <w:numPr>
          <w:ilvl w:val="0"/>
          <w:numId w:val="2"/>
        </w:numPr>
        <w:spacing w:after="60"/>
      </w:pPr>
      <w:r>
        <w:rPr>
          <w:b/>
        </w:rPr>
        <w:t xml:space="preserve">Precio</w:t>
      </w:r>
      <w:r>
        <w:t xml:space="preserve">: 8,95 veces nuestro BPA de 2027e; el DCF da un 24 % más [23].</w:t>
      </w:r>
    </w:p>
    <w:p>
      <w:pPr>
        <w:pStyle w:val="ListParagraph"/>
        <w:numPr>
          <w:ilvl w:val="0"/>
          <w:numId w:val="2"/>
        </w:numPr>
        <w:spacing w:after="60"/>
      </w:pPr>
      <w:r>
        <w:rPr>
          <w:b/>
        </w:rPr>
        <w:t xml:space="preserve">Financiación</w:t>
      </w:r>
      <w:r>
        <w:t xml:space="preserve">: 300.000 M de CVC en caja; recompra en curso [10, 12].</w:t>
      </w:r>
    </w:p>
    <w:p>
      <w:pPr>
        <w:pStyle w:val="Heading2"/>
      </w:pPr>
      <w:r>
        <w:t xml:space="preserve">En contra</w:t>
      </w:r>
    </w:p>
    <w:p>
      <w:pPr>
        <w:pStyle w:val="ListParagraph"/>
        <w:numPr>
          <w:ilvl w:val="0"/>
          <w:numId w:val="2"/>
        </w:numPr>
        <w:spacing w:after="60"/>
      </w:pPr>
      <w:r>
        <w:rPr>
          <w:b/>
        </w:rPr>
        <w:t xml:space="preserve">Desintermediación</w:t>
      </w:r>
      <w:r>
        <w:t xml:space="preserve">: las marcas grandes pueden saltarse al distribuidor [20].</w:t>
      </w:r>
    </w:p>
    <w:p>
      <w:pPr>
        <w:pStyle w:val="ListParagraph"/>
        <w:numPr>
          <w:ilvl w:val="0"/>
          <w:numId w:val="2"/>
        </w:numPr>
        <w:spacing w:after="60"/>
      </w:pPr>
      <w:r>
        <w:rPr>
          <w:b/>
        </w:rPr>
        <w:t xml:space="preserve">Margen</w:t>
      </w:r>
      <w:r>
        <w:t xml:space="preserve">: muy por encima del de los mayoristas maduros [23].</w:t>
      </w:r>
    </w:p>
    <w:p>
      <w:pPr>
        <w:pStyle w:val="ListParagraph"/>
        <w:numPr>
          <w:ilvl w:val="0"/>
          <w:numId w:val="2"/>
        </w:numPr>
        <w:spacing w:after="60"/>
      </w:pPr>
      <w:r>
        <w:rPr>
          <w:b/>
        </w:rPr>
        <w:t xml:space="preserve">Caja</w:t>
      </w:r>
      <w:r>
        <w:t xml:space="preserve">: existencias del 27-32 % de las ventas; flujo operativo casi nulo [1, 3].</w:t>
      </w:r>
    </w:p>
    <w:p>
      <w:pPr>
        <w:pStyle w:val="ListParagraph"/>
        <w:numPr>
          <w:ilvl w:val="0"/>
          <w:numId w:val="2"/>
        </w:numPr>
        <w:spacing w:after="60"/>
      </w:pPr>
      <w:r>
        <w:rPr>
          <w:b/>
        </w:rPr>
        <w:t xml:space="preserve">Gobierno</w:t>
      </w:r>
      <w:r>
        <w:t xml:space="preserve">: fundador con acciones pignoradas que vende cada año [29].</w:t>
      </w:r>
    </w:p>
    <w:p>
      <w:pPr>
        <w:pStyle w:val="Heading2"/>
      </w:pPr>
      <w:r>
        <w:t xml:space="preserve">Qué tiene que pasar para que la tesis funcione</w:t>
      </w:r>
    </w:p>
    <w:p>
      <w:pPr>
        <w:spacing w:after="100"/>
      </w:pPr>
      <w:r>
        <w:t xml:space="preserve">El margen y las existencias. La señal de que la tesis aguanta: en el 3T26 (hacia el 10-nov) un margen operativo de al menos el 17 % con ventas de 425.000 M o más y existencias que no suben; la de que falla: margen por debajo del 15 %, otra marca grande que monte su propia distribución o existencias por encima del 35 % de las ventas.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frente a las marcas y el efecto del won.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anualizadas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y riesgo de descuentos.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la UE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249.300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las marcas aprietan.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USD/KRW y EUR/KRW</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 y 1.488 (20-oct)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1.300 y &lt; 1.450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5 % de won ≈ 2,4 puntos de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Silicon2 se fundó el 19-ene-2002 en Corea como empresa de componentes electrónicos y se reconvirtió en exportadora de cosmética coreana con la plataforma Stylekorean (tienda en línea al público y, sobre todo, venta mayorista a tiendas y distribuidores de todo el mundo) [1]. Salió a bolsa en el KOSDAQ en septiembre de 2021. Desde 2022 abrió filiales y almacenes propios fuera de Corea (Japón, Malasia, Polonia, Países Bajos, Rusia, Reino Unido, Singapur, Francia, EAU, México, Italia, Alemania, España y Portugal) para vender con stock local [1]. Con la moda de la cosmética coreana las ventas pasaron de 131.002 M (2021) a 1,12 billones (2025). En 2025 entró como inversor Glenwood Credit (RCPS de 144.000 M) y en 2026 CVC (300.000 M), que tiene dos consejeros desde el 1-oct-2026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(19-ene)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KOSDAQ (septiembre); inversiones minoritarias en marcas coreanas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Japón y Malasia; premio al exportador de 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Polonia (almacén), Países Bajos y Rusia (moida); ventas +107 %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Singapur y Francia; ventas de 691.522 M (+102 %)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EAU, México, Italia, Alemania, España y Portugal; ventas de 1,12 billones; RCPS de 144.000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invierte 300.000 M (septiembre); almacén de Yongin; ≈ 30 tiendas moida [22].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rPr>
          <w:b/>
        </w:rPr>
        <w:t xml:space="preserve">Silicon2 es sobre todo un mayorista</w:t>
      </w:r>
      <w:r>
        <w:t xml:space="preserve">: compra cosmética a cientos de marcas coreanas y la revende a tiendas, cadenas, farmacias y distribuidores de 175 países por su plataforma en línea Stylekorean Wholesale. Eso fue el 93,4 % de las ventas de 2025 (1.042.484 M); la venta al público en su tienda en línea Stylekorean.com y en ≈ 30 tiendas moida fue solo el 3,9 % (42.985 M) y los servicios logísticos (fulfillment) el 2,8 % [1]. Las ventas al público pesan cada vez menos (5,1 % en 2023). Tiene ≈ 22.000 referencias de unas 1.000 marcas, stock en almacenes propios en Corea, Polonia, EE. UU., EAU y otros países, y unos 1,6 millones de miembros en la tienda [1, 18].</w:t>
      </w:r>
    </w:p>
    <w:p>
      <w:pPr>
        <w:pStyle w:val="Heading2"/>
      </w:pPr>
      <w:r>
        <w:t xml:space="preserve">Cómo gana dinero</w:t>
      </w:r>
    </w:p>
    <w:p>
      <w:pPr>
        <w:spacing w:after="100"/>
      </w:pPr>
      <w:r>
        <w:t xml:space="preserve">Compra a la marca con descuento y vende al cliente profesional con margen: el margen bruto es del 31 % (2025) y, como gasta poco en publicidad (no es marca), el margen operativo es del 18-20 % [1]. Gana porque resuelve a la tienda extranjera la compra de muchas marcas pequeñas coreanas (pedido mínimo bajo, stock local, cumplimiento regulatorio de cada país) y a la marca la exportación sin montar red propia. Lo que más pesa en el resultado: el tipo de cambio (vende en dólares y euros y compra en wones), la mezcla de marcas y el poder de negociación con las marcas que crecen. Necesita mucho circulante (existencias del 27 %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a empresas (Stylekorean Wholesale, 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al público (Stylekorean.com y tiendas moida, 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Fulfillment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a empresas (Stylekorean Wholesale, 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al público (Stylekorean.com y tiendas moida, 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Fulfillment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miles de clientes profesionales: distribuidores, cadenas de belleza, farmacias, tiendas en línea (iHerb es el mayor, con el 6,1 % de las ventas de 2025) y tiendas de cosmética coreana en Europa, Oriente Medio, Latinoamérica y el Sudeste Asiático; ninguno pasa del 10 % [1]. Su poder de negociación es moderado (pueden comprar a otros mayoristas o directamente a las marcas grandes). Del lado de los proveedores, las marcas que crecen pueden saltarse al distribuidor: Goodai Global (Beauty of Joseon, TIRTIR, Skinfood), cuyas marcas eran el 23,6 % de las ventas de Silicon2 en el 3T25, compró en febrero de 2026 a su distribuidor en EE. UU. (Hansung USA) [20], y APR vende directo en Europa desde 2025 [21, 28].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mayorista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al público es el 3,9 % y el fulfillment el 2,8 %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la 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249.300 M (solo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+60 % anualizado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(UE más Reino Unido) ≈ 42 % de las ventas del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201.800 M (2025); 135.000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por la competencia y los aranceles; 18 % de las ventas del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300.125 M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450.971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adelantada según la dirección [3,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3T26 bajará por el won (Hana: 78.100 M sobre ≈ 430.000 M de ventas)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exportación de cosmética coreana, que Silicon2 distribuye fuera de Corea. Las exportaciones coreanas de cosmética fueron de 11.420 M USD en 2025 (+12,9 %) [24] y de 9.637 M USD de enero a agosto de 2026 (+31,2 %); en el 3T26, 3.379 M USD (+38,2 %) [19, 25]. Silicon2 vende ≈ 840 M USD al año (2025) [1]: ≈ 7 % de esas exportaciones. Usamos las exportaciones coreanas de cosmética (a precio de exportación, en USD) como mercado final; es el mercado que puede repartirse entre marcas que venden directo y distribuidores.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11.420 M USD en 2025 (≈ 15.171 miles de millones de KRW a 1328,46 KRW/USD) [24]; ≈ 15.000 M USD previstos en 2026 (+31 % hasta agosto)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cientos de marcas coreanas exportan, unas directamente (APR, Goodai, Amorepacific) y otras a través de mayoristas como Silicon2; la distribución en cada país la hacen importadores locales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de la cosmética coreana fuera de Corea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+31,2 % en enero-agosto de 2026 y +38,2 % en el 3T26 [19,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que venden directo (desintermediación)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Goodai Global compró a Hansung USA (febrero de 2026) [20]; APR vende directo en Amazon Europa y Sephora [21,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(won)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en USD y EUR y compra en KRW: un won un 5 % más fuerte resta ≈ 2,4 puntos de margen (NH)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combinado del 12,5 % a las importaciones coreanas desde el 24-jul-2026 [27]; EE. UU. es el 18 % de las ventas de Silicon2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mercados (Europa, Oriente Medio,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UE creció del 28 % de las ventas en 2025 a un tercio en el 1S26; filiales nuevas en España, Portugal, Alemania, Italia, México y EAU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mayoristas y exportadores coreanos (Hansung, hoy Goodai Global USA; empresas pequeñas de exportación) y las propias marcas compiten; Silicon2 es el mayor de los cotizados [1,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clientes, ninguno por encima del 10 %, pero pueden cambiar de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que tienen éxito negocian mejores condiciones o venden directo (Goodai, APR) [20,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Montar almacenes y licencias en 15 países cuesta, pero las plataformas (Amazon, TikTok Shop) abren otra vía a las marcas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directa de la marca al consumidor y las cadenas que compran directamente a Corea (Sephora, Ulta, Boots).</w:t>
            </w:r>
          </w:p>
        </w:tc>
      </w:tr>
    </w:tbl>
    <w:p>
      <w:pPr>
        <w:spacing w:after="160" w:before="0"/>
      </w:pPr>
    </w:p>
    <w:p>
      <w:pPr>
        <w:pStyle w:val="Heading2"/>
      </w:pPr>
      <w:r>
        <w:t xml:space="preserve">Ciclo</w:t>
      </w:r>
    </w:p>
    <w:p>
      <w:pPr>
        <w:spacing w:after="100"/>
      </w:pPr>
      <w:r>
        <w:t xml:space="preserve">La cosmética coreana vive una fase de moda fuera de Corea con exportaciones creciendo un 30-40 % [19]. Silicon2 no ha vivido como cotizada una caída del sector; el riesgo es doble: que la moda se enfríe y que las marcas grandes dejen de necesitar distribuidor. Indicadores: exportaciones mensuales de cosmética (aduanas), tipo de cambio y peso de las cinco primeras marcas en sus ventas.</w:t>
      </w:r>
    </w:p>
    <w:p>
      <w:pPr>
        <w:pStyle w:val="Heading2"/>
      </w:pPr>
      <w:r>
        <w:t xml:space="preserve">Regulación</w:t>
      </w:r>
    </w:p>
    <w:p>
      <w:pPr>
        <w:spacing w:after="100"/>
      </w:pPr>
      <w:r>
        <w:t xml:space="preserve">Cada país regula la cosmética (en la UE el reglamento 1223/2009, con persona responsable y notificación en el portal CPNP; en EE. UU. la ley MoCRA): Silicon2 hace ese trámite por las marcas pequeñas, que es parte de su valor [1]. Aranceles de EE. UU.: 12,5 % combinado desde el 24-jul-2026 [27]. Rusia (≈ 3 % de las ventas en el 1S26) puede verse afectada por sanciones.</w:t>
      </w:r>
    </w:p>
    <w:p>
      <w:pPr>
        <w:pStyle w:val="Heading2"/>
      </w:pPr>
      <w:r>
        <w:t xml:space="preserve">Tendencias y disrupción</w:t>
      </w:r>
    </w:p>
    <w:p>
      <w:pPr>
        <w:spacing w:after="100"/>
      </w:pPr>
      <w:r>
        <w:t xml:space="preserve">Tres tendencias. (1) La cosmética coreana pasa de moda a categoría y entra en cadenas físicas de Europa y EE. UU.: más volumen, pero las cadenas grandes prefieren comprar directo a las marcas grandes [21, 26]. (2) Las marcas que crecen integran la distribución (Goodai-Hansung en EE. UU., APR en Europa) y dejan al mayorista las marcas pequeñas y medianas [20, 21]. (3) Silicon2 responde con venta al público (moida, «el Olive Young de Europa») y más almacenes locales [18,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mayor distribuidor mayorista cotizado de cosmética coreana: ≈ 840 M USD de ventas en 2025, el ≈ 7 % de las exportaciones coreanas de cosmética [1, 24]. Su ventaja es la red: almacenes y filiales en 15 países, licencias y registros hechos, y miles de clientes profesionales.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Bajando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Goodai Global USA (antes Hansung USA)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de cosmética coreana en EE. UU. comprado en febrero de 2026 por Goodai Global (Beauty of Joseon, TIRTIR, Skinfood), cuyas marcas eran el 23,6 % de las ventas de Silicon2 en el 3T25 [20].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 (Medicube)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278470.KS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2.294.466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vende directo en Amazon EE. UU. y Europa y en cadenas: el ejemplo de marca que no necesita mayorista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Paltac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8283.T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japonés de cosmética y productos de higiene: margen operativo del 1,9 %, la referencia de un distribuidor maduro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Arata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japonés de productos del hogar y cosmética; margen operativo del 1,2 %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Sally Beauty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4.953.981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 y minorista de productos de belleza profesionales (EE. UU. y Europa)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marcas atraen más tiendas y más tiendas atraen más marcas pequeñas: 22.000 referencias y clientes en 175 países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una tienda pequeña es cómodo comprar muchas marcas a un solo proveedor con stock local; para una marca grande no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y licencias en cada país y la marca Stylekorean; no tiene marcas de producto propias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logística (Polonia, Yongin, EAU): el coste por pedido baja con el volumen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en crecimiento, con espacio para otros mayoristas.</w:t>
            </w:r>
          </w:p>
        </w:tc>
      </w:tr>
    </w:tbl>
    <w:p>
      <w:pPr>
        <w:spacing w:after="160" w:before="0"/>
      </w:pPr>
    </w:p>
    <w:p>
      <w:pPr>
        <w:pStyle w:val="Heading2"/>
      </w:pPr>
      <w:r>
        <w:t xml:space="preserve">Amenazas</w:t>
      </w:r>
    </w:p>
    <w:p>
      <w:pPr>
        <w:spacing w:after="100"/>
      </w:pPr>
      <w:r>
        <w:t xml:space="preserve">Lo más probable es la desintermediación: que las marcas que crecen vendan directo o con distribuidores propios (Goodai Global compró a Hansung USA; APR vende directo en Europa) [20, 21]. Las cinco primeras marcas pesan mucho en las ventas (las de Goodai eran el 23,6 % en el 3T25), así que perder una cuesta varios puntos de crecimiento (probabilidad media-alta, impacto alto). Segunda: que se enfríe la moda (media en 3-5 años). Tercera: el won fuerte, que se come el margen cada trimestre (alta, impacto medio).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70,9 %</w:t>
      </w:r>
      <w:r>
        <w:t xml:space="preserve">, EBITDA </w:t>
      </w:r>
      <w:r>
        <w:rPr>
          <w:b/>
          <w:bCs/>
        </w:rPr>
        <w:t xml:space="preserve">109,2 %</w:t>
      </w:r>
      <w:r>
        <w:t xml:space="preserve">, BPA </w:t>
      </w:r>
      <w:r>
        <w:rPr>
          <w:b/>
          <w:bCs/>
        </w:rPr>
        <w:t xml:space="preserve">106,6 %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131.002 M KRW en 2021 a 1.116.287 M en 2025: un crecimiento anual del 70,8 %, todo orgánico, que se duplicó en 2023 (+107 %) y en 2024 (+102 %) y siguió en 2025 (+61 %) [1, 2]. En el 1S26 crecieron un 46,6 % (749.153 M) [3]. </w:t>
      </w:r>
      <w:r>
        <w:rPr>
          <w:b/>
        </w:rPr>
        <w:t xml:space="preserve">El 93,4 % de las ventas de 2025 fue mayorista a empresas</w:t>
      </w:r>
      <w:r>
        <w:t xml:space="preserve"> (plataforma Stylekorean Wholesale: 1.042.484 M), el 3,9 % venta al público (tienda en línea Stylekorean.com y tiendas moida: 42.985 M) y el 2,8 % servicios de fulfillment (30.815 M) [1]. El margen operativo subió del 6,7 % (2021) al 19,9 % (2024) y bajó al 18,4 % en 2025; en el 1S26 fue del 19,7 % [1, 3]. Es un margen muy alto para un distribuidor: el margen bruto es del 31 % (2025) y los gastos generales solo el 12,7 % de las ventas. Últimos doce meses: 1.354.477 M de ventas y 252.961 M de beneficio operativo (18,7 %).</w:t>
      </w:r>
    </w:p>
    <w:p>
      <w:pPr>
        <w:pStyle w:val="Heading2"/>
      </w:pPr>
      <w:r>
        <w:t xml:space="preserve">Ajustes y partidas no recurrentes</w:t>
      </w:r>
    </w:p>
    <w:p>
      <w:pPr>
        <w:spacing w:after="100"/>
      </w:pPr>
      <w:r>
        <w:t xml:space="preserve">Cifras publicadas K-IFRS, sin ajustes. Tres avisos. (1) El resultado financiero incluye diferencias de cambio (ganancias con el won débil: +11.133 M en 2024, +11.340 M en 2025 y +16.206 M en el 1S26) y resultados de asociadas; no es recurrente en la misma cuantía [1, 3]. (2) El 4T25 llevó bonus y una provisión de existencias que bajaron el margen operativo al 13,9 % [1, 15]. (3) Las RCPS de 2025 (144.000 M de Silk SPV) se contabilizaron como pasivo financiero más un derivado hasta su conversión en abril de 2026 [1, 14]. El BPA de los últimos doce meses es una aproximación (el del 1S25 sale del beneficio del semestre entre ≈ 60,9 M de acciones).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y beneficio operativo de cada trimestre de los informes trimestrales, semestrales y anuales y del aviso de resultados provisionales del 2T26 [1, 3, 5, 6, 7, 8]; los trimestres del año anterior (1T24 149.927 M, 2T24 181.361 M, 3T23 100.951 M, 4T23 105.677 M) salen de los comparativos de esos informes. EBITDA = beneficio operativo + la amortización del semestre repartida a partes iguales (estimación). No hemos encontrado el BPA trimestral ni el consenso previo de cada trimestre en una fuente primaria. El 2T26 (12-ago) fue récord: ventas de 402.597 M (+51,8 %) y beneficio operativo de 82.970 M (20,6 %) [8]; la acción subió un 13 % ese día y cayó un 9,8 % el siguiente. Para el 3T26 (resultados hacia el 10-nov, estimado) el consenso de FnGuide espera 434.200 M de ventas y 84.800 M de beneficio operativo [15], pero las casas recortan: Hana a 78.100 M y Kiwoom a 67.900 M por el won (un 5,6 % más fuerte frente al dólar y un 6,5 % frente al euro en el trimestre)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709.448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390.548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(2022-2025: Filiales comerciales de creación propia en Japón (empresa conjunta, 2022), Malasia (2022), Polonia y Países Bajos (2023), Rusia (moida, 2023), Reino Unido, Singapur y Francia (2024), EAU, México e Italia (2025), Alemania (moida, 2025), España y Portugal (2025) [1]. Participaciones minoritarias en marcas coreanas (asociadas). Ninguna compra de negocio: el crecimiento es orgánico.).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el de un distribuidor que crece: el activo pasó de 97.392 M (2021) a 964.459 M (jun-2026) y casi todo es circulante. </w:t>
      </w:r>
      <w:r>
        <w:rPr>
          <w:b/>
        </w:rPr>
        <w:t xml:space="preserve">Las existencias son la cifra que vigilar</w:t>
      </w:r>
      <w:r>
        <w:t xml:space="preserve">: 300.125 M a fin de 2025 (27 % de las ventas, ≈ 142 días de coste de ventas) y 450.971 M a 30-jun-2026 (+50 % en seis meses, frente a unas ventas del semestre +47 %) [1, 3]. La dirección lo atribuye a compras adelantadas por miedo a la congestión de rutas, costes y escasez de envases, y dice no tener problemas de existencias [18]. El circulante comercial (existencias + clientes − proveedores) fue el 27-35 % de las ventas en 2023-2025 (390.548 M en 2025) y ≈ 32 % de las ventas anualizadas del 2T26 [1, 3]. Por eso el crecimiento consume caja y el flujo operativo es casi nulo pese a beneficios de 120.000-170.000 M. Deuda neta muy baja; con el dinero de CVC, caja neta de ≈ 360.000 M.</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-87.643</w:t>
      </w:r>
      <w:r>
        <w:t xml:space="preserve">, conversión </w:t>
      </w:r>
      <w:r>
        <w:rPr>
          <w:b/>
          <w:bCs/>
        </w:rPr>
        <w:t xml:space="preserve">-25 %</w:t>
      </w:r>
      <w:r>
        <w:t xml:space="preserve"> del beneficio neto; adquisiciones 17.720, dividendos 0, recompras 0.</w:t>
      </w:r>
    </w:p>
    <w:p>
      <w:pPr>
        <w:spacing w:after="100"/>
      </w:pPr>
      <w:r>
        <w:t xml:space="preserve">El flujo operativo fue de 1.141 M en 2025 frente a un beneficio de 168.585 M (0,7 %): la variación de existencias restó ≈ 148.000 M y la del circulante ≈ 191.000 M [1]. En 2023 fue negativo (−18.474 M) y en 2024 de 60.126 M (50 % del beneficio); en el 1S26, 13.483 M (11 % del beneficio del semestre) [1, 3]. En cinco años el flujo operativo acumulado (55.122 M) no cubre el capex (128.593 M, sobre todo almacenes y la sede de 2022-2024). El crecimiento se ha financiado con la salida a bolsa de 2021 (43.484 M), deuda a corto (145.100 M en 2024), las RCPS de 2025 (144.000 M) y ahora las de CVC (300.000 M) [1, 9]. Primer dividendo en 2026 (306 KRW por 2025: 20.029 M) y primera recompra (4.998 M en el 1S26)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Shinwoo Accounting (신우회계법인)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Shinwoo audita al menos desde 2021, con opinión favorable todos los años; la cuestión clave de auditoría es el reconocimiento de ingresos [1, 2]. Es una firma pequeña para una empresa de 1,1 billones de ventas. Criterios a vigilar: (1) la conversión en caja (flujo operativo del 0,7 % del beneficio en 2025 y del 11 % en el 1S26) por existencias que crecen tanto como las ventas [1, 3]; (2) la valoración de existencias (provisión en el 4T25) en cosmética, que caduca y cambia de moda; (3) los resultados por diferencias de cambio, que inflan el BAI cuando el won se debilita; (4) en 2023 la KRX la designó por un retraso en un aviso obligatorio (nota C).</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casi nulo pese al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1.141 M en 2025 frente a 168.585 M de beneficio; existencias del 27 % de las ventas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+50 % en seis meses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450.971 M a 30-jun-2026; compra adelantada según la dirección [3,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pequeño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Shinwoo, opinión favorable; la cuestión clave es el reconocimiento de ingresos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por 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+16.206 M de resultado no operativo en el 1S26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243.486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350.499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51,1 % · </w:t>
      </w:r>
      <w:r>
        <w:rPr>
          <w:b/>
          <w:bCs/>
        </w:rPr>
        <w:t xml:space="preserve">WACC</w:t>
      </w:r>
      <w:r>
        <w:t xml:space="preserve">: 11,9 %.</w:t>
      </w:r>
    </w:p>
    <w:p>
      <w:pPr>
        <w:spacing w:after="100"/>
      </w:pPr>
      <w:r>
        <w:t xml:space="preserve">Silicon2 crea valor: ROIC del 45,6 % en 2025 frente a un WACC del 11,95 % (34 puntos), por encima del 30 % desde 2023 (13,6 % en 2021 y 16,4 % en 2022) [1, 2]. Viene de un margen operativo del 18-20 % con un capital invertido que gira ≈ 2,5 veces al año; el capital es sobre todo circulante (existencias del 27 % de las ventas). El ROIC incremental de 2021-2025 es del 51,1 %. El ROE de los últimos doce meses es del 42 % (Yahoo). La rentabilidad es alta para un distribuidor porque el margen es el de un especialista (curación de marcas pequeñas, cumplimiento regulatorio, stock local en 15 países) y no el de un mayorista de volumen (Paltac: EBITDA del 2,9 %) [23]. El riesgo es que el margen converja: con nuestro margen operativo de 2033e (15 %) y el circulante del 30 %, el ROIC bajaría hacia el 30 %, aún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-298.721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de 82.274 M y otros activos financieros a corto de 49.222 M (131.496 M); deuda financiera de 68.176 M (68.123 M a corto, con un préstamo de 45.000 M con garantía inmobiliaria tomado en mayo) y arrendamientos de 64.599 M [3, 13]. Después del cierre entraron los 300.000 M de las RCPS de CVC (15-sep), salieron 55.034 M del almacén de Yongin (7-oct) y se firmó un fideicomiso de recompra de 5.000 M (19-oct) [10, 11,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Las RCPS de CVC (300.000 M, 6.666.666 acciones preferentes a 45.000 KRW): votan y cobran dividendo como las ordinarias, se convierten 1:1 desde el 15-sep-2027 y el inversor puede pedir el reembolso del 15-sep-2029 al 15-sep-2036 al precio de emisión más un 2 % anual compuesto [9]. Si la acción no supera los 45.000 KRW, funcionan como deuda (≈ 325.000 M en 2029). Sin litigios ni garantías relevantes declarados; 3.694.590 acciones del fundador (5,6 %) pignoradas como garantía de un impuesto aplazado (nota C).</w:t>
      </w:r>
    </w:p>
    <w:p>
      <w:pPr>
        <w:pStyle w:val="Heading1"/>
      </w:pPr>
      <w:r>
        <w:t xml:space="preserve">12. Asignación de capital</w:t>
      </w:r>
    </w:p>
    <w:p>
      <w:pPr>
        <w:pStyle w:val="Confianza"/>
        <w:spacing w:after="100"/>
      </w:pPr>
      <w:r>
        <w:t xml:space="preserve">Confianza: Alta</w:t>
      </w:r>
    </w:p>
    <w:p>
      <w:pPr>
        <w:spacing w:after="100"/>
      </w:pPr>
      <w:r>
        <w:t xml:space="preserve">Primer dividendo en 2026: 306 KRW por acción de 2025 (20.029 M, el 12 % del beneficio) [1, 3]. Primera recompra en el 1S26 (4.998 M) y un fideicomiso de recompra de 5.000 M el 19-oct-2026 (≈ 146.198 acciones a 34.200 KRW) [12]. Sin plan de valor publicado con objetivo de reparto.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Casi todo el capital va al circulante (existencias y clientes) y a la logística: almacenes en Corea (Yongin, 55.034 M en 2026) y en Europa (de 2.762 m² en 2023 a 20.464 m² en 2026, hub de Polonia) y filiales en 15 países [1, 11, 18]. Para financiarlo ha emitido capital dos veces en dos años (RCPS de 144.000 M en 2025 a 32.695 KRW y de 300.000 M en 2026 a 45.000 KRW), con dilución del 6,7 % y del 10,2 % [9, 14]. El ROE fue del 42 % en los últimos doce meses (Yahoo) y el ROIC alto por el margen, pero el capital invertido crece con las ventas.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Sung-woon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2002 y la dirige desde entonces; convirtió una exportadora pequeña en el mayor distribuidor cotizado de cosmética coreana. Tiene el 28,81 % y el 43,4 % con su grupo [1,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 Robert Inho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Choi Jin-ho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el directivo mejor pagado de 2025 (10.426 M, sobre todo por opciones) [1].</w:t>
            </w:r>
          </w:p>
        </w:tc>
      </w:tr>
    </w:tbl>
    <w:p>
      <w:pPr>
        <w:spacing w:after="160" w:before="0"/>
      </w:pPr>
    </w:p>
    <w:p>
      <w:pPr>
        <w:spacing w:after="100"/>
      </w:pPr>
      <w:r>
        <w:t xml:space="preserve">La dirige su fundador desde 2002, con un equipo pequeño (367 empleados en jun-2026) para 1,1 billones de ventas [3]. La empresa no publica guía anual de ventas ni de beneficio. Como cotizada ha crecido más del 40 % cada año desde 2023. Riesgo de persona clave: el fundador decide la estrategia y las relaciones con las marcas; no hay plan de sucesión publicado. La entrada de CVC (dos consejeros desde el 1-oct-2026) añade un inversor profesional con interés en que la acción supere los 45.000 KRW [33, 34].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Sung-woon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 Robert 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 Jin-ho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Se-hoon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Taek-soon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 Jae-young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Won-bae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(CVC)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 Eun-chul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(CVC)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Sung-woon (fundador) y relacionados (14)</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28,81 % a título personal; bajó del 50,58 % al 43,62 % en abril de 2026 por la conversión de las RCPS de 2025; vendió 187.000 acciones en enero de 2026 y 173.600 en 2025 [29, 30,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Starlink Investment L.P. (CVC)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riesgo (RCPS con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6.666.666 RCPS desde el 15-sep-2026: ≈ 9,2 % de las acciones con voto en base convertida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Silk SPV (Glenwood Credit)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4.404.344 acciones ordinarias desde la conversión de abril de 2026 (≈ 6,7 %); el pacto con el fundador terminó con la conversión; no consta si las mantiene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123.200 acciones; recompra de ≈ 146.198 más en curso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3"/>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ene 2026</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sep 2026</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 2025</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fundador cobró 2.313 M KRW en 2025: 800 M fijos y 1.513 M de bonus ligado a los resultados, no a la rentabilidad sobre el capital [1]. El directivo mejor pagado fue el COO, Choi Jin-ho (10.426 M), por el ejercicio de opciones. No hemos encontrado el resultado de la votación del límite de remuneración.</w:t>
      </w:r>
    </w:p>
    <w:p>
      <w:pPr>
        <w:pStyle w:val="Heading2"/>
      </w:pPr>
      <w:r>
        <w:t xml:space="preserve">Operaciones vinculadas, estructura de control y defensas</w:t>
      </w:r>
    </w:p>
    <w:p>
      <w:pPr>
        <w:spacing w:after="100"/>
      </w:pPr>
      <w:r>
        <w:t xml:space="preserve">El fundador controla con el 43,4 % junto a sus relacionados y preside el consejo además de ser primer ejecutivo [29, 35]. Tiene 3.694.590 acciones (5,6 % del capital) pignoradas como garantía del pago aplazado de un impuesto: si la acción cae mucho, podría tener que vender o aportar más garantías [29]. Una acción, un voto; las RCPS de CVC también votan. El consejo tiene ocho miembros: tres ejecutivos, tres independientes (que forman la comisión de auditoría) y dos de CVC desde el 1-oct-2026 [1, 33]. CVC tiene interés en que la acción suba por encima de 45.000 KRW; si no, puede pedir el reembolso desde 2029.</w:t>
      </w:r>
    </w:p>
    <w:p>
      <w:pPr>
        <w:pStyle w:val="Heading2"/>
      </w:pPr>
      <w:r>
        <w:t xml:space="preserve">Señales de alerta</w:t>
      </w:r>
    </w:p>
    <w:p>
      <w:pPr>
        <w:pStyle w:val="ListParagraph"/>
        <w:numPr>
          <w:ilvl w:val="0"/>
          <w:numId w:val="2"/>
        </w:numPr>
        <w:spacing w:after="60"/>
      </w:pPr>
      <w:r>
        <w:t xml:space="preserve">El fundador vende cada año para pagar impuestos (≈ 9.100-9.600 M en 2025 y 2026) y tiene el 5,6 % del capital pignorado [29, 30, 31].</w:t>
      </w:r>
    </w:p>
    <w:p>
      <w:pPr>
        <w:pStyle w:val="ListParagraph"/>
        <w:numPr>
          <w:ilvl w:val="0"/>
          <w:numId w:val="2"/>
        </w:numPr>
        <w:spacing w:after="60"/>
      </w:pPr>
      <w:r>
        <w:t xml:space="preserve">Presidente del consejo y primer ejecutivo son la misma persona, que es el accionista de control [1].</w:t>
      </w:r>
    </w:p>
    <w:p>
      <w:pPr>
        <w:pStyle w:val="ListParagraph"/>
        <w:numPr>
          <w:ilvl w:val="0"/>
          <w:numId w:val="2"/>
        </w:numPr>
        <w:spacing w:after="60"/>
      </w:pPr>
      <w:r>
        <w:t xml:space="preserve">Designación de la KRX en 2023 por comunicación no fiel (retraso de un aviso)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una guía anual de ventas ni de beneficio. Objetivo de más de 100 tiendas moida en 2027 (≈ 30 hoy) según la prensa [nota B: 6]. Resultados del 3T26 hacia el 10-nov-2026 (estimado: en 2025 fueron el 10-nov; sin aviso de fecha todavía).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a 19-oct-2026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[15] (≈ 72,2 M de acciones: incluye las RCPS de CVC)</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1.594.058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1.976.632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355.794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2.292.893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401.256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52.000,00 – 65.000,00</w:t>
            </w:r>
          </w:p>
        </w:tc>
      </w:tr>
    </w:tbl>
    <w:p>
      <w:pPr>
        <w:spacing w:after="160" w:before="0"/>
      </w:pPr>
    </w:p>
    <w:p>
      <w:pPr>
        <w:pStyle w:val="Heading2"/>
      </w:pPr>
      <w:r>
        <w:t xml:space="preserve">Revisiones de estimaciones</w:t>
      </w:r>
    </w:p>
    <w:p>
      <w:pPr>
        <w:spacing w:after="100"/>
      </w:pPr>
      <w:r>
        <w:t xml:space="preserve">A la baja en octubre por el won: Meritz de 60.000 a 52.000 (1-oct), Kiwoom de 65.000 a 58.000 (12-oct; beneficio operativo del 3T26 de 67.900 M) y Hana de 59.000 a 52.000 (14-oct; 78.100 M, antes 93.300 M) [16, 35, 40]. NH (58.000) calcula que un won un 5 % más fuerte resta ≈ 2,4 puntos de margen [17]. Todas las recomendaciones siguen en comprar; objetivo medio de 58.385 KRW (Yahoo: 57.143 con 7 analistas) [35, 37].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diez su precio entre 2022 y 2024 (de 2.455 a 32.700 KRW) con el salto del beneficio [23]. Llegó a 56.100 KRW el 30-ene-2026 y hoy cotiza a 32.800 (cierre del 20-oct), un 41,5 % por debajo del máximo y un 9,9 % por encima del mínimo de 52 semanas (29.850, 26-jun-2026) [23]. En el año cae un 15,1 % (KOSDAQ −15,5 %) y a un año un 25,4 % (KOSDAQ −10,7 %). Es muy volátil (63 % anual): cayó un 11,8 % el 3-feb (Goodai compra a su distribuidor en EE. UU.) [20] y un 12,8 % el 4-mar (pánico del KOSDAQ por Oriente Medio) [42], subió un 64 % en agosto (2T26 y entrada de CVC) y ha perdido un 40 % desde el 31-ago por el won y los recortes del 3T26 [41]. A 32.800 KRW cotiza a 9.4 veces el BPA de los últimos doce meses y a 9.2 veces el BPA de 2026e del consenso.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 / -10,1 % / -30,1 % / -30,8 %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-39,5 % / +7,9 %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3-feb cayó un 11,8 %: Goodai Global (Beauty of Joseon, TIRTIR, Skinfood), cuyas marcas eran el 23,6 % de las ventas en el 3T25, compró al distribuidor rival Hansung USA y abrió filial en Japón [20]. Es el riesgo de desintermediación, recogido en nuestro margen y en el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4-mar cayó un 12,8 % con el KOSDAQ hundido por la tensión en Oriente Medio (−14 % en dos días) [42]: mercado, no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hasta 54.200 KRW el 31-ago con el 2T26 récord (12-ago: +13 %; 13-ago: −9,8 %) y la inversión de CVC a 45.000 KRW por acción [nota A: 8,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54.200 a 31.800 KRW: el won se fortaleció (+5,6 % frente al dólar y +6,5 % frente al euro en el 3T), las casas recortaron el beneficio del 3T26 (Hana a 78.100 M, Kiwoom a 67.900 M) y los objetivos (Meritz, Kiwoom, Hana), y toda la cosmética coreana cayó (≈ −28 % el sector en un mes) [16, 40, 41]. El 16-oct rebotó un 7,5 %. Nuestras cifras ya llevan el 2S26 con el margen recortado.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hacia el 10-nov (estimado). Los recortes por el won ya están en nuestro 2S26. Unos resultados cercanos no aplazan una compra (reglas 11 y 13 del método).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Fideicomiso de recompra de 5.000 M con Samsung Securities (≈ 146.198 acciones) [nota 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Meritz 52.000 (1-oct), Kiwoom 58.000 (12-oct), Hana 52.000 (14-oct); las 13 casas siguen en comprar (objetivo medio 58.385) [16, 35,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dos consejeros de CVC [nota C: 7]. CVC tiene un bloqueo de un año y conversión desde el 15-sep-2027: no hay colocación posible 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RCPS de CVC por 300.000 M a 45.000 KRW (decididas el 18-ago, pagadas el 15-sep): dilución del 10,2 % contada en el BPA; reembolso a petición desde 2029 tratado como deuda en el DCF [nota A: 9,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Nam-young (directiva) vende 20.772 acciones a 48.000-52.350 KRW [nota C: 6]. Importe pequeño (≈ 1.000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las RCPS de 2025 (4.404.344 acciones de Silk SPV, 6,7 %); el fundador baja del 50,58 % al 43,62 % con su grupo [nota A: 14; nota C: 3]. Silk SPV puede vender desde entonces: posible presión vendedora, sin colocación anunciada.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vende 187.000 acciones (≈ 9.100 M) del 23 al 29-ene para pagar impuestos, como en 2025 (173.600 acciones) [nota C: 4, 5]. Motivo declarado; el 0,3 % del capital.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Goodai Global compra a Hansung USA, distribuidor rival en EE. UU. [20]. Recogido en el margen y en el bajista.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25 % en un mes y un 40 % desde el máximo de 52 semanas con causas conocidas: el won fuerte, los recortes del beneficio del 3T26 y la caída de toda la cosmética coreana; la desintermediación (Goodai) ya la había castigado en febrero. Todo eso está en nuestras cifras (2S26 con margen recortado, margen que baja y bajista de desintermediación). No hay hecho pendiente con fecha que pueda mover el precio más de un 5 %: CVC está bloqueado un año, no hay colocación anunciada de Silk SPV y las ventas del fundador son pequeñas y con motivo declarado (impuestos). La empresa recompra. Los resultados del 3T26 no aplazan nada según el método.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Cinco cierres como cotizada. PER adelantado (cierre ÷ BPA real del año siguiente): 2021 18,1x (3.216,67 ÷ 178); 2022 3,9x (2.455 ÷ 623); 2023 3,9x (7.710 ÷ 1.981); 2024 12,0x (32.700 ÷ 2.714); 2025 ≈ 11-12x sobre nuestro BPA de 2026e [D1, nota A]. Los de 2022 y 2023 miden la sorpresa del crecimiento (el BPA se multiplicó por 3,5 en 2023 y por 3,2 en 2024) más que una valoración: los excluimos como BPA atípico y lo decimos en el objetivo a 12 meses. PER al cierre (BPA del propio año): 21,6x, 13,8x, 12,4x, 16,5x y 14,2x.</w:t>
      </w:r>
    </w:p>
    <w:p>
      <w:pPr>
        <w:pStyle w:val="Heading1"/>
      </w:pPr>
      <w:r>
        <w:t xml:space="preserve">18. Comparables cotizados</w:t>
      </w:r>
    </w:p>
    <w:p>
      <w:pPr>
        <w:pStyle w:val="Confianza"/>
        <w:spacing w:after="100"/>
      </w:pPr>
      <w:r>
        <w:t xml:space="preserve">Confianza: Media</w:t>
      </w:r>
    </w:p>
    <w:p>
      <w:pPr>
        <w:spacing w:after="100"/>
      </w:pPr>
      <w:r>
        <w:t xml:space="preserve">Marcas y fabricantes de cosmética coreanos cotizados (APR, d'Alba, VT, Clio, Amorepacific, Cosmax, Kolmar Korea) y tres distribuidores de belleza fuera de Corea (Paltac y Arata en Japón; Sally Beauty en EE. UU.). PER de los próximos 12 meses = precio ÷ (0,2 × BPA 2026e + 0,8 × BPA 2027e) de Yahoo; Paltac y Arata (ejercicio a marzo) con 0,45 × marzo-2027 + 0,55 × marzo-2028; Sally Beauty con el ejercicio a sept-2027. EV/EBITDA de los próximos 12 meses en blanco: Yahoo no da un EBITDA futuro homogéneo.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11.605.828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d'Alba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2.013.931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Clio Cosmetics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Amorepacific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9.505.002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3.069.002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Kolmar Korea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3.000.205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Paltac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Sally Beauty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11,8x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56.518,09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12,8x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39.393,49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52.524,66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63.604,07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1.354.477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 / 1,2x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9.422,54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39.171,37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spacing w:after="100"/>
      </w:pPr>
      <w:r>
        <w:t xml:space="preserve">No hay un comparable perfecto: las marcas coreanas tienen más margen y más riesgo de moda; los distribuidores maduros (Paltac, Arata, Sally) crecen un 1-3 % con márgenes EBITDA del 2-10 %. Mediana del grupo: 12.8 veces el BPA de los próximos doce meses. Silicon2, a 32.800 KRW, cotiza a 7.6 veces el BPA del consenso de Yahoo, por debajo de todos salvo Sally Beauty y VT, con un crecimiento del 30-40 % y un margen EBITDA del 19,6 %. El descuento refleja tres dudas: que el margen de distribuidor sea sostenible (los mayoristas maduros ganan un 2-3 %), que las marcas grandes se la salten y el won.</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Silicon2 (RCPS, ≈ 9,2 % en base convertida)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CVC (Starlink Investment L.P.)</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300.000 M a 45.000 KRW por acción, con derecho a reembolso al 2 % anual desde 2029: una inversión minoritaria con protección, no una compra de control [nota A: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(RCPS, ≈ 6,7 %)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SPV (Glenwood Credit)</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144.000 M a 32.695 KRW por acción; convertidas en abril de 2026.</w:t>
            </w:r>
          </w:p>
        </w:tc>
      </w:tr>
    </w:tbl>
    <w:p>
      <w:pPr>
        <w:spacing w:after="160" w:before="0"/>
      </w:pPr>
    </w:p>
    <w:p>
      <w:pPr>
        <w:spacing w:after="160" w:before="0"/>
      </w:pPr>
    </w:p>
    <w:p>
      <w:pPr>
        <w:spacing w:after="100"/>
      </w:pPr>
      <w:r>
        <w:t xml:space="preserve">No hay compras de distribuidores de cosmética comparables con precio público (la de Hansung USA por Goodai Global no publicó importe). Las dos rondas de capital de Silicon2 dan una referencia: CVC pagó 45.000 KRW por acción en agosto de 2026 (con protección a la baja), un 37 % más que el precio de hoy.</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70,8 % anual entre 2021 y 2025 (131.002 M a 1.116.287 M), todo orgánico, y un 46,6 % en el 1S26 (749.153 M) [1, 3]. Proyectamos 1.594.058 M en 2026e (+42,8 %: el 1S publicado y un 2S de ≈ 845.000 M, por debajo del consenso de 856.100 M por el won [15, 16]), un 24 % en 2027e y un 16 % en 2028e, bajando al 4 % en 2033e. Es menos que el consenso (+27,7 % y +20,9 %) [15] por tres motivos: la base ya es grande, las marcas que más crecen tienden a saltarse al distribuidor (las de Goodai eran el 23,6 % de las ventas en el 3T25 [20]) y EE. UU. está plano. El mercado (exportaciones coreanas de cosmética) crece un 30-40 % en 2026 y prevemos un ≈ 8-9 % anual después [19, 24].</w:t>
      </w:r>
    </w:p>
    <w:p>
      <w:pPr>
        <w:keepNext/>
        <w:spacing w:after="100"/>
      </w:pPr>
      <w:r>
        <w:rPr>
          <w:b/>
          <w:bCs/>
        </w:rPr>
        <w:t xml:space="preserve">Márgenes.</w:t>
      </w:r>
    </w:p>
    <w:p>
      <w:pPr>
        <w:spacing w:after="100"/>
      </w:pPr>
      <w:r>
        <w:t xml:space="preserve">El margen EBITDA pasó del 8,5 % (2021) al 20,7 % (2024) y al 19,2 % (2025); el operativo fue del 19,7 % en el 1S26 [1, 3]. ¿Se mantiene? Proyectamos un margen EBITDA del 18,6 % en 2026e (3T26 con un margen operativo del ≈ 17,6 % y 4T26 del ≈ 14,3 %, en línea con los recortes de Hana y Kiwoom por el won [16, 40]), del 18 % en 2027e y bajando al 16 % en 2031e. Es un margen muy superior al de los mayoristas maduros (EBITDA del 1,7-2,9 % en Paltac y Arata; 10,5 % en Sally Beauty) [23], y esa es la duda principal: hoy lo sostienen la curación de marcas pequeñas, el cumplimiento regulatorio en 175 países y el won débil. Bajamos 3 puntos en siete años y el bajista quita 5 más.</w:t>
      </w:r>
    </w:p>
    <w:p>
      <w:pPr>
        <w:keepNext/>
        <w:spacing w:after="100"/>
      </w:pPr>
      <w:r>
        <w:rPr>
          <w:b/>
          <w:bCs/>
        </w:rPr>
        <w:t xml:space="preserve">Inversión y circulante.</w:t>
      </w:r>
    </w:p>
    <w:p>
      <w:pPr>
        <w:spacing w:after="100"/>
      </w:pPr>
      <w:r>
        <w:t xml:space="preserve">Capex del 5,8 % de las ventas en 2026e (36.450 M en el 1S26 más el almacén de Yongin de 55.034 M [3, 11]) y del 1,8 % después (incluye almacenes en Europa y tiendas moida); amortización del 1 %. Circulante comercial del 33 % de las ventas en 2026e, bajando al 30 % en 2029e (35 % en 2025; 27-29 % en 2023-2024) [1, 3]: el gran consumo de capital del negocio.</w:t>
      </w:r>
    </w:p>
    <w:p>
      <w:pPr>
        <w:keepNext/>
        <w:spacing w:after="100"/>
      </w:pPr>
      <w:r>
        <w:rPr>
          <w:b/>
          <w:bCs/>
        </w:rPr>
        <w:t xml:space="preserve">Coste del capital.</w:t>
      </w:r>
    </w:p>
    <w:p>
      <w:pPr>
        <w:spacing w:after="100"/>
      </w:pPr>
      <w:r>
        <w:t xml:space="preserve">Todo en KRW: bono coreano a 10 años del 4,45 % (septiembre de 2026, FRED/OCDE) [38]. Beta de 1,0: la medida frente al KOSDAQ es de 0,62 mensual y 0,69 semanal (0,75-0,79 ajustadas) con una volatilidad del 63 % [23]; la subimos a 1,0 porque el KOSDAQ lo mueven la biotecnología y las baterías y no refleja el riesgo de un distribuidor de una moda de consumo. Prima de mercado del 5,5 % (4,2 % implícita en EE. UU. [39] más riesgo de Corea) y prima adicional de 2 puntos: dependencia de pocas marcas que pueden saltársela, tipo de cambio, gobierno (fundador con acciones pignoradas) y tamaño. Sin peso de deuda (caja neta): WACC del 11,95 %, medio punto más que las marcas coreanas del repositorio (APR y d'Alba, 11,45 %).</w:t>
      </w:r>
    </w:p>
    <w:p>
      <w:pPr>
        <w:keepNext/>
        <w:spacing w:after="100"/>
      </w:pPr>
      <w:r>
        <w:rPr>
          <w:b/>
          <w:bCs/>
        </w:rPr>
        <w:t xml:space="preserve">Valor terminal.</w:t>
      </w:r>
    </w:p>
    <w:p>
      <w:pPr>
        <w:spacing w:after="100"/>
      </w:pPr>
      <w:r>
        <w:t xml:space="preserve">Crecimiento a perpetuidad del 3,0 %, por debajo del bono coreano (4,45 %) y del mercado previsto: supone que en 2033 es un distribuidor maduro. El valor terminal pesa el 59 % del valor; el múltiplo de salida implícito es de 7 veces el EBITDA, como Arata y Sally Beauty hoy (7,0 y 7,4 veces) [23].</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3.181.698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144.367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1.571.395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2.655.524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40.734,92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45.052,70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47.079,83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39.819,65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37.624,52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38.931,18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44.935,81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48.779,28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50.102,71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791.020 M (32 %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(ROIC 45,6 %)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 frente al 14,6 %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 (histórico: 51,1 %)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(hoy: 7,4 %)</w:t>
            </w:r>
          </w:p>
        </w:tc>
      </w:tr>
    </w:tbl>
    <w:p>
      <w:pPr>
        <w:spacing w:after="160" w:before="0"/>
      </w:pPr>
    </w:p>
    <w:p>
      <w:pPr>
        <w:spacing w:after="100"/>
      </w:pPr>
      <w:r>
        <w:t xml:space="preserve">La proyección reinvierte el 32 % del NOPAT. Con el ROIC del último ejercicio (45,6 %), eso financia un crecimiento del 14,5 % anual, frente al 14,6 % de ingresos proyectado. Supone que el capital nuevo rinde un 26,6 %, frente a un ROIC incremental histórico del 51,1 %; la cuota de mercado pasaría al 10,3 % desde el 7,4 %.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+40 %: Europa (UE +60 % anualizado en el 1S26 y almacenes nuevos), Oriente Medio, Latinoamérica y Sudeste Asiático; EE. UU. plano [3]; precio y mezcla del +1 % (el won fuerte resta en KRW); +1,8 puntos de venta al público (moida) y fulfillment.</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+22 % (año completo de las filiales de España, Portugal, Alemania, Italia y México y ≈ 100 tiendas moida), precio del +1 % y un punto de canales nuevos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+14,5 %, precio del +1 % y medio punto de canales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+7 % y precio del +1 %. Ventas de 2,75 billones de KRW: el 10,3 % de las exportaciones coreanas de cosmética previstas en 2030e (≈ 20.000 M USD) frente al 7,4 % de hoy [24].</w:t>
            </w:r>
          </w:p>
        </w:tc>
      </w:tr>
    </w:tbl>
    <w:p>
      <w:pPr>
        <w:spacing w:after="160" w:before="0"/>
      </w:pPr>
    </w:p>
    <w:p>
      <w:pPr>
        <w:spacing w:after="100"/>
      </w:pPr>
      <w:r>
        <w:t xml:space="preserve">Sí, por poco en la segunda prueba. (1) El crecimiento proyectado (14,6 % de media en 2026e-2033e, 10,6 % sin 2026e) es una quinta parte del histórico (70,8 % en 2021-2025). (2) Crecer consume capital (circulante del 30 % de las ventas): la proyección reinvierte el 32 % del NOPAT, que al ROIC de 2025 (45,6 %) financia un 14,5 % anual frente al 14,6 % proyectado; supone que el capital nuevo rinde un 26,6 %, la mitad del ROIC incremental histórico (51,1 %). (3) La cuota pasaría del 7,4 % al 10,3 % de las exportaciones coreanas de cosmética: posible, pero exige que las marcas no se lo salten. El riesgo es de margen y de proveedores, no de demanda: por eso el margen baja en la proyección.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(base: 16,0 %)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(WACC: 11,9 %)</w:t>
            </w:r>
          </w:p>
        </w:tc>
      </w:tr>
    </w:tbl>
    <w:p>
      <w:pPr>
        <w:spacing w:after="160" w:before="0"/>
      </w:pPr>
    </w:p>
    <w:p>
      <w:pPr>
        <w:spacing w:after="100"/>
      </w:pPr>
      <w:r>
        <w:t xml:space="preserve">El DCF da 40.735 KRW por acción, un 24,2 % por encima del precio, con el valor terminal en el 59 % del valor. El precio de 32.800 KRW equivale a que las ventas crezcan solo un 1,9 % al año desde 2027 (base 10,6 %) o a un margen EBITDA del 13,6 % para siempre (base 16 %): el mercado descuenta que el negocio deja de crecer o que el margen converge hacia el de un distribuidor normal. La rentabilidad implícita es del 14,0 % anual frente a un WACC del 11,95 %. Con dos puntos menos de margen en toda la proyección el valor baja a 33.993 KRW (casi el precio); con medio punto más de WACC, a 38.477 KRW. La tabla de sensibilidad va de 32.759 a 50.589 KRW: el margen es la variable que decide.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19.784,17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que más crecen se saltan al distribuidor (como Goodai en EE. UU.) y el won sigue fuerte: 12 puntos menos de crecimiento desde 2027 (ventas casi planas desde 2029) y margen EBITDA 5 puntos más bajo (≈ 11-13 %),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24 % en 2027 y al 16 % en 2028 con Europa, Oriente Medio y Latinoamérica; margen EBITDA del 18 % bajando al 16 %; dividendo pequeño y recompras puntuales.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52.014,81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llega a las ventas del consenso (≈ 2,5 billones en 2028) con el margen de 2025: 5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KRW) · precio actual 3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38.317,21 KRW (+16,8 %).</w:t>
      </w:r>
    </w:p>
    <w:p>
      <w:pPr>
        <w:spacing w:after="100"/>
      </w:pPr>
      <w:r>
        <w:t xml:space="preserve">En el DCF el bajista (19.784 KRW) pierde un 39,7 % y el alcista (52.015 KRW) gana un 58,6 %: asimetría de 1,5 veces. A 12 meses, con el PER propio, el bajista pierde un 45,6 % y el alcista gana un 72,1 %. La tesis alcista necesita que el margen aguante cerca del 19 % (BPA de 4.867 KRW en 2028e, por debajo aún del consenso de 5.143); la bajista, que las marcas grandes se vayan, que es lo que ya hizo Goodai en EE. UU.</w:t>
      </w:r>
    </w:p>
    <w:p>
      <w:pPr>
        <w:pStyle w:val="Heading1"/>
      </w:pPr>
      <w:r>
        <w:t xml:space="preserve">22. Suma de partes</w:t>
      </w:r>
    </w:p>
    <w:p>
      <w:pPr>
        <w:pStyle w:val="Confianza"/>
        <w:spacing w:after="100"/>
      </w:pPr>
      <w:r>
        <w:t xml:space="preserve">Confianza: Media</w:t>
      </w:r>
    </w:p>
    <w:p>
      <w:pPr>
        <w:spacing w:after="100"/>
      </w:pPr>
      <w:r>
        <w:t xml:space="preserve">No la hacemos: el 93 % de las ventas es mayorista y la empresa no publica el resultado de la venta al público ni del fulfillment.</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KRW) · precio actual 3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58.385,00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63.604,07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45.052,70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52.014,81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44.935,40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51.530,60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32.964,00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38.317,21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42.367,56 KRW (+29,2 % sobre 32.800,00).</w:t>
      </w:r>
    </w:p>
    <w:p>
      <w:pPr>
        <w:spacing w:after="100"/>
      </w:pPr>
      <w:r>
        <w:t xml:space="preserve">Pesamos el DCF un 50 %, los escenarios un 30 % y los comparables un 20 %. El DCF da 40.735 KRW (+24,2 %) con un WACC del 11,95 % y el valor terminal en el 59 % del valor; los escenarios van de 19.784 (bajista) a 52.015 KRW (alcista); los comparables por PER de los próximos doce meses dan 52.525 KRW (mediana de 12,8 veces), y los tratamos con cautela porque el grupo mezcla marcas y distribuidores. El valor intrínseco ponderado es de 42.368 KRW, un 29,2 % por encima del precio. Con la prima implícita del mercado (4,2 %) el DCF sale 48.014 KRW. Las RCPS de CVC (45.000 KRW por acción, con reembolso garantizado) no se usan como transacción de referencia: es una inversión minoritaria protegida, no una compra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17.847,00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37.073,07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4.866,53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56.451,75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+73,0 %</w:t>
            </w:r>
          </w:p>
        </w:tc>
      </w:tr>
    </w:tbl>
    <w:p>
      <w:pPr>
        <w:spacing w:after="160" w:before="0"/>
      </w:pPr>
    </w:p>
    <w:p>
      <w:pPr>
        <w:spacing w:after="100"/>
      </w:pPr>
      <w:r>
        <w:rPr>
          <w:b/>
          <w:bCs/>
        </w:rPr>
        <w:t xml:space="preserve">Objetivo a 12 meses (ponderado):</w:t>
      </w:r>
      <w:r>
        <w:t xml:space="preserve"> 37.111,22 KRW · rentabilidad +14,1 % (base +14,0 %) · señal Mantener.</w:t>
      </w:r>
    </w:p>
    <w:p>
      <w:pPr>
        <w:spacing w:after="100"/>
      </w:pPr>
      <w:r>
        <w:t xml:space="preserve">Para comparar, con la regla v2 (historia al cierre, mismo precio): 7,6x / 9,0x / 11,6x, 14,1 % Mantener; con el tope anterior del base (×1,3, 14-oct mediodía): 32,7 % Comprar; con la v3 sin el selector (tope ×1,1): 25,9 %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2027e (3.665 KRW) está un 13 % por debajo del consenso de FnGuide (4.233) y el de 2028e (4.119) un 20 % por debajo (5.143), con las mismas acciones (≈ 72 M, RCPS de CVC incluidas) [15]. La diferencia está sobre todo en el margen: el consenso supone ventas de 2,05 billones en 2027e y 2,48 en 2028e con un margen operativo del 18,5-18,6 %; nosotros, 1,98 y 2,29 billones (+24 % y +16 %) con un margen operativo del 17,0 % y del 16,5 %, porque el won fuerte resta (≈ 2,4 puntos por cada 5 % según NH [17]), las marcas que crecen negocian mejores condiciones o venden directo (Goodai, APR) [nota B] y no contamos las ganancias por diferencias de cambio. Nuestro precio base a 12 meses (37.073 KRW) queda un 36,5 % por debajo del objetivo medio de los 13 analistas (58.385 KRW, rango 52.000-65.000).</w:t>
      </w:r>
    </w:p>
    <w:p>
      <w:pPr>
        <w:keepNext/>
        <w:spacing w:after="100"/>
      </w:pPr>
      <w:r>
        <w:rPr>
          <w:b/>
          <w:bCs/>
        </w:rPr>
        <w:t xml:space="preserve">Del valor intrínseco al objetivo a 12 meses.</w:t>
      </w:r>
    </w:p>
    <w:p>
      <w:pPr>
        <w:spacing w:after="100"/>
      </w:pPr>
      <w:r>
        <w:t xml:space="preserve">El objetivo a 12 meses (37.111 KRW, ponderado 25/50/25) da un 14,1 % con dividendo (14,0 % el base): se queda a 0,9 puntos del 15 % que pide la regla para comprar. El base es un PER de 9,0x (el actual: con historia corta el selector se queda con la v2, la más baja, cuyo base es el menor entre el PER actual y la mediana al cierre) sobre un BPA de 2028e de 4.119 KRW, más un 0,9 % de dividendo (306 KRW). El bajista (7,6x sobre 2.348) pierde un 45,6 %; el alcista (11,6x sobre 4.867) gana un 72,1 %. El BPA de 2028e supone un 14,9 % anual desde 2025 y un 8,5 % desde los últimos doce meses (3.498 KRW, aproximado), con 72,12 M de acciones (dilución de CVC incluida). La regla daría comprar por debajo de 32.537 KRW, un 0,8 % por debajo del precio de hoy.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en 2025 fueron el 10-nov; sin aviso todavía)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FnGuide espera 434.200 M de ventas y 84.800 M de beneficio operativo; las casas que han actualizado esperan 67.900-78.100 M por el won [15, 16, 40]. Nuestro 3T es ≈ 75.000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 a 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 M por fideicomiso con Samsung Securities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(0,2 % del capital); señal de que la empresa ve barata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100 tiendas moida y filiales nuevas en marcha (España, Portugal, Alemania, Italia, México)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venta al público y más margen si las tiendas funcionan; más capital si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2027-09-15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RCPS de CVC pueden convertirse en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10,2 % ya contada en el BPA; si la acción no supera 45.000 KRW, CVC puede esperar al reembolso desde 2029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marca grande que pase a vender directo o compre a su distribuidor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ventas y de margen; el caso Goodai-Hansung USA costó un −11,8 % en un día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marcas coreanas se saltan al distribuidor (desintermediación)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 modelo de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Las marcas de Goodai eran el 23,6 % de las ventas del 3T25 y compró a su distribuidor de EE. UU. [20]; APR vende directo en Europa [21]. En el bajista (−12 puntos de crecimiento y −5 de margen) el DCF cae a 19.784 KRW (−39,7 %) y el objetivo a 12 meses a 17.847 KRW (−45,6 %)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1.000 marcas y 22.000 referencias; las marcas pequeñas y medianas necesitan su red, su stock local y su cumplimiento regulatorio en 175 países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el peso de las cinco primeras marcas baje con caída de ventas en EE. UU. o Europa, o que otra marca grande anuncie distribución propia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distribuidor que converge al de un mayorista normal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Los mayoristas maduros ganan un EBITDA del 1,7-2,9 % (Paltac, Arata) y Sally Beauty un 10,5 % [23]; Silicon2, un 19,6 %. Cada 2 puntos menos de margen en toda la proyección restan ≈ 6.700 KRW por acción al DCF (33.993 KRW)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31 % estable desde 2023 y gastos del 12-13 % de las ventas; el precio de hoy ya descuenta un margen EBITDA del 13,6 %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29 % o margen operativo por debajo del 15 %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 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won un 5 % más fuerte resta ≈ 2,4 puntos de margen (NH) [17]; en el 3T26 subió un 5,6 % frente al dólar y un 6,5 % frente al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muy repartidas (UE, EE. UU., Reino Unido, Oriente Medio, Asia): no depende de una sola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USD/KRW por debajo de 1.300 o EUR/KRW por debajo de 1.450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comercio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EE. UU. es el 18 % de las ventas (1S26) y ya está plano (−0,9 % en 2025) [1, 3]; el arancel combinado del 12,5 % desde el 24-jul-2026 [27] lo paga el importador o el cliente; aun perdiendo un tercio de las ventas en EE. UU. (≈ 6 % del total) el BPA bajaría ≈ 6-7 %, menos que la prueba de BPA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viene de Europa, Oriente Medio y Latinoamérica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más alto o caída de las ventas en EE. UU. de más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y calidad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Existencias de 450.971 M (+50 % en seis meses); flujo operativo del 0,7 % del beneficio en 2025 [1, 3]. Una provisión del 10 % de las existencias costaría ≈ 45.000 M (≈ 470 KRW por acción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tras la entrada de CVC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35 % de las ventas anualizadas o descuentos para darles salida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de la cosmética coreana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+38,2 % en el 3T26 [19]; distribuye todo el catálogo, no depende de un producto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coreanas de cosmética creciendo menos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 acciones pignoradas y CVC con reembolso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fundador vende ≈ 9.000-10.000 M al año para impuestos y tiene el 5,6 % pignorado; CVC puede pedir 45.000 KRW más un 2 % anual desde 2029 [9, 29, 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tres independientes y dos consejeros de CVC [33]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fundador sin motivo declarado o petición de reembolso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 producto físico con stock local; la IA le ayuda a elegir marcas y prever demanda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Plataformas que pongan en contacto directo a marcas coreanas y tiendas extranjeras con agentes automáticos (compras, registros, logística)</w:t>
            </w:r>
          </w:p>
        </w:tc>
      </w:tr>
    </w:tbl>
    <w:p>
      <w:pPr>
        <w:spacing w:after="160" w:before="0"/>
      </w:pPr>
    </w:p>
    <w:p>
      <w:pPr>
        <w:pStyle w:val="Heading2"/>
      </w:pPr>
      <w:r>
        <w:t xml:space="preserve">Pre-mortem</w:t>
      </w:r>
    </w:p>
    <w:p>
      <w:pPr>
        <w:spacing w:after="100"/>
      </w:pPr>
      <w:r>
        <w:t xml:space="preserve">Octubre de 2027: la acción ha perdido un 40 %. El won siguió fuerte, el margen operativo bajó al 14 % en el 4T26 y no volvió; en 2027 otras dos marcas grandes montaron su propia distribución en Europa y las ventas crecieron un 10 %, no el 28 % del consenso; las existencias obligaron a una provisión y a descuentos. El mercado pasó a pagar 7 veces el beneficio, como a un mayorista. Las señales: margen bruto por debajo del 29 %, crecimiento de Europa por debajo del 20 % y existencias que siguen subiendo más que las ventas.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a un almacén ni a un registro sanitario, pero puede abaratar lo que hoy hace Silicon2 para las marcas pequeñas: encontrar compradores, traducir, registrar productos y gestionar pedidos. Si los agentes de compra de las cadenas y tiendas extranjeras pueden buscar y pedir directamente a las marcas coreanas, el papel de «catálogo único» pierde valor. A favor, la empresa usa datos de sus ventas en 175 países para elegir marcas y prever demanda, y la IA abarata su propia operación. Riesgo menor frente a los otros tres (marcas, margen y won).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toca las cifras: (1) gobierno: el fundador controla el 43 % con su grupo y tiene acciones pignoradas; CVC entra en el consejo; (2) cumplimiento regulatorio de producto en 175 países (responsable de las notificaciones); (3) sanciones (Rusia). Impacto ambiental bajo: transporte y envases.</w:t>
      </w:r>
    </w:p>
    <w:p>
      <w:pPr>
        <w:pStyle w:val="Heading2"/>
      </w:pPr>
      <w:r>
        <w:t xml:space="preserve">Controversias</w:t>
      </w:r>
    </w:p>
    <w:p>
      <w:pPr>
        <w:spacing w:after="100"/>
      </w:pPr>
      <w:r>
        <w:t xml:space="preserve">Designación de la KRX en 2023 como «comunicación no fiel» por retrasar un aviso obligatorio (nota C). Sin sanciones relevantes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las cinco primeras marcas y cuánto se ha perdido con Goodai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compra adelantada del 1S26 se ha vendido ya y a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de 450.971 M (+50 % en seis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margen operativo del 19-20 % depende del tipo de cambio?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NH estima 2,4 puntos por cada 5 % de won.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qué se usarán los 300.000 M y qué condiciones tiene el reembolso si la acción no llega a 45.000 KRW?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deuda en la práctica si no convierten.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al público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ganan las tiendas moida y cuánto capital pide llegar a 100?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el perfil del negocio y del capital.</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13 al 20-oct-2026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tras caer de 54.200 a ≈ 32.000 KRW en siete semanas: análisis técnico («hombro-cabeza-hombro», soporte en 30.000), quejas de que compran los particulares mientras venden extranjeros e instituciones, críticas a la empresa por no defender la acción y dudas sobre el won; una minoría alcista a largo plazo recuerda el precio de CVC (45.000)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y análisis coreanos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objetivo por el won pero todas en comprar [16]; las exportaciones de cosmética siguen en récord (+38,2 % en el 3T26) [19]; la cosmética y la alimentación coreanas corrigen como grupo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won fuerte y el margen del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won subió un 5,6 % frente al dólar y un 6,5 % frente al euro en el 3T26; NH estima −2,4 puntos de margen por cada 5 % [16,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extranjeros e instituciones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Plausible (los extranjeros tienen solo el 11,9 %); es flujo, no negocio.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(Goodai, APR)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y estructural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CVC (45.000 KRW) como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Parcial: CVC tiene reembolso garantizado, no necesita que la acción suba.</w:t>
            </w:r>
          </w:p>
        </w:tc>
      </w:tr>
    </w:tbl>
    <w:p>
      <w:pPr>
        <w:spacing w:after="160" w:before="0"/>
      </w:pPr>
    </w:p>
    <w:p>
      <w:pPr>
        <w:spacing w:after="100"/>
      </w:pPr>
      <w:r>
        <w:t xml:space="preserve">Los particulares coreanos están cansados y desconfían; hablan de gráficos y flujos más que del negocio, que sigue creciendo un 40-50 %. Coinciden con los analistas en el miedo al margen del 3T26, pero las 13 casas siguen en comprar con objetivos de 52.000-65.000 KRW. No hay euforia: hay capitulación de parte del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43 (20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26,6 % frente a un ROIC de 45,6 % y un incremental histórico de 51,1 %: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10,3 % en 2030e frente al 7,4 %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35,0 % real: genera una variación de circulante de 135.491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113.318 M de flujo libre medio en sus tres primeros años, frente a -23.756 M de media real en los tres últimos: justifica el salto (circulante, inversión, márgenes) o ajusta los supuestos. Explicación: La media real de 2023-2025 (−23.756 M) es la de una empresa que duplicaba ventas cada año (+107 %, +102 % y +61 %) y que tenía que duplicar existencias para hacerlo: el circulante comercial consumió ≈ 191.000 M solo en 2025 y el flujo operativo fue de 1.141 M [1]. Proyectamos un crecimiento mucho menor (+24 % en 2027e y +16 % en 2028e) con el circulante en el 32-31 % de las ventas (por encima del 27-29 % de 2023-2024), que sigue restando 106.000 M y 78.000 M; el flujo libre de 2026e es casi nulo (5.244 M) por el almacén de Yongin y la compra adelantada de existencias. La media de 113.318 M sale de 2027e-2028e, cuando el crecimiento ya no se come todo el beneficio. Si el crecimiento siguiera por encima del 40 %, el flujo seguiría cerca de cero (y el valor dependería del margen y de la financiación).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DART (solo beneficio; BPA acumulado); 2) FnGuide (consenso vigente, no el previo); 3) prensa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los últimos doce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de 2026 (flujo del 1S26 y 1S25 sin desglose completo del 1S25); 2) informe semestral de 2025 (no descargado); 3) FnGuide (sin flujos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KCGS (sin calificación encontrada); 2) MSCI (sin ficha pública); 3) informe anual 2025 (no menciona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 los distribuidores de cosmética coreana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cuotas); 2) prensa (sin cifras de cuota); 3) asociación de la industria (solo exportaciones)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Goodai Global USA (antes Hansung USA) y otros mayoristas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cotizan; 2) DART (no publican);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las votaciones de la junta de marzo de 2026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aviso de resultado de la junta (sin porcentajes de voto); 2) informe anual (no los da);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foro de Naver (solo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distribuidores comparables con precio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Goodai-Hansung USA (sin importe publicado); 2) prensa (sin múltiplos); 3) DART de Goodai (no cotiza)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(informe anual): estados consolidados K-IFRS de 2025, 2024 y 2023 auditados por Shinwoo (신우회계법인), notas (gastos, amortizaciones, flujos), ventas por canal (mayorista, venta al público, fulfillment) y por región, clientes principales, dividendos, consejo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https://dart.fss.or.kr/dsaf001/main.do?rcpNo=20260320001024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2023 (informe anual): estados consolidados de 2023, 2022 y 2021, ventas por canal, historia y filiales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https://dart.fss.or.kr/dsaf001/main.do?rcpNo=20240320000377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2026 (informe semestral, revisión limitada): estados consolidados a 30-jun-2026, 2T26 y 1S26, gasto por naturaleza, flujos, ventas por región,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https://dart.fss.or.kr/dsaf001/main.do?rcpNo=20260814003895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2022 (informe anual): cuentas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https://dart.fss.or.kr/dsaf001/main.do?rcpNo=20230322000608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1T25 (con el 1T24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https://dart.fss.or.kr/dsaf001/main.do?rcpNo=20250512000093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3T25 (3T25 y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https://dart.fss.or.kr/dsaf001/main.do?rcpNo=20251113000448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3T24 (con el 3T23 y 9M23 comparativos)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https://dart.fss.or.kr/dsaf001/main.do?rcpNo=20241114000973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연결재무제표기준영업(잠정)실적 (resultados provisionales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https://dart.fss.or.kr/dsaf001/main.do?rcpNo=20260812900140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주요사항보고서 (전환상환우선주 발행결정): 6.666.666 RCPS a 45.000 KRW (300.000 M) a Starlink Investment L.P. (CVC); conversión 1:1 desde el 15-sep-2027; reembolso a petición del inversor del 15-sep-2029 al 15-sep-2036 al precio de emisión más un 2 % anual compuesto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https://dart.fss.or.kr/dsaf001/main.do?rcpNo=20260818000126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유상증자 (RCPS de CVC: pago recibido 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https://dart.fss.or.kr/dsaf001/main.do?rcpNo=20260915900386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유형자산 취득결정 (almacén logístico de Yongin: 55.034 M, 43.972 m²) y 정정 (pago completado 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https://dart.fss.or.kr/dsaf001/main.do?rcpNo=20261007900302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자기주식취득 신탁계약 체결 결정 (fideicomiso de recompra de 5.000 M con Samsung Securities; autocartera previa de 123.200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https://dart.fss.or.kr/dsaf001/main.do?rcpNo=20261019000068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단기차입금 증가 결정 (préstamo a corto de 45.000 M con garantía inmobiliaria)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https://dart.fss.or.kr/dsaf001/main.do?rcpNo=20260506900861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전환청구권 행사 (conversión de las RCPS de 2025 de Silk SPV: 4.404.344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https://dart.fss.or.kr/dsaf001/main.do?rcpNo=20260424900593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anual y trimestral, ratios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https://navercomp.wisereport.co.kr/v2/company/c1050001.aspx?cmp_cd=257720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[마켓 언박싱] 실리콘투, 매출 45% 성장 전망에도 낮아진 이익 눈높이…환율 부담 (Hana: objetivo de 59.000 a 52.000; beneficio operativo del 3T26 de 78.100 M frente a 93.300 M 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Socialvalue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https://www.socialvalue.kr/news/view/1065597777056081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실리콘투, 환율이 안정된다면 (NH: un won un 5 % más fuerte resta ≈ 2,4 puntos de margen; objetivo de 58.000)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https://magazine.hankyung.com/business/article/202610080562b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"만들고 나르고 바쁘다 바빠"…K뷰티 열풍에 생산·물류 '확장전' (almacenes de Silicon2 en Europa: de 2.762 m² a 20.464 m²)</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https://www.edaily.co.kr/News/Read?newsId=04408326645581104&amp;mediaCodeNo=257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잘 팔렸지만 환율 하락에 '발목'…K뷰티, 3분기 눈높이 하향 (exportaciones de cosmética del 3T26: 3.379 M USD, +38,2 %; Europa 43,1 % y Norteamérica 21,7 % de las ventas de Silicon2)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https://www.edaily.co.kr/News/Read?newsId=04267286645614560&amp;mediaCodeNo=257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전대미문 불장서 추락한 실리콘투…증권가 매수 권한 이유 (Goodai Global compra Hansung USA; sus marcas eran el 23,6 % de las ventas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https://www.hankyung.com/article/2026022810386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[인사이드 스토리] 주가 '급락'한 에이피알…이유는 "너무 잘 팔려서" (APR: venta directa en Europa y logística)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Bizwatch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https://news.bizwatch.co.kr/article/consumer/2026/10/15/0025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실리콘투 K뷰티 편집숍 '모이다' 출점 속도, 김성운 '유럽판 올리브영' 만들기 (tiendas moida: ≈ 30 abiertas, más de 100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https://www.businesspost.co.kr/BP?command=article_view&amp;num=448812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APR, d'Alba, VT, Clio, Amorepacific, Cosmax, Kolmar Korea, Paltac, Arata y Sally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https://finance.yahoo.com/quote/257720.KQ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화장품 수출 실적 2025 (exportaciones coreanas de cosmética de 2025: 11.420 M USD, +12,9 %)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Asociación Coreana de la Industria Cosmética vía Medical Economy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https://www.meconomynews.com/news/articleView.html?idxno=129631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월 수출 12억달러 뚫은 화장품…환율·용기난에 3분기 '실적 명암' (exportaciones de cosmética, won y escasez de envases en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https://www.etoday.co.kr/news/view/2636582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판매부터 유통·큐레이션까지 다 한다…저변 확대하는 K뷰티 (distribuidores que también venden y curan: moida)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https://www.sedaily.com/article/20074768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análisis de APR de este repositorio (arancel combinado del 12,5 % a las importaciones coreanas en EE. UU. desde el 24-jul-2026, según News1)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 News1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informes/apr-2026-10-19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채널 다변화로 글로벌 빠르게 침투…목표가 상향-NH (APR diversifica canales y vende directo fuera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https://www.hankyung.com/article/2026030599956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주식등의 대량보유상황보고서 (Kim Sung-woon y relacionados: del 50,58 % al 43,62 % por la conversión de las RCPS de 2025; acciones pignoradas)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https://dart.fss.or.kr/dsaf001/main.do?rcpNo=20260427000627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임원ㆍ주요주주특정증권등소유상황보고서 (ventas del fundador: 187.000 acciones del 23 al 29-ene-2026 a 45.769-51.735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https://dart.fss.or.kr/dsaf001/main.do?rcpNo=20260130000310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임원ㆍ주요주주특정증권등소유상황보고서 (ventas de 2025 del fundador: 173.600 acciones entre junio y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https://dart.fss.or.kr/dsaf001/main.do?rcpNo=20250725000405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임원ㆍ주요주주특정증권등소유상황보고서 (Gil Nam-young vende 20.772 acciones del 1 al 8-sep-2026 a 48.000-52.350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https://dart.fss.or.kr/dsaf001/main.do?rcpNo=20260908000316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임시주주총회결과 (junta extraordinaria del 1-oct-2026: Lee Won-bae y Cho Eun-chul, de CVC, consejeros no ejecutivos)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Silicon2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https://dart.fss.or.kr/dsaf001/main.do?rcpNo=20261001900444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주식등의 대량보유상황보고서 de Starlink Investment L.P. (CVC): 6.666.666 RCPS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https://dart.fss.or.kr/dsaf001/main.do?rcpNo=20260918000230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principales (Kim Sung-woon y 14 relacionados: 43,36 %; autocartera 0,19 %), flotante (56,45 %) y extranjeros (11,87 %); objetivos de 13 casas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https://navercomp.wisereport.co.kr/v2/company/c1010001.aspx?cmp_cd=257720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실리콘투, CVC측 2인 기타비상무이사 선임 주총 승인 (junta del 1-oct: dos consejeros de CVC)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https://www.smarttoday.co.kr/ko-kr/articles/112206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ventas, EBITDA, estimaciones de BPA) y tipos de cambio KRW=X (1.328,46), JPYKRW=X (8,377) y EURKRW=X (1.488,2)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https://finance.yahoo.com/quote/278470.KS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키움증권 "실리콘투 매출 성장세 지속, 유럽·라틴아메리카 유통망 확대 수혜" (Kiwoom: objetivo de 65.000 a 58.000; 3T26 de 67.900 M de beneficio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https://www.businesspost.co.kr/BP?command=article_view&amp;num=449142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"요즘 K 붙으면 영 불안한데"…주가 조정받은 뷰티·푸드 대표주들 (cosmética y alimentación coreanas corrigen por el won)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Maeil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https://www.mk.co.kr/article/12168202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코스닥 '패닉'...바이오·2차전지·반도체·로봇주 '폭락' (4-mar-2026: el KOSDAQ se hunde por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Choice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http://www.choicenews.co.kr/news/articleView.html?idxno=161861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257720: 400 mensajes del 13 al 20-oct-2026 (hora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https://m.stock.naver.com/domestic/stock/257720/discussion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85,0 %</w:t>
      </w:r>
      <w:r>
        <w:t xml:space="preserve"> · Secciones con menos del 60 % de campos cubiertos: </w:t>
      </w:r>
      <w:r>
        <w:rPr>
          <w:b/>
          <w:bCs/>
        </w:rPr>
        <w:t xml:space="preserve">capital, directivos, gobierno</w:t>
      </w:r>
      <w:r>
        <w:t xml:space="preserve"> · Generado el 20 oct 2026.</w:t>
      </w:r>
    </w:p>
    <w:p>
      <w:pPr>
        <w:pStyle w:val="Nota"/>
        <w:spacing w:after="100"/>
      </w:pPr>
      <w:r>
        <w:t xml:space="preserve">Cuentas consolidadas K-IFRS en millones de KRW. Fuente primaria: DART (dart.fss.or.kr) por su visor de secciones: informes anuales de 2025 [1], 2023 [2] y 2022 [4], informe semestral de 2026 [3], trimestrales [5, 6, 7] y avisos de la KRX. Corea no tiene XBRL en herramientas/cuentas.mjs. El EBITDA trimestral lleva una amortización repartida a partes iguales (estimación) y el BPA de los últimos doce meses es aproximado. Las RCPS de CVC (300.000 M, 6.666.666 acciones) se tratan como deuda en el DCF (65,45 M de acciones ordinarias con voto) y como acciones en el BPA (72,12 M desde 2027e, como el consenso): es la combinación más prudente para las dos cifras [9]. Precio: cierre del 20-oct-2026 en el KOSDAQ (32.800 KRW, Yahoo, 15:30 KST); bolsa, beta y movimiento con el mismo cierre [23].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SILICON2 Co., Ltd. (257720)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32.800,00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(29.850,00 – 56.100,00)</c:v>
                </c:pt>
                <c:pt idx="1">
                  <c:v>Precio objetivo de los analistas (52.000,00 – 65.000,00)</c:v>
                </c:pt>
                <c:pt idx="2">
                  <c:v>Comparables: PER NTM (39.393,49 – 63.604,07)</c:v>
                </c:pt>
                <c:pt idx="3">
                  <c:v>DCF (WACC y g ± 0,5) (37.268,45 – 45.052,70)</c:v>
                </c:pt>
                <c:pt idx="4">
                  <c:v>Escenarios (bajista – alcista) (19.784,17 – 52.014,81)</c:v>
                </c:pt>
                <c:pt idx="5">
                  <c:v>DCF con la prima implícita del mercado (4,2 %)</c:v>
                </c:pt>
                <c:pt idx="6">
                  <c:v>Precio actual (32.800,00)</c:v>
                </c:pt>
              </c:strCache>
            </c:strRef>
          </c:cat>
          <c:val>
            <c:numRef>
              <c:f>Hoja1!$B$2:$B$8</c:f>
              <c:numCache>
                <c:formatCode>#,##0</c:formatCode>
                <c:ptCount val="7"/>
                <c:pt idx="0">
                  <c:v>29850</c:v>
                </c:pt>
                <c:pt idx="1">
                  <c:v>52000</c:v>
                </c:pt>
                <c:pt idx="2">
                  <c:v>39393.49</c:v>
                </c:pt>
                <c:pt idx="3">
                  <c:v>37268.45</c:v>
                </c:pt>
                <c:pt idx="4">
                  <c:v>19784.17</c:v>
                </c:pt>
                <c:pt idx="5">
                  <c:v>44935.4</c:v>
                </c:pt>
                <c:pt idx="6">
                  <c:v>32636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(29.850,00 – 56.100,00)</c:v>
                </c:pt>
                <c:pt idx="1">
                  <c:v>Precio objetivo de los analistas (52.000,00 – 65.000,00)</c:v>
                </c:pt>
                <c:pt idx="2">
                  <c:v>Comparables: PER NTM (39.393,49 – 63.604,07)</c:v>
                </c:pt>
                <c:pt idx="3">
                  <c:v>DCF (WACC y g ± 0,5) (37.268,45 – 45.052,70)</c:v>
                </c:pt>
                <c:pt idx="4">
                  <c:v>Escenarios (bajista – alcista) (19.784,17 – 52.014,81)</c:v>
                </c:pt>
                <c:pt idx="5">
                  <c:v>DCF con la prima implícita del mercado (4,2 %)</c:v>
                </c:pt>
                <c:pt idx="6">
                  <c:v>Precio actual (32.800,00)</c:v>
                </c:pt>
              </c:strCache>
            </c:strRef>
          </c:cat>
          <c:val>
            <c:numRef>
              <c:f>Hoja1!$C$2:$C$8</c:f>
              <c:numCache>
                <c:formatCode>#,##0</c:formatCode>
                <c:ptCount val="7"/>
                <c:pt idx="0">
                  <c:v>26250</c:v>
                </c:pt>
                <c:pt idx="1">
                  <c:v>13000</c:v>
                </c:pt>
                <c:pt idx="2">
                  <c:v>24210.58</c:v>
                </c:pt>
                <c:pt idx="3">
                  <c:v>7784.25</c:v>
                </c:pt>
                <c:pt idx="4">
                  <c:v>32230.64</c:v>
                </c:pt>
                <c:pt idx="5">
                  <c:v>6595.199999999997</c:v>
                </c:pt>
                <c:pt idx="6">
                  <c:v>328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Mayorista a empresas (Stylekorean Wholesale, 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271890</c:v>
                </c:pt>
                <c:pt idx="1">
                  <c:v>607152</c:v>
                </c:pt>
                <c:pt idx="2">
                  <c:v>1042484</c:v>
                </c:pt>
              </c:numCache>
            </c:numRef>
          </c:val>
        </c:ser>
        <c:ser>
          <c:idx val="1"/>
          <c:order val="1"/>
          <c:tx>
            <c:strRef>
              <c:f>Hoja1!$C$1</c:f>
              <c:strCache>
                <c:ptCount val="1"/>
                <c:pt idx="0">
                  <c:v>Venta al público (Stylekorean.com y tiendas moida, PA)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17486</c:v>
                </c:pt>
                <c:pt idx="1">
                  <c:v>26278</c:v>
                </c:pt>
                <c:pt idx="2">
                  <c:v>42985</c:v>
                </c:pt>
              </c:numCache>
            </c:numRef>
          </c:val>
        </c:ser>
        <c:ser>
          <c:idx val="2"/>
          <c:order val="2"/>
          <c:tx>
            <c:strRef>
              <c:f>Hoja1!$D$1</c:f>
              <c:strCache>
                <c:ptCount val="1"/>
                <c:pt idx="0">
                  <c:v>Fulfillment y otros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53485</c:v>
                </c:pt>
                <c:pt idx="1">
                  <c:v>58092</c:v>
                </c:pt>
                <c:pt idx="2">
                  <c:v>30819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Mayorista a empresas (Stylekorean Wholesale, CA)</c:v>
                </c:pt>
                <c:pt idx="1">
                  <c:v>Venta al público (Stylekorean.com y tiendas moida, PA)</c:v>
                </c:pt>
                <c:pt idx="2">
                  <c:v>Fulfillment y otros</c:v>
                </c:pt>
              </c:strCache>
            </c:strRef>
          </c:cat>
          <c:val>
            <c:numRef>
              <c:f>Hoja1!$B$2:$B$4</c:f>
              <c:numCache>
                <c:formatCode>General</c:formatCode>
                <c:ptCount val="3"/>
                <c:pt idx="0">
                  <c:v>93.4</c:v>
                </c:pt>
                <c:pt idx="1">
                  <c:v>3.9</c:v>
                </c:pt>
                <c:pt idx="2">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Unión Europea</c:v>
                </c:pt>
                <c:pt idx="1">
                  <c:v>EE. UU.</c:v>
                </c:pt>
                <c:pt idx="2">
                  <c:v>Reino Unido</c:v>
                </c:pt>
                <c:pt idx="3">
                  <c:v>Oriente Medio (EAU)</c:v>
                </c:pt>
                <c:pt idx="4">
                  <c:v>Sudeste Asiático (Indonesia, Malasia)</c:v>
                </c:pt>
                <c:pt idx="5">
                  <c:v>Canadá y México</c:v>
                </c:pt>
                <c:pt idx="6">
                  <c:v>Corea</c:v>
                </c:pt>
                <c:pt idx="7">
                  <c:v>Otros (Rusia, Latinoamérica, Asia, Oceanía)</c:v>
                </c:pt>
              </c:strCache>
            </c:strRef>
          </c:cat>
          <c:val>
            <c:numRef>
              <c:f>Hoja1!$B$2:$B$9</c:f>
              <c:numCache>
                <c:formatCode>0"%"</c:formatCode>
                <c:ptCount val="8"/>
                <c:pt idx="0">
                  <c:v>28.2</c:v>
                </c:pt>
                <c:pt idx="1">
                  <c:v>18.1</c:v>
                </c:pt>
                <c:pt idx="2">
                  <c:v>6.4</c:v>
                </c:pt>
                <c:pt idx="3">
                  <c:v>7</c:v>
                </c:pt>
                <c:pt idx="4">
                  <c:v>7.5</c:v>
                </c:pt>
                <c:pt idx="5">
                  <c:v>5.3</c:v>
                </c:pt>
                <c:pt idx="6">
                  <c:v>3.1</c:v>
                </c:pt>
                <c:pt idx="7">
                  <c:v>24.4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2025</c:v>
                </c:pt>
                <c:pt idx="2">
                  <c:v>2026e</c:v>
                </c:pt>
                <c:pt idx="3">
                  <c:v>2027e</c:v>
                </c:pt>
                <c:pt idx="4">
                  <c:v>2028e</c:v>
                </c:pt>
                <c:pt idx="5">
                  <c:v>2030e</c:v>
                </c:pt>
              </c:strCache>
            </c:strRef>
          </c:cat>
          <c:val>
            <c:numRef>
              <c:f>Hoja1!$B$2:$B$7</c:f>
              <c:numCache>
                <c:formatCode>#,##0</c:formatCode>
                <c:ptCount val="6"/>
                <c:pt idx="0">
                  <c:v>9180</c:v>
                </c:pt>
                <c:pt idx="1">
                  <c:v>11420</c:v>
                </c:pt>
                <c:pt idx="2">
                  <c:v>14800</c:v>
                </c:pt>
                <c:pt idx="3">
                  <c:v>16300</c:v>
                </c:pt>
                <c:pt idx="4">
                  <c:v>17600</c:v>
                </c:pt>
                <c:pt idx="5">
                  <c:v>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Silicon2</c:v>
                </c:pt>
                <c:pt idx="1">
                  <c:v>Goodai Global USA (antes Hansung USA)</c:v>
                </c:pt>
                <c:pt idx="2">
                  <c:v>APR (Medicube)</c:v>
                </c:pt>
                <c:pt idx="3">
                  <c:v>Paltac</c:v>
                </c:pt>
                <c:pt idx="4">
                  <c:v>Arata</c:v>
                </c:pt>
                <c:pt idx="5">
                  <c:v>Sally Beauty</c:v>
                </c:pt>
              </c:strCache>
            </c:strRef>
          </c:cat>
          <c:val>
            <c:numRef>
              <c:f>Hoja1!$B$2:$B$7</c:f>
              <c:numCache>
                <c:formatCode>0.0"%"</c:formatCode>
                <c:ptCount val="6"/>
                <c:pt idx="0">
                  <c:v>18.4</c:v>
                </c:pt>
                <c:pt idx="2">
                  <c:v>24.2</c:v>
                </c:pt>
                <c:pt idx="3">
                  <c:v>1.9</c:v>
                </c:pt>
                <c:pt idx="4">
                  <c:v>1.2</c:v>
                </c:pt>
                <c:pt idx="5">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2</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131002</c:v>
                </c:pt>
                <c:pt idx="1">
                  <c:v>165272</c:v>
                </c:pt>
                <c:pt idx="2">
                  <c:v>342861</c:v>
                </c:pt>
                <c:pt idx="3">
                  <c:v>691522</c:v>
                </c:pt>
                <c:pt idx="4">
                  <c:v>1116287</c:v>
                </c:pt>
                <c:pt idx="5">
                  <c:v>1594058</c:v>
                </c:pt>
                <c:pt idx="6">
                  <c:v>1976632</c:v>
                </c:pt>
                <c:pt idx="7">
                  <c:v>2292893</c:v>
                </c:pt>
                <c:pt idx="8">
                  <c:v>2545111</c:v>
                </c:pt>
                <c:pt idx="9">
                  <c:v>2748720</c:v>
                </c:pt>
                <c:pt idx="10">
                  <c:v>2913643</c:v>
                </c:pt>
                <c:pt idx="11">
                  <c:v>3059325</c:v>
                </c:pt>
                <c:pt idx="12">
                  <c:v>3181698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11175</c:v>
                </c:pt>
                <c:pt idx="1">
                  <c:v>16946</c:v>
                </c:pt>
                <c:pt idx="2">
                  <c:v>51509</c:v>
                </c:pt>
                <c:pt idx="3">
                  <c:v>143278</c:v>
                </c:pt>
                <c:pt idx="4">
                  <c:v>214213</c:v>
                </c:pt>
                <c:pt idx="5">
                  <c:v>296495</c:v>
                </c:pt>
                <c:pt idx="6">
                  <c:v>355794</c:v>
                </c:pt>
                <c:pt idx="7">
                  <c:v>401256</c:v>
                </c:pt>
                <c:pt idx="8">
                  <c:v>432669</c:v>
                </c:pt>
                <c:pt idx="9">
                  <c:v>453539</c:v>
                </c:pt>
                <c:pt idx="10">
                  <c:v>466183</c:v>
                </c:pt>
                <c:pt idx="11">
                  <c:v>489492</c:v>
                </c:pt>
                <c:pt idx="12">
                  <c:v>509072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29.5</c:v>
                </c:pt>
                <c:pt idx="1">
                  <c:v>31.9</c:v>
                </c:pt>
                <c:pt idx="2">
                  <c:v>33.6</c:v>
                </c:pt>
                <c:pt idx="3">
                  <c:v>33.7</c:v>
                </c:pt>
                <c:pt idx="4">
                  <c:v>31.1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10.3</c:v>
                </c:pt>
                <c:pt idx="2">
                  <c:v>15</c:v>
                </c:pt>
                <c:pt idx="3">
                  <c:v>20.7</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6.7</c:v>
                </c:pt>
                <c:pt idx="1">
                  <c:v>8.6</c:v>
                </c:pt>
                <c:pt idx="2">
                  <c:v>13.9</c:v>
                </c:pt>
                <c:pt idx="3">
                  <c:v>19.9</c:v>
                </c:pt>
                <c:pt idx="4">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6.3</c:v>
                </c:pt>
                <c:pt idx="1">
                  <c:v>6.8</c:v>
                </c:pt>
                <c:pt idx="2">
                  <c:v>11.1</c:v>
                </c:pt>
                <c:pt idx="3">
                  <c:v>17.5</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84.9</c:v>
                </c:pt>
                <c:pt idx="1">
                  <c:v>64.2</c:v>
                </c:pt>
                <c:pt idx="2">
                  <c:v>63.9</c:v>
                </c:pt>
                <c:pt idx="3">
                  <c:v>46.3</c:v>
                </c:pt>
                <c:pt idx="4">
                  <c:v>60.4</c:v>
                </c:pt>
                <c:pt idx="5">
                  <c:v>76.3</c:v>
                </c:pt>
                <c:pt idx="6">
                  <c:v>41.1</c:v>
                </c:pt>
                <c:pt idx="7">
                  <c:v>51.8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84.9</c:v>
                </c:pt>
                <c:pt idx="1">
                  <c:v>64.2</c:v>
                </c:pt>
                <c:pt idx="2">
                  <c:v>63.9</c:v>
                </c:pt>
                <c:pt idx="3">
                  <c:v>46.3</c:v>
                </c:pt>
                <c:pt idx="4">
                  <c:v>60.4</c:v>
                </c:pt>
                <c:pt idx="5">
                  <c:v>76.3</c:v>
                </c:pt>
                <c:pt idx="6">
                  <c:v>41.1</c:v>
                </c:pt>
                <c:pt idx="7">
                  <c:v>51.8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14</c:v>
                </c:pt>
                <c:pt idx="2">
                  <c:v>23</c:v>
                </c:pt>
                <c:pt idx="3">
                  <c:v>22</c:v>
                </c:pt>
                <c:pt idx="4">
                  <c:v>31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86</c:v>
                </c:pt>
                <c:pt idx="1">
                  <c:v>93</c:v>
                </c:pt>
                <c:pt idx="2">
                  <c:v>126</c:v>
                </c:pt>
                <c:pt idx="3">
                  <c:v>116</c:v>
                </c:pt>
                <c:pt idx="4">
                  <c:v>142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4</c:v>
                </c:pt>
                <c:pt idx="2">
                  <c:v>1</c:v>
                </c:pt>
                <c:pt idx="3">
                  <c:v>1</c:v>
                </c:pt>
                <c:pt idx="4">
                  <c:v>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-2102</c:v>
                </c:pt>
                <c:pt idx="1">
                  <c:v>-14272</c:v>
                </c:pt>
                <c:pt idx="2">
                  <c:v>-39642</c:v>
                </c:pt>
                <c:pt idx="3">
                  <c:v>-19883</c:v>
                </c:pt>
                <c:pt idx="4">
                  <c:v>-11744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8254</c:v>
                </c:pt>
                <c:pt idx="1">
                  <c:v>11156</c:v>
                </c:pt>
                <c:pt idx="2">
                  <c:v>38013</c:v>
                </c:pt>
                <c:pt idx="3">
                  <c:v>120738</c:v>
                </c:pt>
                <c:pt idx="4">
                  <c:v>168585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13.6</c:v>
                </c:pt>
                <c:pt idx="1">
                  <c:v>16.4</c:v>
                </c:pt>
                <c:pt idx="2">
                  <c:v>30.5</c:v>
                </c:pt>
                <c:pt idx="3">
                  <c:v>45.9</c:v>
                </c:pt>
                <c:pt idx="4">
                  <c:v>45.6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c:v>
                </c:pt>
                <c:pt idx="1">
                  <c:v>12</c:v>
                </c:pt>
                <c:pt idx="2">
                  <c:v>12</c:v>
                </c:pt>
                <c:pt idx="3">
                  <c:v>12</c:v>
                </c:pt>
                <c:pt idx="4">
                  <c:v>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9.6</c:v>
                </c:pt>
                <c:pt idx="1">
                  <c:v>12.2</c:v>
                </c:pt>
                <c:pt idx="2">
                  <c:v>32.9</c:v>
                </c:pt>
                <c:pt idx="3">
                  <c:v>60.9</c:v>
                </c:pt>
                <c:pt idx="4">
                  <c:v>46.9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-3.08</c:v>
                </c:pt>
                <c:pt idx="1">
                  <c:v>-0.76</c:v>
                </c:pt>
                <c:pt idx="2">
                  <c:v>0.57</c:v>
                </c:pt>
                <c:pt idx="3">
                  <c:v>0.43</c:v>
                </c:pt>
                <c:pt idx="4">
                  <c:v>-0.37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1974</c:v>
                </c:pt>
                <c:pt idx="1">
                  <c:v>5594</c:v>
                </c:pt>
                <c:pt idx="2">
                  <c:v>4655</c:v>
                </c:pt>
                <c:pt idx="3">
                  <c:v>5497</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3</c:v>
                </c:pt>
                <c:pt idx="1">
                  <c:v>3</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Kim Sung-woon (fundador) y relacionados (14)</c:v>
                </c:pt>
                <c:pt idx="1">
                  <c:v>Starlink Investment L.P. (CVC)</c:v>
                </c:pt>
                <c:pt idx="2">
                  <c:v>Silk SPV (Glenwood Credit)</c:v>
                </c:pt>
                <c:pt idx="3">
                  <c:v>Autocartera</c:v>
                </c:pt>
              </c:strCache>
            </c:strRef>
          </c:cat>
          <c:val>
            <c:numRef>
              <c:f>Hoja1!$B$2:$B$5</c:f>
              <c:numCache>
                <c:formatCode>0.0"%"</c:formatCode>
                <c:ptCount val="4"/>
                <c:pt idx="0">
                  <c:v>43.4</c:v>
                </c:pt>
                <c:pt idx="1">
                  <c:v>9.2</c:v>
                </c:pt>
                <c:pt idx="3">
                  <c:v>0.19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-23.7</c:v>
                </c:pt>
                <c:pt idx="1">
                  <c:v>214.1</c:v>
                </c:pt>
                <c:pt idx="2">
                  <c:v>324.1</c:v>
                </c:pt>
                <c:pt idx="3">
                  <c:v>18.2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-34.3</c:v>
                </c:pt>
                <c:pt idx="1">
                  <c:v>27.6</c:v>
                </c:pt>
                <c:pt idx="2">
                  <c:v>-21.7</c:v>
                </c:pt>
                <c:pt idx="3">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12.8</c:v>
                </c:pt>
                <c:pt idx="1">
                  <c:v>8</c:v>
                </c:pt>
                <c:pt idx="2">
                  <c:v>9.7</c:v>
                </c:pt>
                <c:pt idx="3">
                  <c:v>14.3</c:v>
                </c:pt>
                <c:pt idx="4">
                  <c:v>10.8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12.8</c:v>
                </c:pt>
                <c:pt idx="1">
                  <c:v>12.8</c:v>
                </c:pt>
                <c:pt idx="2">
                  <c:v>12.8</c:v>
                </c:pt>
                <c:pt idx="3">
                  <c:v>12.8</c:v>
                </c:pt>
                <c:pt idx="4">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5244</c:v>
                </c:pt>
                <c:pt idx="1">
                  <c:v>138125</c:v>
                </c:pt>
                <c:pt idx="2">
                  <c:v>196586</c:v>
                </c:pt>
                <c:pt idx="3">
                  <c:v>242496</c:v>
                </c:pt>
                <c:pt idx="4">
                  <c:v>247118</c:v>
                </c:pt>
                <c:pt idx="5">
                  <c:v>265925</c:v>
                </c:pt>
                <c:pt idx="6">
                  <c:v>287467</c:v>
                </c:pt>
                <c:pt idx="7">
                  <c:v>307707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1084129</c:v>
                </c:pt>
                <c:pt idx="1">
                  <c:v>1571395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32.800,00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19784.17</c:v>
                </c:pt>
                <c:pt idx="1">
                  <c:v>40734.92</c:v>
                </c:pt>
                <c:pt idx="2">
                  <c:v>52014.81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32.800,00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(29.850,00 – 56.100,00)</c:v>
                </c:pt>
                <c:pt idx="1">
                  <c:v>Precio objetivo de los analistas (52.000,00 – 65.000,00)</c:v>
                </c:pt>
                <c:pt idx="2">
                  <c:v>Comparables: PER NTM (39.393,49 – 63.604,07)</c:v>
                </c:pt>
                <c:pt idx="3">
                  <c:v>DCF (WACC y g ± 0,5) (37.268,45 – 45.052,70)</c:v>
                </c:pt>
                <c:pt idx="4">
                  <c:v>Escenarios (bajista – alcista) (19.784,17 – 52.014,81)</c:v>
                </c:pt>
                <c:pt idx="5">
                  <c:v>DCF con la prima implícita del mercado (4,2 %)</c:v>
                </c:pt>
                <c:pt idx="6">
                  <c:v>Precio actual (32.800,00)</c:v>
                </c:pt>
              </c:strCache>
            </c:strRef>
          </c:cat>
          <c:val>
            <c:numRef>
              <c:f>Hoja1!$B$2:$B$8</c:f>
              <c:numCache>
                <c:formatCode>#,##0</c:formatCode>
                <c:ptCount val="7"/>
                <c:pt idx="0">
                  <c:v>29850</c:v>
                </c:pt>
                <c:pt idx="1">
                  <c:v>52000</c:v>
                </c:pt>
                <c:pt idx="2">
                  <c:v>39393.49</c:v>
                </c:pt>
                <c:pt idx="3">
                  <c:v>37268.45</c:v>
                </c:pt>
                <c:pt idx="4">
                  <c:v>19784.17</c:v>
                </c:pt>
                <c:pt idx="5">
                  <c:v>44935.4</c:v>
                </c:pt>
                <c:pt idx="6">
                  <c:v>32636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(29.850,00 – 56.100,00)</c:v>
                </c:pt>
                <c:pt idx="1">
                  <c:v>Precio objetivo de los analistas (52.000,00 – 65.000,00)</c:v>
                </c:pt>
                <c:pt idx="2">
                  <c:v>Comparables: PER NTM (39.393,49 – 63.604,07)</c:v>
                </c:pt>
                <c:pt idx="3">
                  <c:v>DCF (WACC y g ± 0,5) (37.268,45 – 45.052,70)</c:v>
                </c:pt>
                <c:pt idx="4">
                  <c:v>Escenarios (bajista – alcista) (19.784,17 – 52.014,81)</c:v>
                </c:pt>
                <c:pt idx="5">
                  <c:v>DCF con la prima implícita del mercado (4,2 %)</c:v>
                </c:pt>
                <c:pt idx="6">
                  <c:v>Precio actual (32.800,00)</c:v>
                </c:pt>
              </c:strCache>
            </c:strRef>
          </c:cat>
          <c:val>
            <c:numRef>
              <c:f>Hoja1!$C$2:$C$8</c:f>
              <c:numCache>
                <c:formatCode>#,##0</c:formatCode>
                <c:ptCount val="7"/>
                <c:pt idx="0">
                  <c:v>26250</c:v>
                </c:pt>
                <c:pt idx="1">
                  <c:v>13000</c:v>
                </c:pt>
                <c:pt idx="2">
                  <c:v>24210.58</c:v>
                </c:pt>
                <c:pt idx="3">
                  <c:v>7784.25</c:v>
                </c:pt>
                <c:pt idx="4">
                  <c:v>32230.64</c:v>
                </c:pt>
                <c:pt idx="5">
                  <c:v>6595.199999999997</c:v>
                </c:pt>
                <c:pt idx="6">
                  <c:v>328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