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VeriSign, Inc.</w:t>
      </w:r>
    </w:p>
    <w:p>
      <w:pPr>
        <w:spacing w:after="60"/>
        <w:rPr>
          <w:color w:val="52514E"/>
          <w:sz w:val="22"/>
          <w:szCs w:val="22"/>
        </w:rPr>
      </w:pPr>
      <w:r>
        <w:rPr>
          <w:color w:val="52514E"/>
          <w:sz w:val="22"/>
          <w:szCs w:val="22"/>
        </w:rPr>
        <w:t xml:space="preserve">VRSN · Nasdaq Global Select · ISIN US92343E1029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306,48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321,04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+5,8 % (base +11,2 %)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218,86 USD · mercado 249,82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27.798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VeriSign,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VRSN / US92343E1029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(servicios e infraestructura de internet)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Reston (Virginia)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https://www.verisign.com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306,48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208,86 – 312,48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27.798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29.098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321,04 USD</w:t>
      </w:r>
      <w:r>
        <w:t xml:space="preserve"> frente a 306,48 · Rentabilidad a 12 meses </w:t>
      </w:r>
      <w:r>
        <w:rPr>
          <w:b/>
          <w:bCs/>
        </w:rPr>
        <w:t xml:space="preserve">+5,8 % (base +11,2 %)</w:t>
      </w:r>
      <w:r>
        <w:t xml:space="preserve"> · Valor intrínseco 218,86 USD · con la prima implícita del mercado: 249,82 (-18,5 %) · Alcista / bajista -17,8 % / -53,9 %</w:t>
      </w:r>
    </w:p>
    <w:p>
      <w:pPr>
        <w:spacing w:after="100"/>
      </w:pPr>
      <w:r>
        <w:rPr>
          <w:b/>
        </w:rPr>
        <w:t xml:space="preserve">La recomendación y por qué.</w:t>
      </w:r>
      <w:r>
        <w:t xml:space="preserve"> Mantener con convicción media. El objetivo a 12 meses es de 321,04 USD (ponderado) y 337,50 en el caso base, una rentabilidad con dividendo del 5,8 % y del 11,2 %, por debajo del 15 % y del 12 % que pide la compra; con la regla v2 de control, 13,7 %. El valor intrínseco (218,86 USD) queda un 28,6 % bajo el precio (306,48), y el objetivo medio de los analistas (326,40) dentro de nuestro rango. La razón principal: VeriSign es uno de los mejores negocios cotizados, pero a ≈ 28 veces beneficios el precio ya recoge las subidas de .com de 2026-2029. La convicción es media porque las dos reglas coinciden y la ponderada está lejos de los umbrales; subiría si la acción bajara hacia 219 USD o si la empresa confirmara en febrero una base de dominios al alza tras la subida de precio.</w:t>
      </w:r>
    </w:p>
    <w:p>
      <w:pPr>
        <w:spacing w:after="100"/>
      </w:pPr>
      <w:r>
        <w:rPr>
          <w:b/>
        </w:rPr>
        <w:t xml:space="preserve">El negocio.</w:t>
      </w:r>
      <w:r>
        <w:t xml:space="preserve"> Opera en monopolio los dominios .com y .net (179,1 M, el 44,6 % de todos los dominios del mundo) con un margen operativo del 67,7 % y una inversión del 1,4 % de las ventas [1, 14]. Los registradores pagan por adelantado: el capital invertido es negativo y el ROIC sobre el capital operativo pasa del 200 %, frente a un WACC del 9,21 %. La calidad sostiene el crecimiento que proyectamos (veredicto «Sí»): un 6,1 % anual que sale del precio contractual (hasta +7 % en cuatro de cada seis años) y de una base de dominios que crece al 5,1 % [1, 3].</w:t>
      </w:r>
    </w:p>
    <w:p>
      <w:pPr>
        <w:spacing w:after="100"/>
      </w:pPr>
      <w:r>
        <w:rPr>
          <w:b/>
        </w:rPr>
        <w:t xml:space="preserve">Sector y regulación.</w:t>
      </w:r>
      <w:r>
        <w:t xml:space="preserve"> El precio lo fija el contrato con ICANN y el Departamento de Comercio, renovado hasta 2030 [1, 13]. La subida a 10,97 USD entra el 1-nov-2026 y la de .net a 12,00 en marzo de 2027 [4, 15]. La IA hoy empuja las altas (12,7 M en el 2T26, +22 %), pero a largo plazo puede restar valor a tener un dominio si los asistentes se convierten en la puerta de entrada a internet: el informe lo valora en −10 % a 3-5 años [3, 18].</w:t>
      </w:r>
    </w:p>
    <w:p>
      <w:pPr>
        <w:spacing w:after="100"/>
      </w:pPr>
      <w:r>
        <w:rPr>
          <w:b/>
        </w:rPr>
        <w:t xml:space="preserve">Finanzas.</w:t>
      </w:r>
      <w:r>
        <w:t xml:space="preserve"> Ingresos de 1.707,9 M en los últimos 12 meses, beneficio de 850 M y flujo libre de 1.066 M, todo devuelto con recompras y dividendo (1.097 M en 2025) [1, 3]. Deuda neta de ≈ 1.300 M (1,1 veces el EBITDA) y patrimonio negativo por recompras.</w:t>
      </w:r>
    </w:p>
    <w:p>
      <w:pPr>
        <w:spacing w:after="100"/>
      </w:pPr>
      <w:r>
        <w:rPr>
          <w:b/>
        </w:rPr>
        <w:t xml:space="preserve">Equipo y gobierno.</w:t>
      </w:r>
      <w:r>
        <w:t xml:space="preserve"> El fundador, Bidzos, acumula presidencia y dirección a los 71 años, sin sucesor anunciado; vende acciones con un plan programado (32,1 M USD en 12 meses) [21, 31]. Berkshire conserva el 9,9 % y su bloqueo venció en julio [27].</w:t>
      </w:r>
    </w:p>
    <w:p>
      <w:pPr>
        <w:spacing w:after="100"/>
      </w:pPr>
      <w:r>
        <w:rPr>
          <w:b/>
        </w:rPr>
        <w:t xml:space="preserve">Valoración.</w:t>
      </w:r>
      <w:r>
        <w:t xml:space="preserve"> El DCF da 219,10 USD (−28,5 %) y descuenta en el precio un crecimiento del 10,0 % anual frente al 6,1 % de nuestro caso base; con la prima del mercado, 259,02 (−15 %). La mediana de PER de los comparables de peaje (22,1 veces) da 234,78. Coincidimos con el consenso en el beneficio (2027e: 11,09 frente a 10,88 USD) y en el múltiplo a 12 meses; discrepamos en el largo plazo: el precio exige un régimen de precios sin freno después de 2030.</w:t>
      </w:r>
    </w:p>
    <w:p>
      <w:pPr>
        <w:spacing w:after="100"/>
      </w:pPr>
      <w:r>
        <w:rPr>
          <w:b/>
        </w:rPr>
        <w:t xml:space="preserve">Riesgos y catalizadores.</w:t>
      </w:r>
      <w:r>
        <w:t xml:space="preserve"> Un cambio del régimen de precios de .com (bajista 141,42 USD, −53,9 %) y la IA restando renovaciones son los dos riesgos de mayor impacto. Catalizadores: resultados del 22-oct, subida del 1-nov, guía de 2027 en febrero y lanzamiento de .web. Los foros están divididos entre «peaje de internet» y «demasiado cara».</w:t>
      </w:r>
    </w:p>
    <w:p>
      <w:pPr>
        <w:spacing w:after="100"/>
      </w:pPr>
      <w:r>
        <w:rPr>
          <w:b/>
        </w:rPr>
        <w:t xml:space="preserve">Qué cambiaría la decisión.</w:t>
      </w:r>
      <w:r>
        <w:t xml:space="preserve"> Compraríamos por debajo de 218,86 USD (ponderada ≥ 15 %, base ≥ 12 % y valor real cubierto) y venderíamos por encima de 360,22. Una base de dominios a la baja en dos trimestres, una renovación por debajo del 73 % o la ausencia de la subida de .com de 2027 bajarían el objetivo.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321,04 USD</w:t>
      </w:r>
      <w:r>
        <w:t xml:space="preserve"> (rentabilidad +5,8 % (base +11,2 %)) · Valor intrínseco: 218,86 USD (-28,6 % sobre 306,48) · con la prima implícita del mercado: 249,82 (-18,5 %)</w:t>
      </w:r>
    </w:p>
    <w:p>
      <w:pPr>
        <w:spacing w:after="100"/>
      </w:pPr>
      <w:r>
        <w:t xml:space="preserve">VeriSign cobra un peaje por cada dominio .com y .net del mundo: 179,1 M de registros, el 44,6 % del total, con un precio que el contrato le deja subir un 7 % en cuatro de cada seis años, un margen operativo del 67,7 % y casi sin inversión [1, 14]. Toda la caja vuelve al accionista: 6.978 M de recompras en 2018-2025 [1].</w:t>
      </w:r>
    </w:p>
    <w:p>
      <w:pPr>
        <w:spacing w:after="100"/>
      </w:pPr>
      <w:r>
        <w:t xml:space="preserve">El precio (306,48 USD, ≈ 28 veces el beneficio de los próximos 12 meses) descuenta un crecimiento anual del 10,0 % durante una década, frente al 6,1 % de nuestro caso base, y una rentabilidad implícita del 7,4 %, por debajo del WACC (9,2 %) y de lo que pide el mercado (8,2 %). Los comparables de peaje cotizan a 22,1 veces [34].</w:t>
      </w:r>
    </w:p>
    <w:p>
      <w:pPr>
        <w:spacing w:after="100"/>
      </w:pPr>
      <w:r>
        <w:t xml:space="preserve">El mercado acierta en la calidad y en el beneficio a dos años (coincidimos con el consenso), pero paga por adelantado todas las subidas posibles hasta 2030 y supone que el régimen de precios seguirá después, sin descontar el riesgo de que la IA reste valor a los dominios. Para invertir hay que creer que la base de dominios crecerá al 3 % y el precio al 6-7 % durante diez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 × 11,53 = 249,05 · 27,0x × 12,50 = 337,50 · 27,7x × 13,00 = 360,10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326,40 (nuestro base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 / -53,9 %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218,86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218,86 y 360,22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360,22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218,86 USD con la tesis intacta, pasaríamos a Comprar (ponderada ≥ 15 %, base ≥ 12 % y valor real cubierto).</w:t>
      </w:r>
    </w:p>
    <w:p>
      <w:pPr>
        <w:pStyle w:val="ListParagraph"/>
        <w:numPr>
          <w:ilvl w:val="0"/>
          <w:numId w:val="2"/>
        </w:numPr>
        <w:spacing w:after="60"/>
      </w:pPr>
      <w:r>
        <w:t xml:space="preserve">Si el precio supera 360,22 USD, pasaríamos a Vender (ponderada ≤ −10 %).</w:t>
      </w:r>
    </w:p>
    <w:p>
      <w:pPr>
        <w:pStyle w:val="ListParagraph"/>
        <w:numPr>
          <w:ilvl w:val="0"/>
          <w:numId w:val="2"/>
        </w:numPr>
        <w:spacing w:after="60"/>
      </w:pPr>
      <w:r>
        <w:t xml:space="preserve">Si la base de dominios cae dos trimestres seguidos o la renovación baja del 73 %, rebajaríamos el BPA de 2028e ≈ 8 %.</w:t>
      </w:r>
    </w:p>
    <w:p>
      <w:pPr>
        <w:pStyle w:val="ListParagraph"/>
        <w:numPr>
          <w:ilvl w:val="0"/>
          <w:numId w:val="2"/>
        </w:numPr>
        <w:spacing w:after="60"/>
      </w:pPr>
      <w:r>
        <w:t xml:space="preserve">Si Comercio o ICANN anuncian límites a las subidas de .com, pasaríamos al bajista (141,42 USD).</w:t>
      </w:r>
    </w:p>
    <w:p>
      <w:pPr>
        <w:pStyle w:val="Heading2"/>
      </w:pPr>
      <w:r>
        <w:t xml:space="preserve">Dónde discrepamos del mercado</w:t>
      </w:r>
    </w:p>
    <w:p>
      <w:pPr>
        <w:keepNext/>
        <w:spacing w:after="100"/>
      </w:pPr>
      <w:r>
        <w:rPr>
          <w:b/>
          <w:bCs/>
        </w:rPr>
        <w:t xml:space="preserve">Lo que descuenta el precio.</w:t>
      </w:r>
    </w:p>
    <w:p>
      <w:pPr>
        <w:spacing w:after="100"/>
      </w:pPr>
      <w:r>
        <w:t xml:space="preserve">Un peaje perpetuo: subidas de .com al máximo hasta 2030 y después, una base de dominios que crece con la IA y recompras del 4-5 % anual; ≈ 28 veces beneficios y un crecimiento implícito del 10 % anual.</w:t>
      </w:r>
    </w:p>
    <w:p>
      <w:pPr>
        <w:keepNext/>
        <w:spacing w:after="100"/>
      </w:pPr>
      <w:r>
        <w:rPr>
          <w:b/>
          <w:bCs/>
        </w:rPr>
        <w:t xml:space="preserve">Lo que creemos nosotros.</w:t>
      </w:r>
    </w:p>
    <w:p>
      <w:pPr>
        <w:spacing w:after="100"/>
      </w:pPr>
      <w:r>
        <w:t xml:space="preserve">Mismo beneficio a dos años que el consenso, pero un crecimiento medio del 6,1 % en diez años: las subidas tienen tope y pausas (2031-2032), la base crece al 2-3,5 % y la IA es un riesgo de renovación a largo plazo. Con una tasa libre del 5,15 %, eso vale 219 USD.</w:t>
      </w:r>
    </w:p>
    <w:p>
      <w:pPr>
        <w:keepNext/>
        <w:spacing w:after="100"/>
      </w:pPr>
      <w:r>
        <w:rPr>
          <w:b/>
          <w:bCs/>
        </w:rPr>
        <w:t xml:space="preserve">Por qué podemos tener razón.</w:t>
      </w:r>
    </w:p>
    <w:p>
      <w:pPr>
        <w:spacing w:after="100"/>
      </w:pPr>
      <w:r>
        <w:t xml:space="preserve">Porque el precio de .com depende de un contrato que la administración ya quiso bajar en 2024 y porque las altas récord de 2026 aún no han pasado por su primera renovación con el precio nuevo. Si las dos cosas salen bien, el consenso tiene razón a 12 meses (nuestro base también da +11 %), pero sin margen de seguridad.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0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contractual</w:t>
      </w:r>
      <w:r>
        <w:t xml:space="preserve">: 179,1 M de dominios .com y .net, el 44,6 % del total [14].</w:t>
      </w:r>
    </w:p>
    <w:p>
      <w:pPr>
        <w:pStyle w:val="ListParagraph"/>
        <w:numPr>
          <w:ilvl w:val="0"/>
          <w:numId w:val="2"/>
        </w:numPr>
        <w:spacing w:after="60"/>
      </w:pPr>
      <w:r>
        <w:rPr>
          <w:b/>
        </w:rPr>
        <w:t xml:space="preserve">Poder de precio</w:t>
      </w:r>
      <w:r>
        <w:t xml:space="preserve">: .com +6,9 % el 1-nov-2026 y .net +10 % en marzo de 2027 [4, 15].</w:t>
      </w:r>
    </w:p>
    <w:p>
      <w:pPr>
        <w:pStyle w:val="ListParagraph"/>
        <w:numPr>
          <w:ilvl w:val="0"/>
          <w:numId w:val="2"/>
        </w:numPr>
        <w:spacing w:after="60"/>
      </w:pPr>
      <w:r>
        <w:rPr>
          <w:b/>
        </w:rPr>
        <w:t xml:space="preserve">Margen y caja</w:t>
      </w:r>
      <w:r>
        <w:t xml:space="preserve">: margen operativo del 67,7 % y flujo libre de 1.066 M en 12 meses [1, 3].</w:t>
      </w:r>
    </w:p>
    <w:p>
      <w:pPr>
        <w:pStyle w:val="ListParagraph"/>
        <w:numPr>
          <w:ilvl w:val="0"/>
          <w:numId w:val="2"/>
        </w:numPr>
        <w:spacing w:after="60"/>
      </w:pPr>
      <w:r>
        <w:rPr>
          <w:b/>
        </w:rPr>
        <w:t xml:space="preserve">La base vuelve a crecer</w:t>
      </w:r>
      <w:r>
        <w:t xml:space="preserve">: +5,1 % interanual y guía del 5,2-6,0 % para 2026 [3].</w:t>
      </w:r>
    </w:p>
    <w:p>
      <w:pPr>
        <w:pStyle w:val="ListParagraph"/>
        <w:numPr>
          <w:ilvl w:val="0"/>
          <w:numId w:val="2"/>
        </w:numPr>
        <w:spacing w:after="60"/>
      </w:pPr>
      <w:r>
        <w:rPr>
          <w:b/>
        </w:rPr>
        <w:t xml:space="preserve">Recompras constantes</w:t>
      </w:r>
      <w:r>
        <w:t xml:space="preserve">: acciones −3,8 % al año en 2018-2025; 1.500 M autorizados [10].</w:t>
      </w:r>
    </w:p>
    <w:p>
      <w:pPr>
        <w:pStyle w:val="Heading2"/>
      </w:pPr>
      <w:r>
        <w:t xml:space="preserve">En contra</w:t>
      </w:r>
    </w:p>
    <w:p>
      <w:pPr>
        <w:pStyle w:val="ListParagraph"/>
        <w:numPr>
          <w:ilvl w:val="0"/>
          <w:numId w:val="2"/>
        </w:numPr>
        <w:spacing w:after="60"/>
      </w:pPr>
      <w:r>
        <w:rPr>
          <w:b/>
        </w:rPr>
        <w:t xml:space="preserve">Precio exigente</w:t>
      </w:r>
      <w:r>
        <w:t xml:space="preserve">: el DCF vale 219,10 USD (−28,5 %) y el precio descuenta un 10 % de crecimiento anual.</w:t>
      </w:r>
    </w:p>
    <w:p>
      <w:pPr>
        <w:pStyle w:val="ListParagraph"/>
        <w:numPr>
          <w:ilvl w:val="0"/>
          <w:numId w:val="2"/>
        </w:numPr>
        <w:spacing w:after="60"/>
      </w:pPr>
      <w:r>
        <w:rPr>
          <w:b/>
        </w:rPr>
        <w:t xml:space="preserve">Riesgo de contrato</w:t>
      </w:r>
      <w:r>
        <w:t xml:space="preserve">: un cambio del régimen de precios dejaría el valor en 141,42 USD (−53,9 %).</w:t>
      </w:r>
    </w:p>
    <w:p>
      <w:pPr>
        <w:pStyle w:val="ListParagraph"/>
        <w:numPr>
          <w:ilvl w:val="0"/>
          <w:numId w:val="2"/>
        </w:numPr>
        <w:spacing w:after="60"/>
      </w:pPr>
      <w:r>
        <w:rPr>
          <w:b/>
        </w:rPr>
        <w:t xml:space="preserve">IA</w:t>
      </w:r>
      <w:r>
        <w:t xml:space="preserve">: puede restar renovaciones si los asistentes sustituyen la navegación por dominios [18].</w:t>
      </w:r>
    </w:p>
    <w:p>
      <w:pPr>
        <w:pStyle w:val="ListParagraph"/>
        <w:numPr>
          <w:ilvl w:val="0"/>
          <w:numId w:val="2"/>
        </w:numPr>
        <w:spacing w:after="60"/>
      </w:pPr>
      <w:r>
        <w:rPr>
          <w:b/>
        </w:rPr>
        <w:t xml:space="preserve">Altas récord sin probar</w:t>
      </w:r>
      <w:r>
        <w:t xml:space="preserve">: 12,7 M en el 2T26 que se renuevan en 2027 al precio nuevo [3].</w:t>
      </w:r>
    </w:p>
    <w:p>
      <w:pPr>
        <w:pStyle w:val="ListParagraph"/>
        <w:numPr>
          <w:ilvl w:val="0"/>
          <w:numId w:val="2"/>
        </w:numPr>
        <w:spacing w:after="60"/>
      </w:pPr>
      <w:r>
        <w:rPr>
          <w:b/>
        </w:rPr>
        <w:t xml:space="preserve">Fundador sin sucesor</w:t>
      </w:r>
      <w:r>
        <w:t xml:space="preserve">: Bidzos, 71 años, tres cargos y ventas programadas de 32,1 M USD [21, 31].</w:t>
      </w:r>
    </w:p>
    <w:p>
      <w:pPr>
        <w:pStyle w:val="Heading2"/>
      </w:pPr>
      <w:r>
        <w:t xml:space="preserve">Qué tiene que pasar para que la tesis funcione</w:t>
      </w:r>
    </w:p>
    <w:p>
      <w:pPr>
        <w:spacing w:after="100"/>
      </w:pPr>
      <w:r>
        <w:t xml:space="preserve">La tesis depende de que la base de dominios siga creciendo tras la subida de .com de noviembre de 2026 y de que la empresa siga subiendo el precio en 2027-2029. La señal de que no se cumple sería una base a la baja en el 1T27 o el 2T27, una renovación por debajo del 73 % o que no anuncie en primavera de 2027 la subida de noviembre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dominios .com y .net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 M (+5,1 %)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de 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renovación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 la IA o de la subida.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la subida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.com anunciadas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 USD desde nov-2026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anuncio en primavera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31x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Zona de venta.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33,3x / 28,8x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VeriSign nació en 1995 como escisión de RSA Security para vender certificados digitales. En 2000 compró Network Solutions por ≈ 21.000 M USD en acciones, y con ella el registro de .com y .net. En la década siguiente vendió todo lo demás (certificados a Symantec en 2010, el registrador Network Solutions, servicios de pagos y de seguridad) hasta quedar como puro operador de registros desde 2011, con el fundador D. James Bidzos como consejero delegado [1]. Desde 2018 la Amendment 35 con el Departamento de Comercio volvió a permitir subidas de precio de .com, y en 2024-2025 se renovaron los contratos de .com hasta 2030 [1, 13]. En 2019 Berkshire Hathaway llegó al 14 % y en julio de 2025 vendió un tercio [26,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escisión de RSA Security (certificados digitales)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Network Solutions y del registro de .com y .net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de certificados a Symantec; empieza la etapa de puro registro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congela el precio de .com en 7,85 USD (Amendment 32)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de .web: depósito de 145 M USD y nueve años de litigios con Altanovo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Amendment 35: permite subidas del 7 % en cuatro de cada seis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subidas de .com: de 7,85 a 10,26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.com Registry Agreement hasta el 30-nov-2030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(0,77 USD trimestrales) y venta de un tercio de la participación de Berkshire [5,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Delegación de .web; subida de .com a 10,97 USD (1-nov) y de .net a 12,00 (1-mar-2027) [3, 4,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VeriSign opera el registro de los dominios .com y .net, los dos más usados del mundo: mantiene la base de datos de quién tiene cada nombre y los servidores que traducen cada nombre a la dirección de la máquina (resolución), con 100 % de disponibilidad durante 29 años [14]. Además opera dos de los 13 servidores raíz de internet y es el mantenedor de la zona raíz, y registra .name, .cc y dominios internacionalizados; .web, delegado en julio de 2026, se lanzará por los registradores [1, 14]. Tiene 928 empleados, el 93 % en EE. UU. [1]. No vende al público: cobra a ≈ 2.000 registradores acreditados, que revenden el dominio con su margen [1].</w:t>
      </w:r>
    </w:p>
    <w:p>
      <w:pPr>
        <w:pStyle w:val="Heading2"/>
      </w:pPr>
      <w:r>
        <w:t xml:space="preserve">Cómo gana dinero</w:t>
      </w:r>
    </w:p>
    <w:p>
      <w:pPr>
        <w:spacing w:after="100"/>
      </w:pPr>
      <w:r>
        <w:t xml:space="preserve">Cobra una tarifa fija por cada año de registro o renovación: 10,26 USD por .com (10,97 desde el 1-nov-2026) y 10,91 por .net (12,00 desde marzo de 2027), por adelantado, y la reconoce durante el plazo [4, 15]. Los ingresos dependen de tres cosas: dominios nuevos, tasa de renovación (≈ 75 %) y precio [1]. El coste es casi fijo (personal, centros de datos, 0,2575 USD por dominio a ICANN), así que el apalancamiento operativo es alto: con ingresos +6,4 % en 2025 el resultado operativo creció un 5,9 % y el margen se mantuvo en el 67,7 % [1]. No hay estacionalidad relevante; el 66 % de los ingresos se factura a registradores con sede en EE. UU.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Registro de dominios (.com, .net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Registro de dominios (.com, .net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son ≈ 2.000 registradores acreditados por ICANN (GoDaddy, Tucows, Namecheap, Squarespace, Alibaba…), que venden a los titulares; ninguno se desglosa como cliente significativo en el 10-K, pero el sector está concentrado en pocos registradores grandes [1]. Los contratos son de registro anual (1 a 10 años) y la renovación ronda el 75-76 % [3]. El poder de precios está demostrado y limitado por contrato: el precio de .com subió de 7,85 a 10,26 USD en 2021-2024 (+31 %) y sube a 10,97 en noviembre de 2026, con la base de dominios creciendo de nuevo [1, 4]. En .net puede subir un 10 % al año (12,00 USD en marzo de 2027)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dominios .com y .net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169,0 M en dic-24 (−2 %)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Altas nuevas en el trimestre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41,7 M en 2025 frente a 37,4 M en 2024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renovación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del 2T26: 75,2 %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mayorista de .com (USD/año)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 desde el 1-nov-2026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Tope contractual: +7 % al año en los cuatro últimos años de cada periodo de seis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63,2 % en 2018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diferidos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anticipado de los registros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registro de nombres de dominio de primer nivel en el mundo: genéricos históricos (.com, .net, .org), nuevos genéricos (.xyz, .online, .shop…) y los de país (.de, .cn, .uk). VeriSign es el operador mayorista («registry»): cobra a los registradores una tarifa anual por dominio y opera la resolución; los registradores (GoDaddy, Namecheap) venden al público. Se usa el recuento del Domain Name Industry Brief (DNIB) en número de dominios, la única serie pública y periódica; no hay una estadística independiente en dinero, así que el valor se estima a precio mayorista medio [1,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401,6 M de dominios registrados a 30-jun-2026 (+8,1 % interanual), de los que 179,1 M son .com y .net (44,6 %) [14]. A un precio mayorista medio de ≈ 10 USD, el mercado mayorista vale ≈ 4.000 M USD al año (estimación propia; los dominios de país tienen precios muy distintos) [1,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en .com (≈ 45 % de todos los dominios) con una cola larga de cientos de extensiones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ominios (todas las extensiones, DNIB))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Creación de negocios y webs (también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M de altas .com/.net en el 2T26 frente a 10,4 M un año antes; la empresa lo atribuye en parte a herramientas de IA que crean webs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contractuales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 +6,9 % en nov-2026 (tope del 7 % en cuatro de cada seis años); .net +10 % en mar-2027 [1, 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Navegación por buscadores y asistentes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usuarios llegan a las marcas por un asistente y no tecleando la dirección, un .com memorable vale menos; riesgo citado por la prensa en 2026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Especulación y aparcamiento de dominios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dominios para publicidad (AdSense for Domains) son menos del 2 % de la base, según la empresa [16]; China restó base en 2023-2024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otras extensiones y de redes sociales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.com y .net bajaron de 174,7 M (2022) a 169,0 M (2024) antes de recuperarse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registro es un monopolio de su extensión; la rivalidad es entre extensiones y .com conserva ≈ 45 % de todos los dominios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registradores no pueden cambiar de proveedor para .com; trasladan el precio al titular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red y personal; la tarifa a ICANN es de 0,2575 USD por dominio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Nadie puede operar .com mientras el contrato se renueve; la entrada es de extensiones nuevas, que en diez años no han quitado cuota relevante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sociales, aplicaciones y asistentes de IA son alternativas de presencia en internet; el 10-K lo señala como riesgo [1, 18].</w:t>
            </w:r>
          </w:p>
        </w:tc>
      </w:tr>
    </w:tbl>
    <w:p>
      <w:pPr>
        <w:spacing w:after="160" w:before="0"/>
      </w:pPr>
    </w:p>
    <w:p>
      <w:pPr>
        <w:pStyle w:val="Heading2"/>
      </w:pPr>
      <w:r>
        <w:t xml:space="preserve">Ciclo</w:t>
      </w:r>
    </w:p>
    <w:p>
      <w:pPr>
        <w:spacing w:after="100"/>
      </w:pPr>
      <w:r>
        <w:t xml:space="preserve">La base de .com y .net creció un 5,1 % interanual en junio de 2026, el mejor ritmo en años, tras caer en 2023-2024 por China y el fin del auge de registros de la pandemia [1, 14]. El negocio es poco cíclico: en 2008-2009, 2020 y 2022 los ingresos de VeriSign siguieron creciendo porque se cobran por adelantado y la renovación ronda el 75 % [1]. Los indicadores son la base de dominios, las altas y la tasa de renovación, que publica cada trimestre.</w:t>
      </w:r>
    </w:p>
    <w:p>
      <w:pPr>
        <w:pStyle w:val="Heading2"/>
      </w:pPr>
      <w:r>
        <w:t xml:space="preserve">Regulación</w:t>
      </w:r>
    </w:p>
    <w:p>
      <w:pPr>
        <w:spacing w:after="100"/>
      </w:pPr>
      <w:r>
        <w:t xml:space="preserve">.com se opera bajo dos contratos: el .com Registry Agreement con ICANN, renovado hasta el 30-nov-2030 con derecho presuntivo de renovación y sin cambios en la cláusula de precio [13], y el Cooperative Agreement con el Departamento de Comercio (Amendment 35, de 2018), renovado automáticamente hasta el 30-nov-2030 [1]. El precio puede subir hasta un 7 % al año en los cuatro últimos años de cada periodo de seis (el actual empezó el 26-oct-2024); cambiar la cláusula exige el acuerdo de Comercio [1]. En 2024 la NTIA dijo que una bajada de precios sería de interés público, pero no logró acordarla con VeriSign [17]. .net (hasta 2029) puede subir un 10 % al año [1].</w:t>
      </w:r>
    </w:p>
    <w:p>
      <w:pPr>
        <w:pStyle w:val="Heading2"/>
      </w:pPr>
      <w:r>
        <w:t xml:space="preserve">Tendencias y disrupción</w:t>
      </w:r>
    </w:p>
    <w:p>
      <w:pPr>
        <w:spacing w:after="100"/>
      </w:pPr>
      <w:r>
        <w:t xml:space="preserve">Tres tendencias: (1) la IA crea webs y negocios más deprisa, y la empresa ve en ello parte de las altas récord de 2026 [2]; (2) la IA también cambia cómo se navega: si los asistentes responden sin enviar tráfico o las marcas se encuentran por un agente, un dominio vale menos para el titular y sube el riesgo de bajas en la renovación, aunque cualquier agente sigue necesitando el DNS para llegar a un servicio [18]; (3) el fin de AdSense for Domains en 2025 resta dominios aparcados (&lt; 2 % de la base) [16]. .web, sin tope de precio, es la única extensión nueva de VeriSign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.com y .net suman 179,1 M de 401,6 M de dominios (44,6 %) [14]; monopolio legal de .com y .net mientras se renueven los contratos.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Identity Digital (Donuts y Afilias)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 más de 300 extensiones nuevas y de .info; privada (Ethos Capital)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Interest Registry (.org)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ánimo de lucro; en 2019-2020 ICANN bloqueó su venta a un fondo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GoDaddy (registrador y registro)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GDDY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registrador del mundo y cliente de VeriSign; opera también registros (antiguo Neustar). EBITDA de 1379 M USD (Yahoo, 27 % de las ventas)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CNNIC (.cn) y DENIC (.de)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Mayores registros de país; compiten por los titulares locales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Team Internet Group (CentralNic)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Registros y registradores, muy dependiente de la publicidad en dominios; capitalización de ≈ 88 M GBP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 es la extensión por defecto que todo el mundo reconoce: 44,6 % de todos los dominios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dominio obliga a cambiar marca, correos y enlaces: renovación del 75-76 % con el precio subiendo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exclusiva de .com hasta 2030 con renovación presuntiva; 29 años de disponibilidad del 100 %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67,7 % con 928 empleados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que solo admite un operador por extensión [1].</w:t>
            </w:r>
          </w:p>
        </w:tc>
      </w:tr>
    </w:tbl>
    <w:p>
      <w:pPr>
        <w:spacing w:after="160" w:before="0"/>
      </w:pPr>
    </w:p>
    <w:p>
      <w:pPr>
        <w:pStyle w:val="Heading2"/>
      </w:pPr>
      <w:r>
        <w:t xml:space="preserve">Amenazas</w:t>
      </w:r>
    </w:p>
    <w:p>
      <w:pPr>
        <w:spacing w:after="100"/>
      </w:pPr>
      <w:r>
        <w:t xml:space="preserve">El foso es contractual: lo que más podría erosionarlo es que Comercio o ICANN limiten el precio en la renovación de 2030 (probabilidad baja, impacto alto) [1, 17]. La segunda amenaza es de uso: que los asistentes de IA y las aplicaciones hagan menos necesario un dominio propio y la renovación baje del 75 % (probabilidad media a largo plazo, aún sin señales: la base crece al 5 %) [2, 18]. Las extensiones nuevas llevan doce años sin quitar cuota relevante a .com [14].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2018-2025: ingresos </w:t>
      </w:r>
      <w:r>
        <w:rPr>
          <w:b/>
          <w:bCs/>
        </w:rPr>
        <w:t xml:space="preserve">4,5 %</w:t>
      </w:r>
      <w:r>
        <w:t xml:space="preserve">, EBITDA </w:t>
      </w:r>
      <w:r>
        <w:rPr>
          <w:b/>
          <w:bCs/>
        </w:rPr>
        <w:t xml:space="preserve">5,1 %</w:t>
      </w:r>
      <w:r>
        <w:t xml:space="preserve">, BPA </w:t>
      </w:r>
      <w:r>
        <w:rPr>
          <w:b/>
          <w:bCs/>
        </w:rPr>
        <w:t xml:space="preserve">9,2 %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1.215 M USD en 2018 a 1.657 M en 2025 (TCAC del 4,5 %) sin compras: son casi todos de registrar y renovar dominios .com y .net [1]. El crecimiento sale de dos palancas: el precio mayorista de .com (7,85 USD hasta 2021; 8,39 en sep-2021, 8,97 en sep-2022, 9,59 en sep-2023 y 10,26 en sep-2024) y el número de dominios, que cayó en 2023-2024 (de 174,7 a 169,0 M; China y registros especulativos) y volvió a crecer en 2025 (173,5 M, +2,6 %) y 2026 (179,1 M en junio, +5,1 % interanual) [1, 3]. El margen operativo subió del 63,2 % en 2018 al 67,7 % en 2025 y al 68,2 % en el primer semestre de 2026: los costes (535 M en 2025) crecen ≈ 3-5 % al año y cada subida de precio va casi entera al resultado [1, 3]. La subida de .com a 10,97 USD (+6,9 %) entra el 1-nov-2026 y la de .net a 12,00 el 1-mar-2027 [2, 4].</w:t>
      </w:r>
    </w:p>
    <w:p>
      <w:pPr>
        <w:pStyle w:val="Heading2"/>
      </w:pPr>
      <w:r>
        <w:t xml:space="preserve">Ajustes y partidas no recurrentes</w:t>
      </w:r>
    </w:p>
    <w:p>
      <w:pPr>
        <w:spacing w:after="100"/>
      </w:pPr>
      <w:r>
        <w:t xml:space="preserve">Se usan cifras publicadas (US GAAP); la empresa no publica un BPA ajustado. Partidas no recurrentes: beneficios fiscales en 2020 (impuesto de −64,7 M USD) y 2021 (−2,6 M) por la reorganización fiscal internacional, que inflan el beneficio neto (815 y 785 M) y el BPA (7,07 y 7,00 USD); con un tipo normal del 23 % el BPA habría sido ≈ 5,0 y 5,4 USD [1, 7]. Por eso esos dos años quedan fuera de la historia del PER. En 2023 el tipo fue del 16 % (159 M). La remuneración en acciones (70,6 M en 2025) está dentro de los costes y del EBITDA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(23-jul-2026) los ingresos subieron un 6,0 % (434,6 M USD), el resultado operativo fue de 296,3 M (68,2 %) y el BPA de 2,38 USD, 0,03 por encima del consenso; el 1T26 lo batió en 0,09 y el 4T25 quedó 0,05 por debajo [3, 4, 5, 11]. La dirección subió por tercera vez la guía de 2026: crecimiento de la base de dominios del 5,2-6,0 % (era 1,5-3,5 % en febrero y 3,1-4,3 % en abril) e ingresos de 1.745-1.755 M (1.715-1.735 en febrero) [3, 11]. Dato clave: 12,7 M de altas nuevas en el trimestre frente a 10,4 M un año antes y renovación del 76,3 % en el 1T26 (75,5 %) [3]. La dirección atribuye parte de las altas a las herramientas de IA que crean webs y contenido y al marketing con los registradores [2]. Los analistas preguntaron cuánto del crecimiento viene de la IA y cuánto del marketing, si las altas récord renovarán, el efecto adelantado de la subida de precio de noviembre y el coste del hardware; la dirección no cuantificó la parte de la IA ni dio guía para 2027 [3]. Los resultados del 3T26 se publican el 22-oct-2026.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(−2.254 M USD a junio de 2026) porque la empresa lleva dos décadas recomprando más de lo que gana: ≈ 6.900 M en recompras de 2018 a 2025 [1, 7]. La deuda bruta es de 1.800 M en tres bonos (2,70 % 2031, 5,10 % 2031 y 5,25 % 2032) y la deuda neta de ≈ 1.300 M, 1,1 veces el EBITDA [3]. El circulante comercial es muy negativo: los clientes (registradores) pagan por adelantado, así que clientes − proveedores − ingresos diferidos = −1.675 M en 2025 (−101 % de las ventas) [1]: crecer genera caja.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6.370</w:t>
      </w:r>
      <w:r>
        <w:t xml:space="preserve">, conversión </w:t>
      </w:r>
      <w:r>
        <w:rPr>
          <w:b/>
          <w:bCs/>
        </w:rPr>
        <w:t xml:space="preserve">108 %</w:t>
      </w:r>
      <w:r>
        <w:t xml:space="preserve"> del beneficio neto; adquisiciones 0, dividendos 215, recompras 6.978.</w:t>
      </w:r>
    </w:p>
    <w:p>
      <w:pPr>
        <w:spacing w:after="100"/>
      </w:pPr>
      <w:r>
        <w:t xml:space="preserve">La conversión de beneficio en caja es superior al 100 %: flujo operativo de 1.091 M USD en 2025 frente a un beneficio de 826 M, por los cobros anticipados (ingresos diferidos +80 M), la remuneración en acciones (71 M) y menos impuestos pagados por la ley fiscal de 2025 [1, 5]. La inversión es mínima: 22,8 M en 2025 (1,4 % de las ventas) y 26,0 M en el primer semestre de 2026; casi todo es mantenimiento de centros de datos y red [1, 3]. Toda la caja vuelve al accionista: 882 M de recompras y 215 M de dividendos en 2025, y 427 M y 148 M en el primer semestre de 2026 [1, 3]. En 2016 se pagaron 143 M por el depósito de .web, el único gasto «de compra» de la década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y limpias: un solo segmento, sin compras, sin deterioros, sin I+D activado y con ingresos que se cobran antes de reconocerse (los diferidos cubren ≈ 10 meses de ventas) [1]. El único ruido del BPA son los impuestos: beneficios fiscales de 2020 y 2021 por la reorganización internacional y el tipo bajo de 2023 [1, 7]. La remuneración en acciones es moderada (70,6 M USD, 4,3 % de las ventas) [1]. KPMG audita a la empresa desde 1995, lo que es mucho tiempo [1]. Los indicadores del motor (Altman, ROE) pierden sentido con patrimonio negativo; el circulante negativo es una fortaleza (cobro anticipado), no un riesgo.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−2.154 M USD en 2025; financiado con caja propia y 1.800 M de bonos baratos; invalida ROE y Altman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Beneficios fiscales en 2020-2021</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7,07 y 7,00 USD inflados por impuestos negativos; con un tipo normal, ≈ 5,0 y 5,4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31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desde 1995; un 6,8 % de votos en contra de su ratificación en 2026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53 M en 2025; ha subido más de un 5 % en 0 de 7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VeriSign crea valor de forma extrema: el NOPAT de 2025 (≈ 866 M USD) rinde ≈ 211 % sobre su capital operativo fijo (inmovilizado 214 M, fondo de comercio 53 M y depósito de .web 145 M), y el motor da el 319 % sobre el capital fijo sin el depósito, frente a un WACC del 9,21 %: ROIC − WACC de más de 200 puntos [1]. El ROIC convencional no tiene sentido: el capital invertido es negativo porque los clientes pagan por adelantado (ingresos diferidos de 1.385 M) y las recompras han dejado el patrimonio en −2.154 M [1]. El ROIC sube por margen (margen operativo del 63,2 % en 2018 al 67,7 % en 2025) y no por capital. No hay ROIC incremental que medir: el capital apenas cambia. Frente a los comparables de peaje (Moody's, MSCI, CME, con ROIC del 20-40 %), VeriSign necesita menos capital que ninguno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y valores negociables de 1.034 M USD a 30-jun-2026, de los que ≈ 550 M se usaron el 20-jul-2026 para amortizar los bonos de 2027 [3]; línea de crédito no dispuesta de 200 M (covenant: apalancamiento ≤ 4,0 veces)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Baa2 y S&amp;P BBB (calificaciones previstas en la emisión de junio de 2026)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Ingresos diferidos de 1.449 M USD a 30-jun-2026 (1.085 M a corto): cobros por adelantado de registros de 1 a 10 años que se reconocen a lo largo del plazo; no son deuda financiera, se pagan con servicio de registro, y por eso van al circulante [3]. Depósito de 145,2 M para adquirir intangibles (el derecho a operar .web, delegado en 2026) [3]. No hay pensiones relevantes ni litigios con provisión material; el 10-K advierte de reclamaciones y de impugnaciones de los precios de .com [1]. Pasivo fiscal y otros a largo de 8,6 M [3].</w:t>
      </w:r>
    </w:p>
    <w:p>
      <w:pPr>
        <w:pStyle w:val="Heading1"/>
      </w:pPr>
      <w:r>
        <w:t xml:space="preserve">12. Asignación de capital</w:t>
      </w:r>
    </w:p>
    <w:p>
      <w:pPr>
        <w:pStyle w:val="Confianza"/>
        <w:spacing w:after="100"/>
      </w:pPr>
      <w:r>
        <w:t xml:space="preserve">Confianza: Alta</w:t>
      </w:r>
    </w:p>
    <w:p>
      <w:pPr>
        <w:spacing w:after="100"/>
      </w:pPr>
      <w:r>
        <w:t xml:space="preserve">Todo el flujo libre vuelve al accionista: «más del 100 % del flujo libre» en el 2T26 [3]. Dividendo trimestral desde 2025 (0,77 USD; 0,81 desde febrero de 2026, +5,2 %) y recompras sin fecha de caducidad: el consejo amplió el programa el 23-jul-2026 hasta 1.500 M USD disponibles [5, 10]. La deuda se refinancia al vencer (2025 y 2027) sin reducirla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 a operar .web (depósito de 145 M USD; subasta de 135 M de 2016, litigios hasta 2025; delegado en la raíz en julio de 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Lanzamiento previsto a finales de 2026 por el canal de registradores; la empresa no espera ingresos relevantes en 2026 [1, 3].</w:t>
            </w:r>
          </w:p>
        </w:tc>
      </w:tr>
    </w:tbl>
    <w:p>
      <w:pPr>
        <w:spacing w:after="160" w:before="0"/>
      </w:pPr>
    </w:p>
    <w:p>
      <w:pPr>
        <w:spacing w:after="100"/>
      </w:pPr>
      <w:r>
        <w:t xml:space="preserve">La dirección asigna el capital con disciplina y sin compras: de 2018 a 2025 recompró ≈ 6.980 M USD y las acciones diluidas bajaron de 122,7 a 93,8 M (−3,8 % al año) [1, 7]. El problema es el precio de las recompras: se compraron a 25-40 veces beneficios (PER de 2021 cercano a 40) y el patrimonio negativo crece. El ROIC sobre el capital operativo (inmovilizado, fondo de comercio y depósito de .web: ≈ 410 M) supera el 200 %: no hay dónde reinvertir y devolver la caja es lo correcto. El riesgo de la apuesta .web (145 M y diez años de litigios) es pequeño frente al tamaño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 James Bidzos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consejero delegado y 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del consejo desde 1995 (antes, de RSA Security); consejero delegado desde 2011. Con él la empresa vendió todo lo que no era registro y llevó el margen operativo del 63 % de 2018 al 68 % [1,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D. Calys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2010 (contralor global y director de contabilidad); sustituyó a George Kilguss en mayo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Danny R. McPherson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Tecnología y director de seguridad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2010; antes en Arbor Networks. Responsable de la disponibilidad del 100 % de la resolución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C. Indelicarto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secretario general y director jurídico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lleva la relación con ICANN, Comercio y el litigio de .web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Kathleen A. 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Exconsejera delegada de Worldport Communications; consejera coordinadora y presidenta de la comisión de remuneraciones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1.635-1.650 M USD y base de dominios −0,7 % a +0,9 % (abril de 2025); subida a 1.652-1.657 M y +2,2-2,5 % en octubre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1.656,6 M y base +2,6 %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1.715-1.735 M y base +1,5-3,5 % (febrero); 1.745-1.755 M y +5,2-6,0 %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863,5 M en el primer semestre (+6,3 %) y base +5,1 % interanual en junio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director financiero, el jurídico y el técnico llevan más de diez años en la empresa, y la guía se ha cumplido y subido varias veces en 2025 y 2026 [11, 30, 32]. El punto débil es la sucesión: Bidzos tiene 71 años, acumula la presidencia ejecutiva, la dirección general y la presidencia de la compañía, y no hay un sucesor anunciado [1, 21]. Una propuesta de accionistas para separar los cargos recibió el 23 % de los votos en 2026 [22].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 James Bidzos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A. 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Courtney D. Armstrong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Yehuda Ari Buchalter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Ciberseguridad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J. Desch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Ciberseguridad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S. Gorelick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Ciberseguridad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Debra W. McCann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Remuneraciones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0,02 / ventas 37,37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 (Warren Buffett)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4,3 M de acciones a 285 USD en julio de 2025 (de 14,2 % a 9,6-9,9 %) con un año de bloqueo; sin cambios a 30-jun-2026: 8.989.880 acciones [26,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de abril de 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(dos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6,74 % + 5,73 % tras separar sus gestoras en enero de 2026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Ninety One UK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de abril de 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AQR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en agosto de 2026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509.395 acciones; Bidzos vende de forma continua [21,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BIDZOS D JAMES (Exec. Chairman, Pres,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Indelicarto Thomas C (EVP, Gen Counsel &amp; Secretary)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McPherson Danny R (EVP - Technology &amp; CSO)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CALYS JOHN (EVP,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Armstrong Courtney 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15,5 M USD en 2025: 0,95 M de fijo, 1,59 M de bonus anual y 13,0 M en acciones (60 % por objetivos y 40 % por permanencia) [21]. El bonus anual depende a partes iguales de ingresos y margen operativo, con un mínimo del 98 % del objetivo [21]. Las acciones por objetivos se miden en tres años (2025-2027) por la TCAC del resultado operativo, con un máximo del 100 % si la rentabilidad para el accionista no bate al S&amp;P 500 [21]: premia crecer el resultado, no el tamaño. Ratio con el empleado medio: 67 veces [21]. El voto consultivo sobre la remuneración tuvo un 93 % a favor en 2025 y un 95 % en 2026 (4,2 % en contra) [21, 22].</w:t>
      </w:r>
    </w:p>
    <w:p>
      <w:pPr>
        <w:pStyle w:val="Heading2"/>
      </w:pPr>
      <w:r>
        <w:t xml:space="preserve">Operaciones vinculadas, estructura de control y defensas</w:t>
      </w:r>
    </w:p>
    <w:p>
      <w:pPr>
        <w:spacing w:after="100"/>
      </w:pPr>
      <w:r>
        <w:t xml:space="preserve">Sin accionista de control: el mayor es Berkshire con ≈ 9,9 %, que redujo su posición en julio de 2025 para bajar del 10 % y no vota en bloque con la dirección [21, 26]. Una acción, un voto; consejo de siete con seis independientes, elección anual y consejera coordinadora [21]. La principal debilidad es la concentración de cargos en el fundador (presidente ejecutivo, consejero delegado y presidente), que los accionistas aceptaron en 2026 con un 23 % a favor de separarlos [22]. No hay operaciones vinculadas desde 2025 [21].</w:t>
      </w:r>
    </w:p>
    <w:p>
      <w:pPr>
        <w:pStyle w:val="Heading2"/>
      </w:pPr>
      <w:r>
        <w:t xml:space="preserve">Señales de alerta</w:t>
      </w:r>
    </w:p>
    <w:p>
      <w:pPr>
        <w:pStyle w:val="ListParagraph"/>
        <w:numPr>
          <w:ilvl w:val="0"/>
          <w:numId w:val="2"/>
        </w:numPr>
        <w:spacing w:after="60"/>
      </w:pPr>
      <w:r>
        <w:t xml:space="preserve">Bidzos (71 años) acumula los tres cargos y no hay sucesor anunciado; la propuesta de separar presidencia y dirección obtuvo el 23 % de los votos en 2026 [22].</w:t>
      </w:r>
    </w:p>
    <w:p>
      <w:pPr>
        <w:pStyle w:val="ListParagraph"/>
        <w:numPr>
          <w:ilvl w:val="0"/>
          <w:numId w:val="2"/>
        </w:numPr>
        <w:spacing w:after="60"/>
      </w:pPr>
      <w:r>
        <w:t xml:space="preserve">Desch recibió un 27 % de votos en contra en su elección de 2026 (dirige otra cotizada) [22].</w:t>
      </w:r>
    </w:p>
    <w:p>
      <w:pPr>
        <w:pStyle w:val="ListParagraph"/>
        <w:numPr>
          <w:ilvl w:val="0"/>
          <w:numId w:val="2"/>
        </w:numPr>
        <w:spacing w:after="60"/>
      </w:pPr>
      <w:r>
        <w:t xml:space="preserve">Ventas continuas de directivos: 37.4 M USD en 12 meses, 32.1 M de Bidzos, dentro de un plan 10b5-1 [25,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(23-jul-2026, tercera subida del año): ingresos de 1.745-1.755 M USD (+5,3-5,9 %) y crecimiento de la base de dominios del 5,2-6,0 % [11, 32]; en febrero era de 1.715-1.735 M y +1,5-3,5 % [11]. Gastos financieros netos estimados por la empresa en 59-65 M [32]. La empresa no da guía de 2027 hasta febrero; los cambios conocidos para 2027 son la subida de .com a 10,97 USD (1-nov-2026) y la de .net a 12,00 (1-mar-2027) [3, 15]. No espera ingresos relevantes de .web en 2026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4 analistas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4 analistas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285,00 – 355,00</w:t>
            </w:r>
          </w:p>
        </w:tc>
      </w:tr>
    </w:tbl>
    <w:p>
      <w:pPr>
        <w:spacing w:after="160" w:before="0"/>
      </w:pPr>
    </w:p>
    <w:p>
      <w:pPr>
        <w:pStyle w:val="Heading2"/>
      </w:pPr>
      <w:r>
        <w:t xml:space="preserve">Revisiones de estimaciones</w:t>
      </w:r>
    </w:p>
    <w:p>
      <w:pPr>
        <w:spacing w:after="100"/>
      </w:pPr>
      <w:r>
        <w:t xml:space="preserve">El BPA de 2026 del consenso sube de 9.46 USD hace 90 días a 9.58 y el de 2027 de 10.38 a 10.88 (+4,8 %), por la guía subida en julio y la subida de .com [32, 34]. Los objetivos suben: Wedbush de 324 a 341 en septiembre y a 351 USD el 19-oct; JP Morgan a 316 en julio (Mantener); Zacks bajó a Mantener el 25-sep [37]. Solo 4-5 analistas publican estimaciones en Yahoo: el consenso es estrecho; MarketBeat da un objetivo medio de 333 USD [37].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VeriSign subió un 27,3 % en 2026 hasta el 19-oct, el doble que el S&amp;P 500 (13,3 %), pero a cinco años rinde un 7,8 % anual frente al 12,6 % del índice [33]: el PER bajó de ≈ 40 veces en 2021 a ≈ 25 en 2022-2024 con los dominios cayendo [33]. En 2025-2026 el precio se ha movido por tres cosas: la venta de Berkshire en julio de 2025 (−7 % en el día) [41], la caída de ≈ 20 % de mayo a junio de 2026 por el miedo a que la subida de .com frene las altas [38] y la recuperación de julio-agosto tras subir la guía de dominios al 5,2-6 % [11]. Beta de 0,67 (mensual, 5 años) y volatilidad del 29 %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 +17,0 % / +13,9 % / +16,0 %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 +45,3 %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4T25 (BPA 0,05 USD bajo el consenso) y guía de 2026 prudente (base de dominios +1,5-3,5 %); mínimo del año el 6-feb (−7,6 % en el día) [11, 33,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del 22-may a 23-jun: miedo a que la subida de .com (+6,9 % en noviembre) frene las altas y adelante bajas, más ventas de directivos; caída del 6,4 % el 22-jun sin noticia de la empresa [33,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y guía de base de dominios subida al 5,2-6,0 % y de ingresos a 1.745-1.755 M; ampliación de recompras a 1.500 M [3,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22-oct a las 16:05 de Nueva York; consenso de BPA 2,42 USD e ingresos de 440 M [34,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Wedbush sube el objetivo a 351 USD (Superior); antes, 341 en septiembre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Research baja la recomendación a Mantener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.net de 10,91 a 12,00 USD el 1-mar-2027 (máximo del 10 % permitido)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el bloqueo de un año de Berkshire Hathaway tras vender 4,3 M de acciones en julio de 2025; a 30-jun-2026 mantenía 8,99 M (≈ 9,9 %), sin nueva colocación anunciada [27, 40,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subida por tercera vez; recompras ampliadas a 1.500 M USD [3,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550 M USD al 5,10 % hasta 2031 para amortizar los de 2027 al 4,75 %: refinanciación, no deuda nueva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.com de 10,26 a 10,97 USD el 1-nov-2026 (+6,9 %, dentro del tope del 7 %); la NTIA había defendido en 2024 una bajada de precios sin lograr acordarla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2025-10-20 a 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directivos por 37,4 M USD en 12 meses (Bidzos 32,1 M, 120.000 acciones; conserva 375.127), dentro de un plan 10b5-1 y sin compras relevantes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está a un 0,9 % de su máximo histórico tras subir un 17 % en tres meses, con tendencia alcista (14 % sobre la media de 200 sesiones) y sin avisos de movimiento [33]. Los movimientos fuertes de 2026 tienen causas que el análisis recoge: la guía de dominios y la subida de .com [3, 38]. No hay ningún hecho pendiente ajeno al análisis con fecha que pueda mover el precio más de un 5 % en contra: Berkshire puede volver a vender desde finales de julio de 2026 (el 9,9 % restante), pero no hay colocación anunciada y su 13F de junio no muestra ventas [27]. Las ventas de Bidzos son de un plan programado y repetido cada mes. Los resultados del 22-oct no retrasan (regla 11). Veredicto global: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Se excluyen 2020 y 2021 en el PER de los últimos 12 meses porque el BPA de esos años está inflado por beneficios fiscales (impuesto negativo): el PER publicado parece más bajo de lo que era. Con el BPA normalizado, la acción cotizó a ≈ 40 veces en 2020-2021 y bajó a ≈ 26 en 2022-2024, cuando la base de dominios dejó de crecer; en 2025-2026 se ha recuperado a ≈ 28-30 con la vuelta del crecimiento de dominios y la nueva subida de precio [33].</w:t>
      </w:r>
    </w:p>
    <w:p>
      <w:pPr>
        <w:pStyle w:val="Heading1"/>
      </w:pPr>
      <w:r>
        <w:t xml:space="preserve">18. Comparables cotizados</w:t>
      </w:r>
    </w:p>
    <w:p>
      <w:pPr>
        <w:pStyle w:val="Confianza"/>
        <w:spacing w:after="100"/>
      </w:pPr>
      <w:r>
        <w:t xml:space="preserve">Confianza: Media</w:t>
      </w:r>
    </w:p>
    <w:p>
      <w:pPr>
        <w:spacing w:after="100"/>
      </w:pPr>
      <w:r>
        <w:t xml:space="preserve">No hay otro registro cotizado de tamaño comparable: los demás son privados (Identity Digital), sin ánimo de lucro (PIR) o diminutos (Team Internet, ≈ 90 M GBP, excluido). Se usan negocios de «peaje» con márgenes muy altos, ingresos recurrentes y poder de precios regulado o casi monopolístico (Moody's, S&amp;P Global, MSCI, FICO, CME, Verisk, ICE) y dos de infraestructura de internet (GoDaddy, cliente y registrador; Akamai). Todas con Yahoo a 20-oct-2026, PER de los próximos 12 meses con el BPA del consenso (ajustado en varias: no es la misma base que el GAAP de VeriSign)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7"/>
        <w:gridCol w:w="504"/>
        <w:gridCol w:w="908"/>
        <w:gridCol w:w="706"/>
        <w:gridCol w:w="807"/>
        <w:gridCol w:w="706"/>
        <w:gridCol w:w="706"/>
        <w:gridCol w:w="756"/>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VeriSign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GoDaddy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Akamai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17,6x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 / 22,1x / 23,1x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 / 9,3x / 11,0x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r>
    </w:tbl>
    <w:p>
      <w:pPr>
        <w:spacing w:after="160" w:before="0"/>
      </w:pPr>
    </w:p>
    <w:p>
      <w:pPr>
        <w:spacing w:after="100"/>
      </w:pPr>
      <w:r>
        <w:t xml:space="preserve">VeriSign cotiza a ≈ 28 veces el beneficio de los próximos 12 meses, por encima de la mediana de los comparables (22,1 veces) y en la parte alta con Moody's y MSCI, con menos crecimiento de ventas que la mayoría pero el mayor margen EBITDA (≈ 69 %) y casi sin capital invertido [34]. La prima se explica por el monopolio contractual de .com y la conversión en caja; la penaliza el crecimiento limitado por contrato y la dependencia de un solo producto. GoDaddy (≈ 10 veces) y Akamai (≈ 13) cotizan bajo porque tienen competencia real y más inversión. Uso del PER: el EV/EBITDA de Yahoo es ajustado en varias y no es comparable.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crecieron un 4,5 % anual en 2018-2025 con dos años de base de dominios a la baja [1]. Proyectamos 5,8 % en 2026e (centro de la guía de 1.745-1.755 M [32]), 9,0 % en 2027e y 2028e, 8,5 % en 2029e y 8,0 % en 2030e: volumen del 2-3,5 % (la base crece hoy al 5,1 % [3]) más precio de ≈ 5,5-6 puntos (subida de .com del 6,9 % en noviembre de 2026 y de hasta el 7 % en 2027, 2028 y 2029, como hizo en 2021-2024 [1, 4]). En 2031e-2032e el periodo de precios se reinicia sin subidas (5,0 % y 3,0 %), y luego 4,5 % y 3,5 %. El consenso de 2027 es +9,9 % [34].</w:t>
      </w:r>
    </w:p>
    <w:p>
      <w:pPr>
        <w:keepNext/>
        <w:spacing w:after="100"/>
      </w:pPr>
      <w:r>
        <w:rPr>
          <w:b/>
          <w:bCs/>
        </w:rPr>
        <w:t xml:space="preserve">Márgenes.</w:t>
      </w:r>
    </w:p>
    <w:p>
      <w:pPr>
        <w:spacing w:after="100"/>
      </w:pPr>
      <w:r>
        <w:t xml:space="preserve">El margen EBITDA fue del 69,6 % en 2025 y del 69,8 % en el primer semestre de 2026 [1, 3]. Las subidas de precio van casi enteras al resultado (costes que crecen ≈ 4-5 % al año), así que proyectamos 71,3 % en 2027e, 72,6 % en 2028e y 74,4-74,8 % desde 2030e. El margen operativo pasó del 63,2 % al 67,7 % en 2018-2025 con cuatro subidas de precio [1].</w:t>
      </w:r>
    </w:p>
    <w:p>
      <w:pPr>
        <w:keepNext/>
        <w:spacing w:after="100"/>
      </w:pPr>
      <w:r>
        <w:rPr>
          <w:b/>
          <w:bCs/>
        </w:rPr>
        <w:t xml:space="preserve">Inversión y circulante.</w:t>
      </w:r>
    </w:p>
    <w:p>
      <w:pPr>
        <w:spacing w:after="100"/>
      </w:pPr>
      <w:r>
        <w:t xml:space="preserve">La inversión fue del 1,4 % de las ventas en 2025 y la amortización del 1,9 % [1]; proyectamos 2,5-2,3 % de inversión (el 10-K avisa de que el hardware se encarece por la demanda de la IA [1]) y una amortización que sube al 2,2 %, por debajo de la inversión en el último año. El circulante se mantiene en el −100 % de las ventas (ingresos diferidos): crecer genera caja, como en la historia (−101 % en 2025 [1]).</w:t>
      </w:r>
    </w:p>
    <w:p>
      <w:pPr>
        <w:keepNext/>
        <w:spacing w:after="100"/>
      </w:pPr>
      <w:r>
        <w:rPr>
          <w:b/>
          <w:bCs/>
        </w:rPr>
        <w:t xml:space="preserve">Coste del capital.</w:t>
      </w:r>
    </w:p>
    <w:p>
      <w:pPr>
        <w:spacing w:after="100"/>
      </w:pPr>
      <w:r>
        <w:t xml:space="preserve">Tasa libre del 5,15 % (bono de EE. UU. a 10 años, 19-oct-2026 [35]); beta de 0,80, entre la mensual de cinco años (0,67), su ajustada (0,78) y la semanal de cinco años (0,83) [33]; prima de mercado del 5,5 %; coste de la deuda del 5,1 % antes de impuestos (cupón de los bonos de 2031 emitidos en junio [8]) y peso del 6 % a valor de mercado (1.800 M frente a ≈ 27.800 M de capitalización). WACC del 9,21 %. Con la prima implícita del mercado (4,2 %), el WACC baja al 8,24 %.</w:t>
      </w:r>
    </w:p>
    <w:p>
      <w:pPr>
        <w:keepNext/>
        <w:spacing w:after="100"/>
      </w:pPr>
      <w:r>
        <w:rPr>
          <w:b/>
          <w:bCs/>
        </w:rPr>
        <w:t xml:space="preserve">Valor terminal.</w:t>
      </w:r>
    </w:p>
    <w:p>
      <w:pPr>
        <w:spacing w:after="100"/>
      </w:pPr>
      <w:r>
        <w:t xml:space="preserve">Gordon con un crecimiento del 2,5 % en USD (inflación ≈ 2-2,5 % y volumen ≈ 0-0,5 %), por debajo de la tasa libre menos medio punto. Suponemos que los contratos se renuevan en 2030 con el mismo régimen de precios, como pasó en 2012, 2018 y 2024 [1, 13]. El valor terminal pesa el 57 %.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frente al 6,1 %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-1.217 M, con un capex bruto medio del 2,4 % de las ventas). En un negocio de activos ligeros, el crecimiento medio del 6,1 %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dominios +5,2-6,0 % según la guía y dos meses de la subida de .com del 1-nov [4, 32].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+3-4 % (altas récord, riesgo de bajas tras la subida) y el efecto de la subida de .com (+6,9 %) que se reconoce durante el año, más .net (+10 % en marzo) [4,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+3 % y subida de .com de noviembre de 2027 (hasta el 7 %) más el resto de la de 2026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+2,5 %; subida de noviembre de 2028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+2 %; última subida del periodo (noviembre de 2029) [1].</w:t>
            </w:r>
          </w:p>
        </w:tc>
      </w:tr>
    </w:tbl>
    <w:p>
      <w:pPr>
        <w:spacing w:after="160" w:before="0"/>
      </w:pPr>
    </w:p>
    <w:p>
      <w:pPr>
        <w:spacing w:after="100"/>
      </w:pPr>
      <w:r>
        <w:t xml:space="preserve">Sí. El crecimiento medio proyectado (6,1 %) está algo por encima del histórico (4,5 % en 2018-2025, con dos años de base de dominios a la baja) y no necesita capital: la reinversión neta es negativa (los cobros anticipados financian el crecimiento). La prueba es el poder de precios y la cuota: el precio sube por contrato (tope del 7 % en cuatro de cada seis años, usado al máximo en 2021-2024 y otra vez en 2026 [1, 4]) y la cuota de .com y .net (44,6 % de todos los dominios) se mantiene con la base creciendo al 5,1 % [3, 14]. El riesgo no es de calidad sino de contrato (renovación de 2030) y de uso (IA):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104,2 % (base: 74,8 %)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(WACC: 9,2 %)</w:t>
            </w:r>
          </w:p>
        </w:tc>
      </w:tr>
    </w:tbl>
    <w:p>
      <w:pPr>
        <w:spacing w:after="160" w:before="0"/>
      </w:pPr>
    </w:p>
    <w:p>
      <w:pPr>
        <w:spacing w:after="100"/>
      </w:pPr>
      <w:r>
        <w:t xml:space="preserve">El DCF da 219,10 USD por acción, un 28,5 % por debajo del precio (306,48), con un WACC del 9,21 % y un valor terminal que pesa el 57 %. El DCF inverso dice que el precio descuenta un crecimiento anual del 10,0 % en 2027e-2035e con nuestro margen, frente al 6,1 % de nuestro caso base, y una rentabilidad implícita del 7,4 % anual, por debajo del WACC (9,2 %) y de lo que hoy pide el mercado (8,2 %). Es exigente: supone subidas de precio del 7 % casi todos los años y una base que crece al 3 % durante una década, o un régimen de precios sin tope tras 2030. Con la prima de riesgo del mercado (4,2 %) el DCF vale 259,02 USD (−15 %): ni con la tasa del mercado se llega al precio. La sensibilidad (WACC 8,2 % y crecimiento terminal del 3,5 %) llega a 297,95: hace falta el supuesto más generoso de las dos tablas para justificar la cotización.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o ICANN frenan las subidas de .com (como la NTIA intentó en 2024) y la IA reduce las altas y la renovación: crecimiento 3 puntos menor cada año, margen 1,5 puntos menor y WACC +0,5. Ya pasó en 2012-2018 (precio congelado) y en 2023-2024 (base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.com cercanas al 7 % en noviembre de 2026-2029, base de dominios +2-3,5 % al año, margen EBITDA hasta el 74,8 % y renovación de los contratos en 2030 con el mismo régimen.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multiplica la creación de webs y agentes con dominio propio: la base crece al 4-5 % y las subidas se mantienen al máximo; crecimiento 1,5 puntos mayor y margen 0,7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30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207,86 USD (-32,2 %).</w:t>
      </w:r>
    </w:p>
    <w:p>
      <w:pPr>
        <w:spacing w:after="100"/>
      </w:pPr>
      <w:r>
        <w:t xml:space="preserve">La asimetría es desfavorable al precio de hoy: el alcista vale 251,80 USD (−17,8 %) y el bajista 141,42 (−53,9 %); incluso el mejor caso del DCF queda por debajo de la cotización. El valor ponderado de los escenarios es de 207,86 USD. El bajista es verosímil: el precio de .com estuvo congelado de 2012 a 2018 y la base de dominios cayó un 2 % en 2024 [1].</w:t>
      </w:r>
    </w:p>
    <w:p>
      <w:pPr>
        <w:pStyle w:val="Heading1"/>
      </w:pPr>
      <w:r>
        <w:t xml:space="preserve">22. Suma de partes</w:t>
      </w:r>
    </w:p>
    <w:p>
      <w:pPr>
        <w:pStyle w:val="Confianza"/>
        <w:spacing w:after="100"/>
      </w:pPr>
      <w:r>
        <w:t xml:space="preserve">Confianza: Alta</w:t>
      </w:r>
    </w:p>
    <w:p>
      <w:pPr>
        <w:spacing w:after="100"/>
      </w:pPr>
      <w:r>
        <w:t xml:space="preserve">No aplica: un solo negocio (registro de .com y .net, más del 95 % de los ingresos) con un único perfil de crecimiento y margen [1]. .web, delegado en 2026, aún no tiene ingresos.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30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218,86 USD (-28,6 % sobre 306,48).</w:t>
      </w:r>
    </w:p>
    <w:p>
      <w:pPr>
        <w:spacing w:after="100"/>
      </w:pPr>
      <w:r>
        <w:t xml:space="preserve">Pesos: DCF 50 %, escenarios 30 % y comparables 20 %. El DCF es el método más fiable para un negocio con ingresos contractuales, sin capital y con precios fijados por contrato; su punto débil es la tasa (con la prima del mercado vale 259,02). Los escenarios recogen el riesgo de contrato y de IA. Los comparables pesan poco porque no hay otro registro cotizado: la mediana de los negocios de peaje (22,1 veces el beneficio) da 234,78 USD. Las transacciones no pesan (sin múltiplos publicados). El valor objetivo de la síntesis es de 218,86 USD (−28,6 %); todos los métodos quedan por debajo del precio y solo el rango de los analistas (285-355) lo contiene.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(28.4x) a mitad de camino hacia abajo, hacia la mediana de 5 años (25.7x)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spacing w:after="100"/>
      </w:pPr>
      <w:r>
        <w:rPr>
          <w:b/>
          <w:bCs/>
        </w:rPr>
        <w:t xml:space="preserve">Objetivo a 12 meses (ponderado):</w:t>
      </w:r>
      <w:r>
        <w:t xml:space="preserve"> 321,04 USD · rentabilidad +5,8 % (base +11,2 %) · señal Mantener.</w:t>
      </w:r>
    </w:p>
    <w:p>
      <w:pPr>
        <w:spacing w:after="100"/>
      </w:pPr>
      <w:r>
        <w:t xml:space="preserve">Para comparar, con la regla v2 (historia al cierre, mismo precio): 25,9x / 27,6x / 30,2x, 13,7 %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(9,63 USD) coincide con el consenso (9,58) y el de 2027e (11,09) queda un 1,9 % por encima (10,88): contamos las recompras ya autorizadas (1.500 M USD) y un margen algo mayor por la subida de .com [34]. Nuestro precio base a 12 meses (337,50 USD) queda un 3,4 % por encima del objetivo medio de los analistas (326,40; 285-355): coincidimos en beneficios y en múltiplo. La diferencia grande no es con el consenso sino con nuestro propio DCF.</w:t>
      </w:r>
    </w:p>
    <w:p>
      <w:pPr>
        <w:keepNext/>
        <w:spacing w:after="100"/>
      </w:pPr>
      <w:r>
        <w:rPr>
          <w:b/>
          <w:bCs/>
        </w:rPr>
        <w:t xml:space="preserve">Del valor intrínseco al objetivo a 12 meses.</w:t>
      </w:r>
    </w:p>
    <w:p>
      <w:pPr>
        <w:spacing w:after="100"/>
      </w:pPr>
      <w:r>
        <w:t xml:space="preserve">El objetivo a 12 meses (321,04 USD ponderado; base 337,50) da una rentabilidad del 5,8 % con dividendo (11,2 % el base): Mantener. El valor intrínseco (218,86 USD) queda un 28,6 % bajo el precio y el objetivo un 4,7 % encima: la distancia entre los dos es del 47 %, porque el mercado paga ≈ 27-28 veces beneficios por un crecimiento del BPA del 12 % que nuestro DCF, con una tasa libre del 5,15 %, no valora tanto. La tesis no es a 12 meses ni a largo plazo: a este precio, el múltiplo ya recoge las subidas de precio de 2026-2029. Para comprar con la regla haría falta un precio de 218,86 USD (−29 %), donde también se cumple el valor real.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dominios, altas y renovación antes de la subida de .com; posible adelanto de renovaciones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.com de 10,26 a 10,97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 puntos de crecimiento de ingresos en 2027 si no frena las altas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.web por los registradores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sin tope de precio; pequeño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(base de dominios tras la subida)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base negativa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.net a 12,00 USD (+10 %)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+0,6 puntos de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desde jul-2026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nueva venta de Berkshire (9,9 %, bloqueo vencido)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con descuento de ≈ 5-7 % como en julio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subida de .com de noviembre de 2027 (aviso de seis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supuesto de precio del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del régimen de precios de .com (Comercio, ICANN o un tribunal limitan las subidas, sobre todo en la renovación de 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141,42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presuntiva; cambiar el precio exige el acuerdo de VeriSign y de Comercio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de la NTIA o de ICANN; no anunciar la subida de noviembre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resta valor a tener un dominio: los usuarios llegan a los negocios por asistentes y agentes, no tecleando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siguen usando el DNS; hoy la IA aumenta las altas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por debajo del 73 % o base de dominios a la baja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subida de .com frena las altas y adelanta bajas (dominios especulativos y aparcados)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es ≈ 1 USD al mes; 2021-2024 subió con la base estable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Altas del 4T26 y 1T27 por debajo de 10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un 10 % anual de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4-5 % del capital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30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del resto de Berkshire Hathaway (9,9 %)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1.500 M absorben el 60 % de esa participación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S-3 o 8-K de colocación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(Bidzos, 71 años, tres cargos)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más de diez años en la empresa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o problemas de salud sin sucesor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regulación local de registros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APAC es el 11 %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base de APAC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fallo de la resolución de .com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años con el 100 % de disponibilidad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 de seguridad declarado</w:t>
            </w:r>
          </w:p>
        </w:tc>
      </w:tr>
    </w:tbl>
    <w:p>
      <w:pPr>
        <w:spacing w:after="160" w:before="0"/>
      </w:pPr>
    </w:p>
    <w:p>
      <w:pPr>
        <w:pStyle w:val="Heading2"/>
      </w:pPr>
      <w:r>
        <w:t xml:space="preserve">Pre-mortem</w:t>
      </w:r>
    </w:p>
    <w:p>
      <w:pPr>
        <w:spacing w:after="100"/>
      </w:pPr>
      <w:r>
        <w:t xml:space="preserve">Octubre de 2029: la acción ha perdido un 40 % y cotiza a ≈ 185 USD. La historia más probable empieza con la subida de .com de noviembre de 2026: las altas, que eran récord por la moda de crear webs con IA, se normalizan en 2027 y las renovaciones de los registros especulativos de 2025-2026 fallan; la base de dominios baja un 1 % en 2027. A la vez, los buscadores y asistentes de IA responden sin enviar tráfico y las pequeñas empresas dejan de renovar dominios secundarios: la renovación cae del 75 % al 71 %. Con la base a la baja, la NTIA y varios congresistas cuestionan las subidas de 2027 y 2028 y VeriSign decide no aplicar la de 2028 para no poner en riesgo la renovación de 2030. El crecimiento del BPA baja del 12 % al 5 %, que solo dan las recompras, y el mercado deja de pagar 28 veces: el PER vuelve a 20, como una empresa madura. Berkshire aprovecha para vender el resto. Las señales que lo habrían anticipado: altas trimestrales por debajo de 10 M, renovación por debajo del 73 % y la ausencia de anuncio de la subida de 2027 en la primavera.</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 (entre el bajista y el base)</w:t>
      </w:r>
    </w:p>
    <w:p>
      <w:pPr>
        <w:spacing w:after="100"/>
      </w:pPr>
      <w:r>
        <w:t xml:space="preserve">La IA toca el 100 % de los ingresos, que dependen de que la gente y las empresas quieran un dominio propio. Hoy empuja: la empresa atribuye parte de las altas récord (12,7 M en el 2T26, +22 %) a herramientas de IA que crean webs y contenido, y el uso de su resolución DNS sube [2, 3]. A medio plazo puede restar: si los asistentes y agentes de IA se convierten en la puerta de entrada a internet, un dominio memorable vale menos y los dominios secundarios o especulativos no se renuevan; en los foros ya se cita el uso de .ai en vez de .com [18, 43]. Los agentes siguen necesitando el DNS para llegar a los servicios, así que el riesgo es de volumen y de precio, no de sustitución del registro. Señal: renovación por debajo del 73 % o caída de la base dos trimestres seguidos. Veredicto: presiona a largo plazo, impulsa hoy.</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las cifras son de gobierno y de seguridad, no ambientales: (1) la disponibilidad y la seguridad del DNS (29 años con el 100 % de disponibilidad de .com y .net; un fallo grave pondría en riesgo los contratos) [3]; (2) la relación con ICANN y Comercio, que fija el precio y la renovación [1]; (3) la concentración de poder en el fundador (presidente ejecutivo y consejero delegado a los 71 años) [21]. El consumo eléctrico de los centros de datos es pequeño frente a los ingresos (928 empleados, inversión del 1,4 % de las ventas) [1].</w:t>
      </w:r>
    </w:p>
    <w:p>
      <w:pPr>
        <w:pStyle w:val="Heading2"/>
      </w:pPr>
      <w:r>
        <w:t xml:space="preserve">Controversias</w:t>
      </w:r>
    </w:p>
    <w:p>
      <w:pPr>
        <w:spacing w:after="100"/>
      </w:pPr>
      <w:r>
        <w:t xml:space="preserve">Sin sanciones ni multas en los últimos tres años. Hay controversia pública sobre los precios de .com: asociaciones de titulares (Internet Commerce Association) y la NTIA pidieron en 2024 bajar o fijar el precio según el coste, sin cambio en los contratos [17]. En octubre de 2025 un inversor bajista presentó la tesis de que el fin de AdSense for Domains hundiría la base; la empresa lo negó (&lt; 2 % de la base) [16].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¿Aplicarán la subida de .com de hasta el 7 % en noviembre de 2027, 2028 y 2029, o hay un acuerdo implícito con Comercio para moderarlas antes de la renovación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 6 puntos de precio al año; sin ellos el valor cae ≈ 35 %.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dominios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altas récord de 2026 viene de herramientas de IA y de registros especulativos, y cuál es su tasa de renovación al primer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altas de 2026 se renuevan en 2027, ya con el precio nuevo.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datos tienen de consultas DNS de agentes de IA y de dominios creados por agentes?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si la IA es un motor estructural o una moda.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esperan en la renovación del Cooperative Agreement y del .com Registry Agreement en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terminal (57 %) supone el mismo régimen.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28 veces beneficios en vez de subir más el dividendo?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a precios altos destruyen valor si el múltiplo vuelve a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y qué volumen esperan para .web, que no tiene tope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extensión nueva con poder de precio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consejero delegado y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Bidzos tiene 71 años y concentra los tres cargos.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($VRSN)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con contenido; 7 alcistas y 1 bajista marcados. Se comenta la «base enorme» del gráfico y las subidas de objetivo; el único bajista dice que las empresas usan .ai en vez de .com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caro y mitad comprar: «demasiado cara pese al monopolio» (12-oct) frente a «una base de dominios que se recupera da peso al motor de precios» (17-oct); en julio, «registros sanos, precio exorbitante» y una mejora de recomendación [11].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subidas de objetivo (Wedbush 351 USD) y la rebaja de Zacks a Mantener; objetivo medio de 333 USD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riesgo citado es la IA: si los agentes navegan por nosotros, la dirección .com pierde relevancia; también la renovación de los contratos en 2029-2030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 28 veces los beneficios de 12 meses frente a una mediana de ≈ 22 de los comparables; el DCF del informe no justifica el precio con la tasa de descuento de hoy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la base de dominios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+5,1 % interanual en junio y guía del 5,2-6 %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de .com y .net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+6,9 % en .com desde noviembre y +10 % en .net desde marzo: dan ≈ 5 puntos de crecimiento en 2027-2028 si no frenan las altas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extensiones como .ai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a largo plazo pero sin señal en los datos: las altas suben y la empresa atribuye parte a la IA; el informe lo recoge en el bajista [18, 43].</w:t>
            </w:r>
          </w:p>
        </w:tc>
      </w:tr>
    </w:tbl>
    <w:p>
      <w:pPr>
        <w:spacing w:after="160" w:before="0"/>
      </w:pPr>
    </w:p>
    <w:p>
      <w:pPr>
        <w:spacing w:after="100"/>
      </w:pPr>
      <w:r>
        <w:t xml:space="preserve">El sentimiento está dividido entre quienes ven un peaje de internet que vuelve a crecer y quienes lo ven caro; no hay euforia (pocos mensajes, recomendaciones de Mantener y Comprar a partes iguales) ni capitulación. El tema de la IA aparece en los foros como amenaza (.ai, agentes) y en la empresa como impulso de las altas: la sección de riesgos lo recoge. Coincide con los analistas: objetivo medio de 326-333 USD, ≈ 7-9 % sobre el precio [37].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43 (26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-100,0 % frente a -101,1 % real: genera una variación de circulante de -78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12, 23,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comparan con consenso); 2) titulares del RSS de Seeking Alpha (solo desde el 4T25); 3) Yahoo quoteSummary (solo el trimestre en curso)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una segunda fuente independiente y TCAC de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DNIB de Verisign (solo número de dominios, por trimestre); 2) ICANN (informes mensuales por registro, sin agregado anual accesible); 3) prensa sectorial (Domain Name Wire, DomainIncite: sin estudio de mercado en dinero)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corta del DNIB y valor 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registros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Identity Digital y PIR (privadas o sin ánimo de lucro: no publican cuentas comparables); 2) GoDaddy 10-K (no separa su negocio de registro); 3) Yahoo (solo EBITDA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registros (Afilias por Donuts en 2020, Neustar Registry por GoDaddy en 2020, PIR por Ethos en 2019-2020, bloqueada): precio sin EBITDA publicado o no publicado; 2) prensa sectorial (Domain Name Wire, DomainIncite) sin múltiplos oficiales; 3) VeriSign no tiene precedente comparable: un control de .com exigiría el visto bueno de ICANN y Comercio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2026 y 2027, BPA y ventas); 2) MarketBeat (solo año en curso y siguiente);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y proxy (no citan calificaciones); 2) web de responsabilidad de Verisign (sin calificaciones de agencias); 3)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ingresos por región, contratos .com y .net, deuda, impuestos,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https://www.sec.gov/Archives/edgar/data/1014473/000101447326000006/vrsn-20251231.htm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flujos del semestre, bonos, subida del precio de .com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https://www.sec.gov/Archives/edgar/data/1014473/000101447326000028/vrsn-20260630.htm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Reports Second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https://www.sec.gov/Archives/edgar/data/1014473/000101447326000026/q22026earningsrelease.htm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Reports First Quarter 2026 Results (anuncio de la subida de .com a 10,97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https://www.sec.gov/Archives/edgar/data/1014473/000101447326000019/q12026earningsrelease.htm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https://www.sec.gov/Archives/edgar/data/1014473/000101447326000005/q42025earningsrelease.htm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Reports Third Quarter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https://www.sec.gov/Archives/edgar/data/1014473/000101447325000045/q32025earningsrelease.htm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VeriSign (companyfacts): cuenta, balance, flujos, valores negociables, ingresos diferidos,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https://data.sec.gov/api/xbrl/companyfacts/CIK0001014473.json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emisión de 550 M USD de bonos al 5,100 % con vencimiento en 2031 (y amortización de los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https://www.sec.gov/Archives/edgar/data/1014473/000114036126026574/ef20076830_8k.htm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(FWP) de los bonos 2031: calificaciones previstas Baa2 /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 FWP)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https://www.sec.gov/Archives/edgar/data/1014473/000114036126025786/ny20076344x2_fwp.htm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ampliación del programa de recompras hasta 1.500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https://www.sec.gov/Archives/edgar/data/1014473/000101447326000026/vrsn-20260723.htm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resultados frente al consenso (RSS de VRSN: 2T26 +0,03 USD, 1T26 +0,09, 4T25 −0,05)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https://seekingalpha.com/api/sa/combined/VRSN.xml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https://www.sec.gov/Archives/edgar/data/1014473/000101447326000020/vrsn-20260331.htm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renovación del .com Registry Agreement con ICANN (vigente del 1-dic-2024 al 30-nov-2030; sin cambios en la cláusula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https://www.sec.gov/Archives/edgar/data/1014473/000101447324000044/vrsn-20241125.htm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Domain Name Industry Brief: 401,6 M de dominios en el mundo (+8,1 % interanual)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(DNIB)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https://blog.verisign.com/domain-names/q2-2026-domain-name-industry-brief-quarterly-report/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subida de .net de 10,91 a 12,00 USD el 1-mar-2027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https://www.sec.gov/Archives/edgar/data/1014473/000101447326000030/vrsn-20260827.htm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sobre el efecto de los cambios de AdSense en la base de dominios (menos del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https://www.sec.gov/Archives/edgar/data/1014473/000101447325000048/vrsn8-k102425xex991.htm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may regain the option to raise .com prices in 2026 (NTIA: precios congelados hasta sep-2026; periodo de precios desde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WebHosting.Today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https://webhosting.today/2026/01/07/verisign-may-regain-the-option-to-raise-com-prices-in-2026/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Controls the Internet's Address Book, But AI Disruption and a Key Contract Renewal Loom Large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https://www.fool.com/investing/2026/07/06/verisign-controls-the-internets-address-book-but-a/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GoDaddy, Akamai y Team Internet (ventas, EBITDA,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https://finance.yahoo.com/quote/GDDY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finally won .web: unlike .com, no one caps its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WebHosting.Today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https://webhosting.today/2026/07/24/verisign-finally-won-web-unlike-com-no-one-caps-its-price/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de la junta de 2026: consejo, comisiones, remuneración, propiedad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https://www.sec.gov/Archives/edgar/data/1014473/000101447326000013/vrsn-20260409.htm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del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https://www.sec.gov/Archives/edgar/data/1014473/000101447326000023/vrsn-20260521.htm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dimisión del consejero Timothy Tomlinson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https://www.sec.gov/Archives/edgar/data/1014473/000101447325000051/vrsn-20251121.htm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nombramiento de Matthew Desch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https://www.sec.gov/Archives/edgar/data/1014473/000101447325000042/vrsn-20251006.htm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(20-oct-2025 a 20-oct-2026), agregados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https://www.sec.gov/cgi-bin/browse-edgar?action=getcompany&amp;CIK=0001014473&amp;type=4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Berkshire Hathaway: 8.989.880 acciones (9,7 %)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https://www.sec.gov/Archives/edgar/data/1014473/000119312525283610/xslSCHEDULE_13G_X01/primary_doc.xml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a 30-jun-2026 (VeriSign: 8.016.933 + 972.947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https://www.sec.gov/Archives/edgar/data/1067983/000119312526352200/56757.xml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AQR Capital Management (5,44 %)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AQR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https://www.sec.gov/Archives/edgar/data/1014473/000116755726000171/xslSCHEDULE_13G_X02/primary_doc.xml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(6,74 %) y Vanguard Portfolio Management (5,73 %)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https://www.sec.gov/Archives/edgar/data/1014473/000210011926001251/xslSCHEDULE_13G_X02/primary_doc.xml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(VRSN) Q3 2025 earnings call transcript (guía de 2025: ingresos 1.652-1.657 M; base de dominios +2,2-2,5 %)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https://www.fool.com/earnings/call-transcripts/2025/11/27/verisign-vrsn-q3-2025-earnings-call-transcript/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 James Bidzos del 13-oct-2026 (ventas marcadas como plan 10b5-1; 375.127 acciones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https://www.sec.gov/Archives/edgar/data/1014473/000120481626000053/wk-form4_1792012963.xml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del 2T26 (guía de ingresos 1.745-1.755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https://fn2.ai/earnings/vrsn/2026-q2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VRSN, SPY y XLK (herramientas/bolsa.mjs): precio, rango, rentabilidades, beta,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https://finance.yahoo.com/quote/VRSN/history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VeriSign y comparables (consenso, objetivos, PER adelantado,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https://finance.yahoo.com/quote/VRSN/analysis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y cambios de recomendación de VRSN (Wedbush 351 USD el 19-20-oct; Zacks a Mantener el 25-sep; JP Morgan Mantener el 31-jul; objetivo de consenso 333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https://www.marketbeat.com/stocks/NASDAQ/VRSN/news/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Stock Slid Despite Strong Results, But Is The Real Test Still To Come? (caída de ≈ 20 % en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https://www.trefis.com/stock/vrsn/articles2/604038/verisign-stock-slid-despite-strong-results-but-is-the-real-test-still-to-come/2026-06-23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stock dives nearly 10% after outlook, costs take the shine off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https://ts2.tech/en/verisign-stock-dives-nearly-10-after-outlook-costs-take-the-shine-off-results/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contrato de colocación de las acciones de Berkshire Hathaway con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https://www.sec.gov/Archives/edgar/data/1014473/000114036125027935/ny20052578x3_8k.htm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has sold roughly one-third of its stake in VeriSign (4,3 M de acciones a 285 USD; bloqueo de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investingLive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https://www.investinglive.com/stocks/berkshire-hathaway-has-sold-roughly-one-third-of-its-stake-in-verisign-raising-123-bn-20250729/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Verisign: fecha de los resultados del 3T26 (22-oct-2026, 16:05 de Nueva York)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https://www.earningswhispers.com/article/VRSN/2610016224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$VRSN (30 últimos,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https://api.stocktwits.com/api/2/streams/symbol/VRSN.json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transacciones</w:t>
      </w:r>
      <w:r>
        <w:t xml:space="preserve"> · Generado el 20 oct 2026.</w:t>
      </w:r>
    </w:p>
    <w:p>
      <w:pPr>
        <w:pStyle w:val="Nota"/>
        <w:spacing w:after="100"/>
      </w:pPr>
      <w:r>
        <w:t xml:space="preserve">Cifras en millones de USD (US GAAP), ejercicio natural. Último ejercicio real: 2025; LTM a 30-jun-2026 (los resultados del 3T26 se publican el 22-oct-2026, dos días después del corte). Precio: cierre del 19-oct-2026 (306,48 USD); la sesión del 20-oct estaba abierta (307,06 USD a las 10:15 de Nueva York [34]) y la decisión se comprueba con el precio del día en las pruebas de robustez. Serie de cuentas de 2018 a 2025: en 2016-2017 había obligaciones convertibles que cambian deuda y acciones. Caja = efectivo + letras del Tesoro (valores negociables). El circulante incluye los ingresos diferidos (cobros anticipados de registros), por eso es −101 % de las ventas. El ROIC del motor no se calcula (capital invertido negativo por recompras): se usa el ROIC sobre el capital operativo fijo. Consenso de solo 4-5 analistas (Yahoo); sin estimaciones de 2028 ni de EBITDA. Comparables de «peaje» (agencias de calificación, datos, bolsas) porque no hay otro registro cotizado de tamaño parecido; su PER es en parte ajustado. Precio en EUR: ≈ 263 EUR por acción (a ≈ 1,165 USD por EUR, estimación), un 0,9 %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VeriSign, Inc. (VRSN)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(208,86 – 312,48)</c:v>
                </c:pt>
                <c:pt idx="1">
                  <c:v>Precio objetivo de los analistas (285,00 – 355,00)</c:v>
                </c:pt>
                <c:pt idx="2">
                  <c:v>Comparables: PER NTM (173,17 – 245,41)</c:v>
                </c:pt>
                <c:pt idx="3">
                  <c:v>DCF (WACC y g ± 0,5) (194,71 – 251,76)</c:v>
                </c:pt>
                <c:pt idx="4">
                  <c:v>Escenarios (bajista – alcista) (141,42 – 251,80)</c:v>
                </c:pt>
                <c:pt idx="5">
                  <c:v>DCF con la prima implícita del mercado (4,2 %)</c:v>
                </c:pt>
                <c:pt idx="6">
                  <c:v>Precio actual (306,48)</c:v>
                </c:pt>
              </c:strCache>
            </c:strRef>
          </c:cat>
          <c:val>
            <c:numRef>
              <c:f>Hoja1!$B$2:$B$8</c:f>
              <c:numCache>
                <c:formatCode>#,##0</c:formatCode>
                <c:ptCount val="7"/>
                <c:pt idx="0">
                  <c:v>208.86</c:v>
                </c:pt>
                <c:pt idx="1">
                  <c:v>285</c:v>
                </c:pt>
                <c:pt idx="2">
                  <c:v>173.17</c:v>
                </c:pt>
                <c:pt idx="3">
                  <c:v>194.71</c:v>
                </c:pt>
                <c:pt idx="4">
                  <c:v>141.42</c:v>
                </c:pt>
                <c:pt idx="5">
                  <c:v>237.02</c:v>
                </c:pt>
                <c:pt idx="6">
                  <c:v>304.95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(208,86 – 312,48)</c:v>
                </c:pt>
                <c:pt idx="1">
                  <c:v>Precio objetivo de los analistas (285,00 – 355,00)</c:v>
                </c:pt>
                <c:pt idx="2">
                  <c:v>Comparables: PER NTM (173,17 – 245,41)</c:v>
                </c:pt>
                <c:pt idx="3">
                  <c:v>DCF (WACC y g ± 0,5) (194,71 – 251,76)</c:v>
                </c:pt>
                <c:pt idx="4">
                  <c:v>Escenarios (bajista – alcista) (141,42 – 251,80)</c:v>
                </c:pt>
                <c:pt idx="5">
                  <c:v>DCF con la prima implícita del mercado (4,2 %)</c:v>
                </c:pt>
                <c:pt idx="6">
                  <c:v>Precio actual (306,48)</c:v>
                </c:pt>
              </c:strCache>
            </c:strRef>
          </c:cat>
          <c:val>
            <c:numRef>
              <c:f>Hoja1!$C$2:$C$8</c:f>
              <c:numCache>
                <c:formatCode>#,##0</c:formatCode>
                <c:ptCount val="7"/>
                <c:pt idx="0">
                  <c:v>103.62</c:v>
                </c:pt>
                <c:pt idx="1">
                  <c:v>70</c:v>
                </c:pt>
                <c:pt idx="2">
                  <c:v>72.24000000000001</c:v>
                </c:pt>
                <c:pt idx="3">
                  <c:v>57.04999999999998</c:v>
                </c:pt>
                <c:pt idx="4">
                  <c:v>110.38000000000002</c:v>
                </c:pt>
                <c:pt idx="5">
                  <c:v>48.22999999999999</c:v>
                </c:pt>
                <c:pt idx="6">
                  <c:v>3.0600000000000023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Registro de dominios (.com, .net y otros)</c:v>
                </c:pt>
              </c:strCache>
            </c:strRef>
          </c:tx>
          <c:spPr>
            <a:solidFill>
              <a:srgbClr val="2A78D6"/>
            </a:solidFill>
            <a:ln w="12700">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1215</c:v>
                </c:pt>
                <c:pt idx="1">
                  <c:v>1231.7</c:v>
                </c:pt>
                <c:pt idx="2">
                  <c:v>1265.1</c:v>
                </c:pt>
                <c:pt idx="3">
                  <c:v>1327.6</c:v>
                </c:pt>
                <c:pt idx="4">
                  <c:v>1424.9</c:v>
                </c:pt>
                <c:pt idx="5">
                  <c:v>1493.1</c:v>
                </c:pt>
                <c:pt idx="6">
                  <c:v>1557.4</c:v>
                </c:pt>
                <c:pt idx="7">
                  <c:v>1656.6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Registro de dominios (.com, .net y otros)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Europa, Oriente Medio y África</c:v>
                </c:pt>
                <c:pt idx="2">
                  <c:v>Asia-Pacífico</c:v>
                </c:pt>
                <c:pt idx="3">
                  <c:v>Otros (Canadá, Latinoamérica)</c:v>
                </c:pt>
              </c:strCache>
            </c:strRef>
          </c:cat>
          <c:val>
            <c:numRef>
              <c:f>Hoja1!$B$2:$B$5</c:f>
              <c:numCache>
                <c:formatCode>0"%"</c:formatCode>
                <c:ptCount val="4"/>
                <c:pt idx="0">
                  <c:v>66</c:v>
                </c:pt>
                <c:pt idx="1">
                  <c:v>16.9</c:v>
                </c:pt>
                <c:pt idx="2">
                  <c:v>11.1</c:v>
                </c:pt>
                <c:pt idx="3">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dominios (todas las extensiones, DNIB))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2T25</c:v>
                </c:pt>
                <c:pt idx="1">
                  <c:v>2T26</c:v>
                </c:pt>
              </c:strCache>
            </c:strRef>
          </c:cat>
          <c:val>
            <c:numRef>
              <c:f>Hoja1!$B$2:$B$3</c:f>
              <c:numCache>
                <c:formatCode>#,##0</c:formatCode>
                <c:ptCount val="2"/>
                <c:pt idx="0">
                  <c:v>371.7</c:v>
                </c:pt>
                <c:pt idx="1">
                  <c:v>401.6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VeriSign</c:v>
                </c:pt>
                <c:pt idx="1">
                  <c:v>Identity Digital (Donuts y Afilias)</c:v>
                </c:pt>
                <c:pt idx="2">
                  <c:v>Public Interest Registry (.org)</c:v>
                </c:pt>
                <c:pt idx="3">
                  <c:v>GoDaddy (registrador y registro)</c:v>
                </c:pt>
                <c:pt idx="4">
                  <c:v>CNNIC (.cn) y DENIC (.de)</c:v>
                </c:pt>
                <c:pt idx="5">
                  <c:v>Team Internet Group (CentralNic)</c:v>
                </c:pt>
              </c:strCache>
            </c:strRef>
          </c:cat>
          <c:val>
            <c:numRef>
              <c:f>Hoja1!$B$2:$B$7</c:f>
              <c:numCache>
                <c:formatCode>0.0"%"</c:formatCode>
                <c:ptCount val="6"/>
                <c:pt idx="0">
                  <c:v>67.7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5</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1215</c:v>
                </c:pt>
                <c:pt idx="1">
                  <c:v>1231.7</c:v>
                </c:pt>
                <c:pt idx="2">
                  <c:v>1265.1</c:v>
                </c:pt>
                <c:pt idx="3">
                  <c:v>1327.6</c:v>
                </c:pt>
                <c:pt idx="4">
                  <c:v>1424.9</c:v>
                </c:pt>
                <c:pt idx="5">
                  <c:v>1493.1</c:v>
                </c:pt>
                <c:pt idx="6">
                  <c:v>1557.4</c:v>
                </c:pt>
                <c:pt idx="7">
                  <c:v>1656.6</c:v>
                </c:pt>
                <c:pt idx="8">
                  <c:v>1753</c:v>
                </c:pt>
                <c:pt idx="9">
                  <c:v>1910</c:v>
                </c:pt>
                <c:pt idx="10">
                  <c:v>2082</c:v>
                </c:pt>
                <c:pt idx="11">
                  <c:v>2259</c:v>
                </c:pt>
                <c:pt idx="12">
                  <c:v>2440</c:v>
                </c:pt>
                <c:pt idx="13">
                  <c:v>2562</c:v>
                </c:pt>
                <c:pt idx="14">
                  <c:v>2639</c:v>
                </c:pt>
                <c:pt idx="15">
                  <c:v>2758</c:v>
                </c:pt>
                <c:pt idx="16">
                  <c:v>2882</c:v>
                </c:pt>
                <c:pt idx="17">
                  <c:v>2983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815.8</c:v>
                </c:pt>
                <c:pt idx="1">
                  <c:v>852.4</c:v>
                </c:pt>
                <c:pt idx="2">
                  <c:v>870.6</c:v>
                </c:pt>
                <c:pt idx="3">
                  <c:v>914.7</c:v>
                </c:pt>
                <c:pt idx="4">
                  <c:v>990</c:v>
                </c:pt>
                <c:pt idx="5">
                  <c:v>1044.7</c:v>
                </c:pt>
                <c:pt idx="6">
                  <c:v>1095.1</c:v>
                </c:pt>
                <c:pt idx="7">
                  <c:v>1152.2</c:v>
                </c:pt>
                <c:pt idx="8">
                  <c:v>1223</c:v>
                </c:pt>
                <c:pt idx="9">
                  <c:v>1362</c:v>
                </c:pt>
                <c:pt idx="10">
                  <c:v>1512</c:v>
                </c:pt>
                <c:pt idx="11">
                  <c:v>1663</c:v>
                </c:pt>
                <c:pt idx="12">
                  <c:v>1815</c:v>
                </c:pt>
                <c:pt idx="13">
                  <c:v>1911</c:v>
                </c:pt>
                <c:pt idx="14">
                  <c:v>1963</c:v>
                </c:pt>
                <c:pt idx="15">
                  <c:v>2057</c:v>
                </c:pt>
                <c:pt idx="16">
                  <c:v>2156</c:v>
                </c:pt>
                <c:pt idx="17">
                  <c:v>2231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84.2</c:v>
                </c:pt>
                <c:pt idx="1">
                  <c:v>85.3</c:v>
                </c:pt>
                <c:pt idx="2">
                  <c:v>85.8</c:v>
                </c:pt>
                <c:pt idx="3">
                  <c:v>85.5</c:v>
                </c:pt>
                <c:pt idx="4">
                  <c:v>85.9</c:v>
                </c:pt>
                <c:pt idx="5">
                  <c:v>86.8</c:v>
                </c:pt>
                <c:pt idx="6">
                  <c:v>87.7</c:v>
                </c:pt>
                <c:pt idx="7">
                  <c:v>88.2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67.1</c:v>
                </c:pt>
                <c:pt idx="1">
                  <c:v>69.2</c:v>
                </c:pt>
                <c:pt idx="2">
                  <c:v>68.8</c:v>
                </c:pt>
                <c:pt idx="3">
                  <c:v>68.9</c:v>
                </c:pt>
                <c:pt idx="4">
                  <c:v>69.5</c:v>
                </c:pt>
                <c:pt idx="5">
                  <c:v>70</c:v>
                </c:pt>
                <c:pt idx="6">
                  <c:v>70.3</c:v>
                </c:pt>
                <c:pt idx="7">
                  <c:v>69.6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63.2</c:v>
                </c:pt>
                <c:pt idx="1">
                  <c:v>65.4</c:v>
                </c:pt>
                <c:pt idx="2">
                  <c:v>65.1</c:v>
                </c:pt>
                <c:pt idx="3">
                  <c:v>65.3</c:v>
                </c:pt>
                <c:pt idx="4">
                  <c:v>66.2</c:v>
                </c:pt>
                <c:pt idx="5">
                  <c:v>67</c:v>
                </c:pt>
                <c:pt idx="6">
                  <c:v>67.9</c:v>
                </c:pt>
                <c:pt idx="7">
                  <c:v>67.7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47.9</c:v>
                </c:pt>
                <c:pt idx="1">
                  <c:v>49.7</c:v>
                </c:pt>
                <c:pt idx="2">
                  <c:v>64.4</c:v>
                </c:pt>
                <c:pt idx="3">
                  <c:v>59.1</c:v>
                </c:pt>
                <c:pt idx="4">
                  <c:v>47.3</c:v>
                </c:pt>
                <c:pt idx="5">
                  <c:v>54.8</c:v>
                </c:pt>
                <c:pt idx="6">
                  <c:v>50.4</c:v>
                </c:pt>
                <c:pt idx="7">
                  <c:v>49.8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3.8</c:v>
                </c:pt>
                <c:pt idx="1">
                  <c:v>3.9</c:v>
                </c:pt>
                <c:pt idx="2">
                  <c:v>4.7</c:v>
                </c:pt>
                <c:pt idx="3">
                  <c:v>5.9</c:v>
                </c:pt>
                <c:pt idx="4">
                  <c:v>7.3</c:v>
                </c:pt>
                <c:pt idx="5">
                  <c:v>7.6</c:v>
                </c:pt>
                <c:pt idx="6">
                  <c:v>6.6</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c:v>
                </c:pt>
                <c:pt idx="1">
                  <c:v>0</c:v>
                </c:pt>
                <c:pt idx="2">
                  <c:v>1</c:v>
                </c:pt>
                <c:pt idx="3">
                  <c:v>1</c:v>
                </c:pt>
                <c:pt idx="4">
                  <c:v>2</c:v>
                </c:pt>
                <c:pt idx="5">
                  <c:v>2</c:v>
                </c:pt>
                <c:pt idx="6">
                  <c:v>1</c:v>
                </c:pt>
                <c:pt idx="7">
                  <c:v>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409</c:v>
                </c:pt>
                <c:pt idx="1">
                  <c:v>425</c:v>
                </c:pt>
                <c:pt idx="2">
                  <c:v>423</c:v>
                </c:pt>
                <c:pt idx="3">
                  <c:v>431</c:v>
                </c:pt>
                <c:pt idx="4">
                  <c:v>412</c:v>
                </c:pt>
                <c:pt idx="5">
                  <c:v>476</c:v>
                </c:pt>
                <c:pt idx="6">
                  <c:v>492</c:v>
                </c:pt>
                <c:pt idx="7">
                  <c:v>554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660.8</c:v>
                </c:pt>
                <c:pt idx="1">
                  <c:v>713.6</c:v>
                </c:pt>
                <c:pt idx="2">
                  <c:v>686.8000000000001</c:v>
                </c:pt>
                <c:pt idx="3">
                  <c:v>754.2</c:v>
                </c:pt>
                <c:pt idx="4">
                  <c:v>803.7</c:v>
                </c:pt>
                <c:pt idx="5">
                  <c:v>808</c:v>
                </c:pt>
                <c:pt idx="6">
                  <c:v>874.5</c:v>
                </c:pt>
                <c:pt idx="7">
                  <c:v>1068.3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582.5</c:v>
                </c:pt>
                <c:pt idx="1">
                  <c:v>612.3</c:v>
                </c:pt>
                <c:pt idx="2">
                  <c:v>814.9</c:v>
                </c:pt>
                <c:pt idx="3">
                  <c:v>784.8</c:v>
                </c:pt>
                <c:pt idx="4">
                  <c:v>673.8</c:v>
                </c:pt>
                <c:pt idx="5">
                  <c:v>817.6</c:v>
                </c:pt>
                <c:pt idx="6">
                  <c:v>785.7</c:v>
                </c:pt>
                <c:pt idx="7">
                  <c:v>825.7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9.2</c:v>
                </c:pt>
                <c:pt idx="1">
                  <c:v>9.2</c:v>
                </c:pt>
                <c:pt idx="2">
                  <c:v>9.2</c:v>
                </c:pt>
                <c:pt idx="3">
                  <c:v>9.2</c:v>
                </c:pt>
                <c:pt idx="4">
                  <c:v>9.2</c:v>
                </c:pt>
                <c:pt idx="5">
                  <c:v>9.2</c:v>
                </c:pt>
                <c:pt idx="6">
                  <c:v>9.2</c:v>
                </c:pt>
                <c:pt idx="7">
                  <c:v>9.2</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-42</c:v>
                </c:pt>
                <c:pt idx="1">
                  <c:v>-42.6</c:v>
                </c:pt>
                <c:pt idx="2">
                  <c:v>-56.6</c:v>
                </c:pt>
                <c:pt idx="3">
                  <c:v>-59.2</c:v>
                </c:pt>
                <c:pt idx="4">
                  <c:v>-47.7</c:v>
                </c:pt>
                <c:pt idx="5">
                  <c:v>-52</c:v>
                </c:pt>
                <c:pt idx="6">
                  <c:v>-44.4</c:v>
                </c:pt>
                <c:pt idx="7">
                  <c:v>-40.2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0.63</c:v>
                </c:pt>
                <c:pt idx="1">
                  <c:v>0.67</c:v>
                </c:pt>
                <c:pt idx="2">
                  <c:v>0.72</c:v>
                </c:pt>
                <c:pt idx="3">
                  <c:v>0.63</c:v>
                </c:pt>
                <c:pt idx="4">
                  <c:v>0.82</c:v>
                </c:pt>
                <c:pt idx="5">
                  <c:v>0.83</c:v>
                </c:pt>
                <c:pt idx="6">
                  <c:v>1.09</c:v>
                </c:pt>
                <c:pt idx="7">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2027 (amortizado el 20-jul-2026)</c:v>
                </c:pt>
                <c:pt idx="1">
                  <c:v>2031</c:v>
                </c:pt>
                <c:pt idx="2">
                  <c:v>2032</c:v>
                </c:pt>
              </c:strCache>
            </c:strRef>
          </c:cat>
          <c:val>
            <c:numRef>
              <c:f>Hoja1!$B$2:$B$4</c:f>
              <c:numCache>
                <c:formatCode>#,##0</c:formatCode>
                <c:ptCount val="3"/>
                <c:pt idx="0">
                  <c:v>550</c:v>
                </c:pt>
                <c:pt idx="1">
                  <c:v>1300</c:v>
                </c:pt>
                <c:pt idx="2">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215.2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638.2</c:v>
                </c:pt>
                <c:pt idx="1">
                  <c:v>782.6</c:v>
                </c:pt>
                <c:pt idx="2">
                  <c:v>777.5</c:v>
                </c:pt>
                <c:pt idx="3">
                  <c:v>722.6</c:v>
                </c:pt>
                <c:pt idx="4">
                  <c:v>1048.1</c:v>
                </c:pt>
                <c:pt idx="5">
                  <c:v>901.4</c:v>
                </c:pt>
                <c:pt idx="6">
                  <c:v>1225.6</c:v>
                </c:pt>
                <c:pt idx="7">
                  <c:v>881.6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Berkshire Hathaway (Warren Buffett)</c:v>
                </c:pt>
                <c:pt idx="1">
                  <c:v>BlackRock</c:v>
                </c:pt>
                <c:pt idx="2">
                  <c:v>Vanguard (dos gestoras)</c:v>
                </c:pt>
                <c:pt idx="3">
                  <c:v>Ninety One UK</c:v>
                </c:pt>
                <c:pt idx="4">
                  <c:v>AQR Capital Management</c:v>
                </c:pt>
                <c:pt idx="5">
                  <c:v>Consejeros y directivos</c:v>
                </c:pt>
              </c:strCache>
            </c:strRef>
          </c:cat>
          <c:val>
            <c:numRef>
              <c:f>Hoja1!$B$2:$B$7</c:f>
              <c:numCache>
                <c:formatCode>0.0"%"</c:formatCode>
                <c:ptCount val="6"/>
                <c:pt idx="0">
                  <c:v>9.9</c:v>
                </c:pt>
                <c:pt idx="1">
                  <c:v>7.95</c:v>
                </c:pt>
                <c:pt idx="2">
                  <c:v>12.5</c:v>
                </c:pt>
                <c:pt idx="3">
                  <c:v>5.75</c:v>
                </c:pt>
                <c:pt idx="4">
                  <c:v>5.44</c:v>
                </c:pt>
                <c:pt idx="5">
                  <c:v>0.56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-12.9</c:v>
                </c:pt>
                <c:pt idx="1">
                  <c:v>50.4</c:v>
                </c:pt>
                <c:pt idx="2">
                  <c:v>29.6</c:v>
                </c:pt>
                <c:pt idx="3">
                  <c:v>29.9</c:v>
                </c:pt>
                <c:pt idx="4">
                  <c:v>12.3</c:v>
                </c:pt>
                <c:pt idx="5">
                  <c:v>17.3</c:v>
                </c:pt>
                <c:pt idx="6">
                  <c:v>-19.1</c:v>
                </c:pt>
                <c:pt idx="7">
                  <c:v>0.3</c:v>
                </c:pt>
                <c:pt idx="8">
                  <c:v>0.5</c:v>
                </c:pt>
                <c:pt idx="9">
                  <c:v>18.4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22.9</c:v>
                </c:pt>
                <c:pt idx="1">
                  <c:v>27.6</c:v>
                </c:pt>
                <c:pt idx="2">
                  <c:v>29.4</c:v>
                </c:pt>
                <c:pt idx="3">
                  <c:v>31.8</c:v>
                </c:pt>
                <c:pt idx="4">
                  <c:v>23.2</c:v>
                </c:pt>
                <c:pt idx="5">
                  <c:v>21.2</c:v>
                </c:pt>
                <c:pt idx="6">
                  <c:v>19.6</c:v>
                </c:pt>
                <c:pt idx="7">
                  <c:v>20.8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22</c:v>
                </c:pt>
                <c:pt idx="1">
                  <c:v>22</c:v>
                </c:pt>
                <c:pt idx="2">
                  <c:v>22</c:v>
                </c:pt>
                <c:pt idx="3">
                  <c:v>22</c:v>
                </c:pt>
                <c:pt idx="4">
                  <c:v>22</c:v>
                </c:pt>
                <c:pt idx="5">
                  <c:v>22</c:v>
                </c:pt>
                <c:pt idx="6">
                  <c:v>22</c:v>
                </c:pt>
                <c:pt idx="7">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983</c:v>
                </c:pt>
                <c:pt idx="1">
                  <c:v>1164</c:v>
                </c:pt>
                <c:pt idx="2">
                  <c:v>1293</c:v>
                </c:pt>
                <c:pt idx="3">
                  <c:v>1413</c:v>
                </c:pt>
                <c:pt idx="4">
                  <c:v>1534</c:v>
                </c:pt>
                <c:pt idx="5">
                  <c:v>1547</c:v>
                </c:pt>
                <c:pt idx="6">
                  <c:v>1541</c:v>
                </c:pt>
                <c:pt idx="7">
                  <c:v>1653</c:v>
                </c:pt>
                <c:pt idx="8">
                  <c:v>1732</c:v>
                </c:pt>
                <c:pt idx="9">
                  <c:v>1765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9186</c:v>
                </c:pt>
                <c:pt idx="1">
                  <c:v>11986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306,48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141.42</c:v>
                </c:pt>
                <c:pt idx="1">
                  <c:v>219.1</c:v>
                </c:pt>
                <c:pt idx="2">
                  <c:v>251.8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306,48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(208,86 – 312,48)</c:v>
                </c:pt>
                <c:pt idx="1">
                  <c:v>Precio objetivo de los analistas (285,00 – 355,00)</c:v>
                </c:pt>
                <c:pt idx="2">
                  <c:v>Comparables: PER NTM (173,17 – 245,41)</c:v>
                </c:pt>
                <c:pt idx="3">
                  <c:v>DCF (WACC y g ± 0,5) (194,71 – 251,76)</c:v>
                </c:pt>
                <c:pt idx="4">
                  <c:v>Escenarios (bajista – alcista) (141,42 – 251,80)</c:v>
                </c:pt>
                <c:pt idx="5">
                  <c:v>DCF con la prima implícita del mercado (4,2 %)</c:v>
                </c:pt>
                <c:pt idx="6">
                  <c:v>Precio actual (306,48)</c:v>
                </c:pt>
              </c:strCache>
            </c:strRef>
          </c:cat>
          <c:val>
            <c:numRef>
              <c:f>Hoja1!$B$2:$B$8</c:f>
              <c:numCache>
                <c:formatCode>#,##0</c:formatCode>
                <c:ptCount val="7"/>
                <c:pt idx="0">
                  <c:v>208.86</c:v>
                </c:pt>
                <c:pt idx="1">
                  <c:v>285</c:v>
                </c:pt>
                <c:pt idx="2">
                  <c:v>173.17</c:v>
                </c:pt>
                <c:pt idx="3">
                  <c:v>194.71</c:v>
                </c:pt>
                <c:pt idx="4">
                  <c:v>141.42</c:v>
                </c:pt>
                <c:pt idx="5">
                  <c:v>237.02</c:v>
                </c:pt>
                <c:pt idx="6">
                  <c:v>304.95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(208,86 – 312,48)</c:v>
                </c:pt>
                <c:pt idx="1">
                  <c:v>Precio objetivo de los analistas (285,00 – 355,00)</c:v>
                </c:pt>
                <c:pt idx="2">
                  <c:v>Comparables: PER NTM (173,17 – 245,41)</c:v>
                </c:pt>
                <c:pt idx="3">
                  <c:v>DCF (WACC y g ± 0,5) (194,71 – 251,76)</c:v>
                </c:pt>
                <c:pt idx="4">
                  <c:v>Escenarios (bajista – alcista) (141,42 – 251,80)</c:v>
                </c:pt>
                <c:pt idx="5">
                  <c:v>DCF con la prima implícita del mercado (4,2 %)</c:v>
                </c:pt>
                <c:pt idx="6">
                  <c:v>Precio actual (306,48)</c:v>
                </c:pt>
              </c:strCache>
            </c:strRef>
          </c:cat>
          <c:val>
            <c:numRef>
              <c:f>Hoja1!$C$2:$C$8</c:f>
              <c:numCache>
                <c:formatCode>#,##0</c:formatCode>
                <c:ptCount val="7"/>
                <c:pt idx="0">
                  <c:v>103.62</c:v>
                </c:pt>
                <c:pt idx="1">
                  <c:v>70</c:v>
                </c:pt>
                <c:pt idx="2">
                  <c:v>72.24000000000001</c:v>
                </c:pt>
                <c:pt idx="3">
                  <c:v>57.04999999999998</c:v>
                </c:pt>
                <c:pt idx="4">
                  <c:v>110.38000000000002</c:v>
                </c:pt>
                <c:pt idx="5">
                  <c:v>48.22999999999999</c:v>
                </c:pt>
                <c:pt idx="6">
                  <c:v>3.0600000000000023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