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Banco Santander, S.A.</w:t>
      </w:r>
    </w:p>
    <w:p>
      <w:pPr>
        <w:spacing w:after="60"/>
        <w:rPr>
          <w:color w:val="52514E"/>
          <w:sz w:val="22"/>
          <w:szCs w:val="22"/>
        </w:rPr>
      </w:pPr>
      <w:r>
        <w:rPr>
          <w:color w:val="52514E"/>
          <w:sz w:val="22"/>
          <w:szCs w:val="22"/>
        </w:rPr>
        <w:t xml:space="preserve">SAN.MC · Bolsa de Madrid (mercado continuo); ADS en la NYSE · ISIN ES0113900J37 · Financials</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27 oct 2026</w:t>
      </w:r>
      <w:r>
        <w:rPr>
          <w:color w:val="52514E"/>
          <w:sz w:val="18"/>
          <w:szCs w:val="18"/>
        </w:rPr>
        <w:t xml:space="preserve"> · Divisa: </w:t>
      </w:r>
      <w:r>
        <w:rPr>
          <w:b/>
          <w:bCs/>
          <w:color w:val="52514E"/>
          <w:sz w:val="18"/>
          <w:szCs w:val="18"/>
        </w:rPr>
        <w:t xml:space="preserve">EUR</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11,15 EUR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9,91 EUR</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-9,0 % (base +2,0 %)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10,05 EUR · mercado 10,05</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Baja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161.175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n.d.</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0,0x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Banco Santander, S.A.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SAN.MC / ES0113900J37</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Bolsa de Madrid (mercado continuo); ADS en la NYSE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IBEX 35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Financials / Banks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Santander (España) · 1857</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185.279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https://www.santander.com/es/accionistas-e-inversores</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11,15 (26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8,48 – 13,12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14.450,0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100,0 %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161.175 M EUR</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161.175 M EUR</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262 M €/día (21,2 M de acciones, 3 meses)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 oct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Baja · Objetivo a 12 meses </w:t>
      </w:r>
      <w:r>
        <w:rPr>
          <w:b/>
          <w:bCs/>
        </w:rPr>
        <w:t xml:space="preserve">9,91 EUR</w:t>
      </w:r>
      <w:r>
        <w:t xml:space="preserve"> frente a 11,15 · Rentabilidad a 12 meses </w:t>
      </w:r>
      <w:r>
        <w:rPr>
          <w:b/>
          <w:bCs/>
        </w:rPr>
        <w:t xml:space="preserve">-9,0 % (base +2,0 %)</w:t>
      </w:r>
      <w:r>
        <w:t xml:space="preserve"> · Valor intrínseco 10,05 EUR · con la prima implícita del mercado: 10,05 (-9,9 %) · Alcista / bajista +18,4 % / -42,8 %</w:t>
      </w:r>
    </w:p>
    <w:p>
      <w:pPr>
        <w:spacing w:after="100"/>
      </w:pPr>
      <w:r>
        <w:rPr>
          <w:b/>
        </w:rPr>
        <w:t xml:space="preserve">La recomendación y por qué.</w:t>
      </w:r>
      <w:r>
        <w:t xml:space="preserve"> No comprar; para quien la tenga, «no mantener» según el filtro del método, con convicción baja porque </w:t>
      </w:r>
      <w:r>
        <w:rPr>
          <w:b/>
        </w:rPr>
        <w:t xml:space="preserve">la regla a 12 meses no da una señal fiable</w:t>
      </w:r>
      <w:r>
        <w:t xml:space="preserve"> en este caso. La regla (v3, BPA ordinario) da un objetivo de 9,91 €, un −9,0 % ponderado y un +2,0 % en el base con el dividendo, frente a un precio de 11,154 € (cierre del 26-oct-2026): queda en Mantener por la mínima (el Vender empieza en 11,28 €) pero no pasa el filtro de mantener (ponderada ≥ 10 %, base ≥ 5 %). Su bajista usa un PER de 4,3 veces de la época de tipos negativos, que el sector ya no paga. Lo firme es la calidad: con la prima por riesgo país, el RoTE ordinario supera al Ke por 3,5 puntos, por debajo del suelo de 4,5. El valor intrínseco es de 10,05 €, un 9,9 % por debajo del precio. Convicción baja (la que sugieren los criterios del motor, porque la regla absoluta da Vender y la relativa Mantener): la subiría un 3T26 con el RoTE por encima del 16,6 % o una prima por América Latina menor; la bajaría un coste del riesgo de Brasil por encima del 4,5 %.</w:t>
      </w:r>
    </w:p>
    <w:p>
      <w:pPr>
        <w:spacing w:after="100"/>
      </w:pPr>
      <w:r>
        <w:rPr>
          <w:b/>
        </w:rPr>
        <w:t xml:space="preserve">El negocio.</w:t>
      </w:r>
      <w:r>
        <w:t xml:space="preserve"> Banco muy diversificado (España 32 % del beneficio ordinario, Brasil 14 %, EE. UU. 13 %, México 11 %, Reino Unido 9 %), en su mejor momento: beneficio ordinario récord de 7.328 M en el 1S26 (+15 %), RoTE del 15,6 %, eficiencia del 42,8 %, coste del riesgo del 1,15 % y CET1 del 14,0 % [1]. La calidad, medida como RoTE − Ke, depende del riesgo país: con un Ke en euros del 12,06 % (Bund 3,43 % + 1,24 × 5,5 % + 1,81 de prima país ponderada) el exceso es de 3,1-3,5 puntos; sin la prima país (10,25 %) sería de 5,0-5,4 y pasaría. No es comprable en ningún nivel con el Ke completo. Sostenibilidad: «En parte».</w:t>
      </w:r>
    </w:p>
    <w:p>
      <w:pPr>
        <w:spacing w:after="100"/>
      </w:pPr>
      <w:r>
        <w:rPr>
          <w:b/>
        </w:rPr>
        <w:t xml:space="preserve">Valoración.</w:t>
      </w:r>
      <w:r>
        <w:t xml:space="preserve"> El modelo de exceso de rentabilidad sobre el valor tangible (6,08 € por acción pro forma con Webster) da 10,20 € en el base (7,64 bajista, 12,16 alcista) y el P/VTC justificado 1,55 veces (9,40 €), frente a 1,83 veces en bolsa. El DCF adaptado cuadra (10,25). El precio pide un Ke del 11,3 %: cobra la mitad de la prima por América Latina o da por hecho buena parte del plan de 2028 (RoTE &gt; 20 %).</w:t>
      </w:r>
    </w:p>
    <w:p>
      <w:pPr>
        <w:spacing w:after="100"/>
      </w:pPr>
      <w:r>
        <w:rPr>
          <w:b/>
        </w:rPr>
        <w:t xml:space="preserve">El efecto Lula y Santander Brasil.</w:t>
      </w:r>
      <w:r>
        <w:t xml:space="preserve"> La reelección del 25-oct restó un 3,1 % a SAN el 26-oct: Brasil pesa el 14 % del beneficio, el real cayó ≈ 7-9 % frente al euro y la Selic se quedará alta más tiempo [28]. Con la prima de Brasil subida como su bono, el Ke sube a 12,40 % y el valor base baja a 9,80 €. La oferta de canje por el ≈ 10 % de Santander Brasil emitirá hasta ≈ 151 M de acciones (1,05 %), suma ≈ 256 M € de beneficio al año (BPA +0,6 %) y es neutra en el CET1 según la matriz; sube la exposición a Brasil del 89,5 % al ≈ 100 %.</w:t>
      </w:r>
    </w:p>
    <w:p>
      <w:pPr>
        <w:spacing w:after="100"/>
      </w:pPr>
      <w:r>
        <w:rPr>
          <w:b/>
        </w:rPr>
        <w:t xml:space="preserve">Riesgos y catalizadores.</w:t>
      </w:r>
      <w:r>
        <w:t xml:space="preserve"> El mayor riesgo es América Latina (Brasil y Argentina) y la integración simultánea de TSB y Webster. Catalizadores: el 3T26 mañana (28-oct, primer trimestre con Webster), el marco fiscal de Brasil y las recompras (1.825 M en curso).</w:t>
      </w:r>
    </w:p>
    <w:p>
      <w:pPr>
        <w:spacing w:after="100"/>
      </w:pPr>
      <w:r>
        <w:rPr>
          <w:b/>
        </w:rPr>
        <w:t xml:space="preserve">Qué cambiaría la decisión.</w:t>
      </w:r>
      <w:r>
        <w:t xml:space="preserve"> La regla daría Vender por encima de 11,28 € (ponderada ≤ −10 %) y Comprar por debajo de 8,83 €, pero en ningún caso hay compra mientras RoTE − Ke no llegue a 4,5: haría falta un RoTE ordinario del 16,6 % sostenido con el Ke de hoy (el 3T26 puede acercarlo) o que la prima por América Latina baje. Con un RoTE del 20 % (plan de 2028) la calidad pasaría con holgura.</w:t>
      </w:r>
    </w:p>
    <w:p>
      <w:r>
        <w:br w:type="page"/>
      </w:r>
    </w:p>
    <w:p>
      <w:pPr>
        <w:pStyle w:val="Heading1"/>
      </w:pPr>
      <w:r>
        <w:t xml:space="preserve">Resumen ejecutivo</w:t>
      </w:r>
    </w:p>
    <w:p>
      <w:pPr>
        <w:pStyle w:val="Confianza"/>
        <w:spacing w:after="100"/>
      </w:pPr>
      <w:r>
        <w:t xml:space="preserve">Confianza: Baja</w:t>
      </w:r>
    </w:p>
    <w:p>
      <w:pPr>
        <w:spacing w:after="100"/>
      </w:pPr>
      <w:r>
        <w:rPr>
          <w:b/>
          <w:bCs/>
        </w:rPr>
        <w:t xml:space="preserve">Recomendación: Mantener</w:t>
      </w:r>
      <w:r>
        <w:t xml:space="preserve"> · Convicción: Baja · Horizonte: 12 meses · Objetivo a 12 meses: </w:t>
      </w:r>
      <w:r>
        <w:rPr>
          <w:b/>
          <w:bCs/>
        </w:rPr>
        <w:t xml:space="preserve">9,91 EUR</w:t>
      </w:r>
      <w:r>
        <w:t xml:space="preserve"> (rentabilidad -9,0 % (base +2,0 %)) · Valor intrínseco: 10,05 EUR (-9,9 % sobre 11,15) · con la prima implícita del mercado: 10,05 (-9,9 %)</w:t>
      </w:r>
    </w:p>
    <w:p>
      <w:pPr>
        <w:spacing w:after="100"/>
      </w:pPr>
      <w:r>
        <w:t xml:space="preserve">Banco Santander gana hoy un RoTE ordinario del 15,6 % con un Ke en euros del 12,06 % si se cobra el riesgo de los países donde gana el dinero: crea valor, pero 3,5 puntos por encima de su coste, menos de lo que pide el método [1, 29].</w:t>
      </w:r>
    </w:p>
    <w:p>
      <w:pPr>
        <w:spacing w:after="100"/>
      </w:pPr>
      <w:r>
        <w:t xml:space="preserve">El precio (11,154 €, 1,83 veces el valor tangible pro forma) ya descuenta un Ke del 11,3 % o buena parte del plan de 2028 (RoTE &gt; 20 %) [29].</w:t>
      </w:r>
    </w:p>
    <w:p>
      <w:pPr>
        <w:spacing w:after="100"/>
      </w:pPr>
      <w:r>
        <w:t xml:space="preserve">No hay margen de seguridad: el valor intrínseco (10,05 €) queda un 10 % por debajo del precio y la regla a 12 meses no da señal fiable por la historia de múltiplos de los años de tipos negativos.</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9,91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4,3x × 1,05 = 4,51 · 8,7x × 1,28 = 11,14 · 9,0x × 1,43 = 12,87</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-9,0 % / 2,0 %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 (selector de método: sin marcas: decide la v3)</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13,85 (nuestro base -19,6 %)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10,05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18,4 % / -42,8 %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0,43x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11,4 % frente a 12,1 % y 10,4 %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10,4 %)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10,05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1,52x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En parte (5,2 % anual proyectado; financiable al ROIC actual: 3,6 %)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(las reglas discrepan (absoluta Vender, relativa Mantener))</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Baja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8,83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8,83 y 11,28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11,28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Precio por encima de 11,28 €: Vender según la regla (ponderada ≤ −10 %).</w:t>
      </w:r>
    </w:p>
    <w:p>
      <w:pPr>
        <w:pStyle w:val="ListParagraph"/>
        <w:numPr>
          <w:ilvl w:val="0"/>
          <w:numId w:val="2"/>
        </w:numPr>
        <w:spacing w:after="60"/>
      </w:pPr>
      <w:r>
        <w:t xml:space="preserve">RoTE ordinario sostenido ≥ 16,6 % (o prima por América Latina menor): la calidad pasaría; habría que rehacer la regla a 12 meses.</w:t>
      </w:r>
    </w:p>
    <w:p>
      <w:pPr>
        <w:pStyle w:val="ListParagraph"/>
        <w:numPr>
          <w:ilvl w:val="0"/>
          <w:numId w:val="2"/>
        </w:numPr>
        <w:spacing w:after="60"/>
      </w:pPr>
      <w:r>
        <w:t xml:space="preserve">Precio por debajo de 8,83 € con la calidad aprobada: Comprar.</w:t>
      </w:r>
    </w:p>
    <w:p>
      <w:pPr>
        <w:pStyle w:val="ListParagraph"/>
        <w:numPr>
          <w:ilvl w:val="0"/>
          <w:numId w:val="2"/>
        </w:numPr>
        <w:spacing w:after="60"/>
      </w:pPr>
      <w:r>
        <w:t xml:space="preserve">Coste del riesgo del grupo por encima del 1,3 % en el 3T26 o el 4T26: revisar el BPA a la baja.</w:t>
      </w:r>
    </w:p>
    <w:p>
      <w:pPr>
        <w:pStyle w:val="Heading2"/>
      </w:pPr>
      <w:r>
        <w:t xml:space="preserve">Dónde discrepamos del mercado</w:t>
      </w:r>
    </w:p>
    <w:p>
      <w:pPr>
        <w:keepNext/>
        <w:spacing w:after="100"/>
      </w:pPr>
      <w:r>
        <w:rPr>
          <w:b/>
          <w:bCs/>
        </w:rPr>
        <w:t xml:space="preserve">Lo que descuenta el precio.</w:t>
      </w:r>
    </w:p>
    <w:p>
      <w:pPr>
        <w:spacing w:after="100"/>
      </w:pPr>
      <w:r>
        <w:t xml:space="preserve">Que el plan de 2028 se cumple en buena parte: 16 de 21 analistas en comprar, con un objetivo medio de 13,85 € (+24 %) [19].</w:t>
      </w:r>
    </w:p>
    <w:p>
      <w:pPr>
        <w:keepNext/>
        <w:spacing w:after="100"/>
      </w:pPr>
      <w:r>
        <w:rPr>
          <w:b/>
          <w:bCs/>
        </w:rPr>
        <w:t xml:space="preserve">Lo que creemos nosotros.</w:t>
      </w:r>
    </w:p>
    <w:p>
      <w:pPr>
        <w:spacing w:after="100"/>
      </w:pPr>
      <w:r>
        <w:t xml:space="preserve">Con la prima por riesgo país ponderada, el banco vale ≈ 10 €: el precio paga ya parte del plan y no deja colchón para Brasil o Argentina.</w:t>
      </w:r>
    </w:p>
    <w:p>
      <w:pPr>
        <w:keepNext/>
        <w:spacing w:after="100"/>
      </w:pPr>
      <w:r>
        <w:rPr>
          <w:b/>
          <w:bCs/>
        </w:rPr>
        <w:t xml:space="preserve">Por qué podemos tener razón.</w:t>
      </w:r>
    </w:p>
    <w:p>
      <w:pPr>
        <w:spacing w:after="100"/>
      </w:pPr>
      <w:r>
        <w:t xml:space="preserve">El 40 % del beneficio viene de América Latina; con su prima (Brasil 3,2, México 2,5, Argentina 9,7) el Ke del grupo sube 1,8 puntos y el exceso de rentabilidad baja de 5,4 a 3,5.</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EUR) · precio actual 11,1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Suma de partes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0 %</w:t>
            </w:r>
          </w:p>
        </w:tc>
      </w:tr>
    </w:tbl>
    <w:p>
      <w:pPr>
        <w:spacing w:after="160" w:before="0"/>
      </w:pPr>
    </w:p>
    <w:p>
      <w:pPr>
        <w:pStyle w:val="Heading2"/>
      </w:pPr>
      <w:r>
        <w:t xml:space="preserve">A favor</w:t>
      </w:r>
    </w:p>
    <w:p>
      <w:pPr>
        <w:pStyle w:val="ListParagraph"/>
        <w:numPr>
          <w:ilvl w:val="0"/>
          <w:numId w:val="2"/>
        </w:numPr>
        <w:spacing w:after="60"/>
      </w:pPr>
      <w:r>
        <w:rPr>
          <w:b/>
        </w:rPr>
        <w:t xml:space="preserve">Beneficio ordinario récord</w:t>
      </w:r>
      <w:r>
        <w:t xml:space="preserve"> (7.328 M en el 1S26, +15 %) y RoTE del 15,6 % al alza.</w:t>
      </w:r>
    </w:p>
    <w:p>
      <w:pPr>
        <w:pStyle w:val="ListParagraph"/>
        <w:numPr>
          <w:ilvl w:val="0"/>
          <w:numId w:val="2"/>
        </w:numPr>
        <w:spacing w:after="60"/>
      </w:pPr>
      <w:r>
        <w:rPr>
          <w:b/>
        </w:rPr>
        <w:t xml:space="preserve">Remuneración del 50 %</w:t>
      </w:r>
      <w:r>
        <w:t xml:space="preserve"> del beneficio y ≈ 6.900 M de recompras en 2026.</w:t>
      </w:r>
    </w:p>
    <w:p>
      <w:pPr>
        <w:pStyle w:val="ListParagraph"/>
        <w:numPr>
          <w:ilvl w:val="0"/>
          <w:numId w:val="2"/>
        </w:numPr>
        <w:spacing w:after="60"/>
      </w:pPr>
      <w:r>
        <w:rPr>
          <w:b/>
        </w:rPr>
        <w:t xml:space="preserve">Diversificación</w:t>
      </w:r>
      <w:r>
        <w:t xml:space="preserve">: ningún país pasa de un tercio del beneficio.</w:t>
      </w:r>
    </w:p>
    <w:p>
      <w:pPr>
        <w:pStyle w:val="ListParagraph"/>
        <w:numPr>
          <w:ilvl w:val="0"/>
          <w:numId w:val="2"/>
        </w:numPr>
        <w:spacing w:after="60"/>
      </w:pPr>
      <w:r>
        <w:rPr>
          <w:b/>
        </w:rPr>
        <w:t xml:space="preserve">CET1 del 14,0 %</w:t>
      </w:r>
      <w:r>
        <w:t xml:space="preserve"> antes de Webster, holgado frente al 9,83 % exigido.</w:t>
      </w:r>
    </w:p>
    <w:p>
      <w:pPr>
        <w:pStyle w:val="Heading2"/>
      </w:pPr>
      <w:r>
        <w:t xml:space="preserve">En contra</w:t>
      </w:r>
    </w:p>
    <w:p>
      <w:pPr>
        <w:pStyle w:val="ListParagraph"/>
        <w:numPr>
          <w:ilvl w:val="0"/>
          <w:numId w:val="2"/>
        </w:numPr>
        <w:spacing w:after="60"/>
      </w:pPr>
      <w:r>
        <w:rPr>
          <w:b/>
        </w:rPr>
        <w:t xml:space="preserve">RoTE − Ke de 3,1-3,5 puntos</w:t>
      </w:r>
      <w:r>
        <w:t xml:space="preserve"> con la prima país: por debajo del suelo de 4,5.</w:t>
      </w:r>
    </w:p>
    <w:p>
      <w:pPr>
        <w:pStyle w:val="ListParagraph"/>
        <w:numPr>
          <w:ilvl w:val="0"/>
          <w:numId w:val="2"/>
        </w:numPr>
        <w:spacing w:after="60"/>
      </w:pPr>
      <w:r>
        <w:rPr>
          <w:b/>
        </w:rPr>
        <w:t xml:space="preserve">Valor intrínseco de 10,05 €</w:t>
      </w:r>
      <w:r>
        <w:t xml:space="preserve">, un 9,9 % por debajo del precio.</w:t>
      </w:r>
    </w:p>
    <w:p>
      <w:pPr>
        <w:pStyle w:val="ListParagraph"/>
        <w:numPr>
          <w:ilvl w:val="0"/>
          <w:numId w:val="2"/>
        </w:numPr>
        <w:spacing w:after="60"/>
      </w:pPr>
      <w:r>
        <w:rPr>
          <w:b/>
        </w:rPr>
        <w:t xml:space="preserve">Brasil y Argentina</w:t>
      </w:r>
      <w:r>
        <w:t xml:space="preserve">: coste del riesgo del 4,1 % y del 11,1 %; Lula reelegido.</w:t>
      </w:r>
    </w:p>
    <w:p>
      <w:pPr>
        <w:pStyle w:val="ListParagraph"/>
        <w:numPr>
          <w:ilvl w:val="0"/>
          <w:numId w:val="2"/>
        </w:numPr>
        <w:spacing w:after="60"/>
      </w:pPr>
      <w:r>
        <w:rPr>
          <w:b/>
        </w:rPr>
        <w:t xml:space="preserve">Fondo de comercio al alza</w:t>
      </w:r>
      <w:r>
        <w:t xml:space="preserve"> (Webster a ≈ 1,95 veces su valor tangible): RoE del 13,6 %.</w:t>
      </w:r>
    </w:p>
    <w:p>
      <w:pPr>
        <w:pStyle w:val="ListParagraph"/>
        <w:numPr>
          <w:ilvl w:val="0"/>
          <w:numId w:val="2"/>
        </w:numPr>
        <w:spacing w:after="60"/>
      </w:pPr>
      <w:r>
        <w:rPr>
          <w:b/>
        </w:rPr>
        <w:t xml:space="preserve">Regla a 12 meses en el límite del Vender</w:t>
      </w:r>
      <w:r>
        <w:t xml:space="preserve"> (11,28 €).</w:t>
      </w:r>
    </w:p>
    <w:p>
      <w:pPr>
        <w:pStyle w:val="Heading2"/>
      </w:pPr>
      <w:r>
        <w:t xml:space="preserve">Qué tiene que pasar para que la tesis funcione</w:t>
      </w:r>
    </w:p>
    <w:p>
      <w:pPr>
        <w:spacing w:after="100"/>
      </w:pPr>
      <w:r>
        <w:t xml:space="preserve">El 3T26 (28-oct): RoTE ordinario (≥ 16,6 % sostenido haría pasar la calidad con el Ke de hoy), TNAV por acción tras Webster y coste del riesgo de Brasil y Argentina.</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RoTE ordinario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15,6 %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15 % o &gt; 16,6 %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Decide la calidad frente al Ke del 12,06 %.</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del riesgo (12 meses)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1,15 % (jun-2026)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 1,3 %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Separa el base del bajista.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CET1</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 (jun-2026)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12,5 % tras Webster</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Sostiene las recompras.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TNAV por acción</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6,32 € (jun-2026; ≈ 6,08 pro forma)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6,0 €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del modelo bancario.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Bono de Brasil a 10 años (BRL)</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15,44 % (26-oct-2026)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&gt; 16 %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Mide la prima de Brasil (14 % del beneficio).</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8,9x / n.d.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12,4x / 9,2x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8,9x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3,77x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(2021-2025)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42,2 %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0,0x · 0,0x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 de 13 (3 sin dato)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Banco Santander nació en 1857 en Santander y se hizo grande por compras: Banco Central Hispano (1999), Abbey National en el Reino Unido (2004), Banco Real en Brasil (2008, reparto de ABN AMRO), Sovereign en EE. UU. (2009), Banco Popular (2017, por un euro tras su resolución) y, en 2026, TSB (Reino Unido, abril) y Webster (EE. UU., agosto) [1]. En enero de 2026 vendió el 49 % de Santander Bank Polska a Erste [1]. Ana Botín preside el banco desde 2014; Héctor Grisi es consejero delegado desde 2023 [14]. En 2026 reorganizó el grupo en cinco negocios globales (Retail, Openbank, CIB, Wealth y Payments) con un modelo operativo común («ONE Transformation»)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Fusión con Banco Central Hispano (BSCH).</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Abbey National (Reino Unido).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Banco Real (Brasil), en el reparto de ABN AMRO.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Banco Popular por un euro.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Pérdida estadística por deterioro del fondo de comercio (−8.771 M) [2].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Venta de Polonia (ene), compra de TSB (abr) y de Webster (ago), oferta de canje por el 10 % de Santander Brasil (jul) [1, 5].</w:t>
            </w:r>
          </w:p>
        </w:tc>
      </w:tr>
    </w:tbl>
    <w:p>
      <w:pPr>
        <w:spacing w:after="160" w:before="0"/>
      </w:pPr>
    </w:p>
    <w:p>
      <w:pPr>
        <w:pStyle w:val="Heading1"/>
      </w:pPr>
      <w:r>
        <w:t xml:space="preserve">2. Modelo de negocio</w:t>
      </w:r>
    </w:p>
    <w:p>
      <w:pPr>
        <w:spacing w:after="100"/>
      </w:pPr>
      <w:r>
        <w:t xml:space="preserve">Uno de los mayores bancos del mundo: 1,95 billones de euros de activo, 1,15 billones de crédito y 1,13 billones de depósitos a jun-2026, 182 M de clientes (106 M activos), 185.279 empleados y 6.496 oficinas [1]. Diez mercados principales: España (32 % del beneficio ordinario de los países en el 1S26), Brasil (14 %), EE. UU. (13 %), México (11 %), Reino Unido (9 %), Portugal y Chile (6 % cada uno), Argentina (2,5 %) y Openbank Europa (3 %) [1].</w:t>
      </w:r>
    </w:p>
    <w:p>
      <w:pPr>
        <w:pStyle w:val="Heading2"/>
      </w:pPr>
      <w:r>
        <w:t xml:space="preserve">Cómo gana dinero</w:t>
      </w:r>
    </w:p>
    <w:p>
      <w:pPr>
        <w:spacing w:after="100"/>
      </w:pPr>
      <w:r>
        <w:t xml:space="preserve">De 30.847 M de ingresos ordinarios en el 1S26, el 74 % es margen de intereses (22.711 M) y el 22 % comisiones (6.851 M); el resto, resultados de operaciones financieras y otros [1]. Más del 95 % de los ingresos está ligado a la actividad con clientes [1]. Después de costes (13.211 M; eficiencia del 42,8 %) y dotaciones (6.574 M; coste del riesgo del 1,15 %) quedan 10.347 M antes de impuestos y 7.328 M de beneficio ordinario [1]. El margen viene de la diversificación: España y Portugal ganan con tipos del BCE positivos (RoTE del 26 % y 30 %), Brasil y México con diferenciales altos pero con coste del riesgo alto (4,1 % y 2,7 %), y el Reino Unido y EE. UU. con RoTE más bajos (10,7 % y 13,2 %) que las compras de TSB y Webster deben subir [3].</w:t>
      </w:r>
    </w:p>
    <w:p>
      <w:pPr>
        <w:pStyle w:val="Heading2"/>
      </w:pPr>
      <w:r>
        <w:t xml:space="preserve">Segmentos (1S26)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68"/>
        <w:gridCol w:w="1320"/>
        <w:gridCol w:w="1320"/>
        <w:gridCol w:w="1320"/>
        <w:gridCol w:w="1188"/>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Retail &amp; Commercial Banking</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17.135</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54,7 %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Beneficio ordinario</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Openbank (antes Digital Consumer Bank)</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6.535</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Beneficio ordinario</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Corporate &amp; Investment Banking</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4.779</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36,5 %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Beneficio ordinario</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Wealth Management &amp; Insurance</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2.093</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51,7 %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Beneficio ordinario</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Payments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771</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+20,3 %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Beneficio ordinario</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1S26)"/>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31"/>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1S25</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1S26</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Retail &amp; Commercial Banking</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16.202</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17.135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Openbank (antes Digital Consumer Bank)</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6.425</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6.535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Corporate &amp; Investment Banking</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4.119</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4.779</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Wealth Management &amp; Insurance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1.930</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2.093</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Payments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641</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beneficio ordinario del 1S26 por segmento secundario, sin el centro corporativo [1]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Base muy dispersa (182 M de clientes, particulares y empresas en diez países). Poder de precio limitado en hipotecas en España, «uno de los mercados más competitivos de Europa» según el consejero delegado [14]; mayor en consumo y tarjetas en América Latina.</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RoTE ordinario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14,9 % (1S25)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15,6 %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16,0 % en el 2T26; objetivo &gt; 20 % en 2028 [1, 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CET1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 (jun-25)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 (jun-26)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Objetivo del 12,8-13 % a fin de 2026 con Webster (≈ −150 p.b.) [1, 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Eficiencia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45,7 % (1S25)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42,8 %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Objetivo ≈ 36 % en 2028 [1, 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del riesgo (12 meses)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1,13 % (jun-25)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1,15 % (jun-26)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+0,02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Argentina, estable [1].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Morosidad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2,90 % (jun-25)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2,93 % (jun-26)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+0,03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Cobertura del 64 % [1].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de intereses (1S)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21.237 M (1S25)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22.711 M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sobre activos rentables del 2,71 % en el 2T26 [1, 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TNAV por acción</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5,50 € (jun-25)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6,32 € (jun-26)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+14,9 %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 con los dividendos [1].</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relevante es la banca minorista y comercial de sus diez mercados (crédito y depósitos de particulares y empresas), con la banca mayorista y la gestión de patrimonios como negocios globales. No hay una serie única de tamaño de mercado que sume diez países en distintas divisas: el informe no la calcula y usa la cuota y la rentabilidad por país [1, 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Madurez</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Moderadamente concentrada</w:t>
            </w:r>
          </w:p>
        </w:tc>
      </w:tr>
    </w:tbl>
    <w:p>
      <w:pPr>
        <w:spacing w:after="160" w:before="0"/>
      </w:pP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Tipos de interés en Europa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BCE subió 25 p.b. en septiembre de 2026 y el euríbor está en el 3,25 %: sostiene el margen de intereses en España y Portugal [13].</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Riesgo político y tipos en América Latina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Brasil (14 % del beneficio) es pasivo-sensible: −100 p.b. de Selic suben el margen ≈ 70 M €; la reelección de Lula del 25-oct retrasa esa bajada [15].</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Impuestos a la banca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impuesto a la banca en España resta parte de la mejora del margen; Grisi lo llama contraproducente [13, 14].</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Escala y tecnología (ONE Transformation, IA)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Costes −2 % en euros constantes sin TSB con ingresos +6 %; 84 M de valor de negocio por IA en el 1S26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 digital</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Neobancos y bancos digitales en consumo y pagos; Openbank es la respuesta propia [1].</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5" name="Gráfico 5"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BBVA, CaixaBank y Sabadell en España; Itaú y Bradesco en Brasil; BBVA y Banorte en México; grandes bancos en el Reino Unido y EE. UU. [12].</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Hipotecas muy competidas en España y el Reino Unido; portabilidad y pagos instantáneos.</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Depósitos de 1,13 billones, en su mayoría de particulares; coste ligado a los tipos oficiales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Bancos digitales y tecnológicas en pagos y consumo; la licencia y el capital frenan la entrada en crédito.</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Mercado de capitales y crédito privado para empresas; fintech para particulares.</w:t>
            </w:r>
          </w:p>
        </w:tc>
      </w:tr>
    </w:tbl>
    <w:p>
      <w:pPr>
        <w:spacing w:after="160" w:before="0"/>
      </w:pPr>
    </w:p>
    <w:p>
      <w:pPr>
        <w:pStyle w:val="Heading2"/>
      </w:pPr>
      <w:r>
        <w:t xml:space="preserve">Ciclo</w:t>
      </w:r>
    </w:p>
    <w:p>
      <w:pPr>
        <w:spacing w:after="100"/>
      </w:pPr>
      <w:r>
        <w:t xml:space="preserve">En Europa el ciclo de tipos se ha estabilizado (el BCE volvió a subir en septiembre) con morosidad baja (España: coste del riesgo del 0,41 %); en Brasil y Argentina el ciclo de crédito es peor (4,1 % y 11,1 %) [3, 13].</w:t>
      </w:r>
    </w:p>
    <w:p>
      <w:pPr>
        <w:pStyle w:val="Heading2"/>
      </w:pPr>
      <w:r>
        <w:t xml:space="preserve">Regulación</w:t>
      </w:r>
    </w:p>
    <w:p>
      <w:pPr>
        <w:spacing w:after="100"/>
      </w:pPr>
      <w:r>
        <w:t xml:space="preserve">Supervisión del BCE (MUS) y de los supervisores locales; requisito de CET1 del 9,83 % con colchón sistémico global [3]. Abiertos con efecto en cifras: el impuesto a la banca en España, la remediación de la financiación de automóviles en el Reino Unido (FCA) y la posible subida de la ponderación de riesgo de las tarjetas en Brasil [13, 15].</w:t>
      </w:r>
    </w:p>
    <w:p>
      <w:pPr>
        <w:pStyle w:val="Heading2"/>
      </w:pPr>
      <w:r>
        <w:t xml:space="preserve">Tendencias y disrupción</w:t>
      </w:r>
    </w:p>
    <w:p>
      <w:pPr>
        <w:spacing w:after="100"/>
      </w:pPr>
      <w:r>
        <w:t xml:space="preserve">Tres cambios: (1) escala y plataforma común (Gravity, ONE Transformation) para bajar el coste por cliente (264 → 253 € y objetivo ≈ 220 en 2028); (2) compras en mercados donde ya estaba para ganar escala (TSB, Webster); (3) más peso de comisiones (Wealth, Payments, CIB) [1, 3]. Gana con las tres si ejecuta.</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Mayor banco de la zona euro por capitalización junto a BNP Paribas; primero o segundo en España, Portugal y Chile, tercer banco privado en Brasil y entre los primeros en México [1].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Estrecho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59"/>
        <w:gridCol w:w="847"/>
        <w:gridCol w:w="953"/>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BBVA</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España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BBVA</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España, México, Turquía; ROE 18.9 %, P/VC 2.21x [12].</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CaixaBank</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España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CABK</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España y Portugal; ROE 16.2 %, P/VC 2.03x [12].</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BNP Paribas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Francia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BNP</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Universal europeo; ROE 10.5 %, P/VC 0.78x [12].</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UniCredit</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Italia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UCG</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ROE 15.8 %, P/VC 1.55x [12].</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Países Bajos</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INGA</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ROE 17.1 %, P/VC 1.64x [12].</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HSBC</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Reino Unido</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HSBA</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ROE 13.1 % [12].</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Itaú Unibanco</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Brasil</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ITUB4</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Líder privado en Brasil, rival de Santander Brasil (ver informe de Itaú del 27-oct).</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6" name="Gráfico 6"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7" name="Gráfico 7"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Getnet y Ebury en pagos; 182 M de clientes [2].</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Nómina, hipoteca y cuentas vinculadas; 58 meses seguidos ganando clientes netos en España [5].</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Marca global y licencias bancarias en diez países.</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Eficiencia del 42,8 %, mejor que la media europea, con plataforma tecnológica común [2].</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Cuotas del 15-20 % en varios mercados; RoTE del 26-30 % en España y Portugal [3].</w:t>
            </w:r>
          </w:p>
        </w:tc>
      </w:tr>
    </w:tbl>
    <w:p>
      <w:pPr>
        <w:spacing w:after="160" w:before="0"/>
      </w:pPr>
    </w:p>
    <w:p>
      <w:pPr>
        <w:pStyle w:val="Heading2"/>
      </w:pPr>
      <w:r>
        <w:t xml:space="preserve">Amenazas</w:t>
      </w:r>
    </w:p>
    <w:p>
      <w:pPr>
        <w:spacing w:after="100"/>
      </w:pPr>
      <w:r>
        <w:t xml:space="preserve">Lo que más erosiona: la política en América Latina (Brasil tras el 25-oct, Argentina), impuestos a la banca en España y una bajada de tipos en Europa. La diversificación amortigua: ningún país pasa de un tercio del beneficio.</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54"/>
        <w:gridCol w:w="973"/>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35.530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14.115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14.115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8.124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38.451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14.548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14.548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9.605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0,12</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39.046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14.414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14.414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11.076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0,18</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41.809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16.660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16.660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12.574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0,21</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42.727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18.016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18.016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14.101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0,24</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r>
    </w:tbl>
    <w:p>
      <w:pPr>
        <w:spacing w:after="160" w:before="0"/>
      </w:pPr>
    </w:p>
    <w:p>
      <w:pPr>
        <w:spacing w:after="100"/>
      </w:pPr>
      <w:r>
        <w:t xml:space="preserve">Crecimiento anual compuesto 2021-2025: ingresos </w:t>
      </w:r>
      <w:r>
        <w:rPr>
          <w:b/>
          <w:bCs/>
        </w:rPr>
        <w:t xml:space="preserve">4,7 %</w:t>
      </w:r>
      <w:r>
        <w:t xml:space="preserve">, EBITDA </w:t>
      </w:r>
      <w:r>
        <w:rPr>
          <w:b/>
          <w:bCs/>
        </w:rPr>
        <w:t xml:space="preserve">6,3 %</w:t>
      </w:r>
      <w:r>
        <w:t xml:space="preserve">, BPA </w:t>
      </w:r>
      <w:r>
        <w:rPr>
          <w:b/>
          <w:bCs/>
        </w:rPr>
        <w:t xml:space="preserve">19,6 %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8" name="Gráfico 8" descr="Ingresos y EBITDA (EUR,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spacing w:after="100"/>
      </w:pPr>
      <w:r>
        <w:t xml:space="preserve">En NIIF (ESEF) el beneficio atribuido pasó de 8.124 M en 2021 a 14.101 M en 2025 (+14,8 % anual) y el BPA de 0,44 a 0,90 € (+19,6 % anual: las recompras redujeron las acciones de 17.341 M a 14.689 M) [2]. El margen de intereses fue de 42.348 M en 2025 (43.787 M en 2024), las comisiones de 17.387 M brutas y las pérdidas por deterioro de activos financieros de 12.546 M, estables en 12.100-12.300 M desde 2023 [2]. En la cuenta ordinaria del 1S26, ingresos de 30.847 M (+6 %), costes de 13.211 M (0 %), dotaciones de 6.574 M (+9 %, sobre todo Argentina) y beneficio ordinario de 7.328 M (+15 %; +14 % en euros constantes); el beneficio atribuido fue de 8.973 M con la plusvalía de Polonia [1, 4]. RoTE ordinario del 15,6 % (14,9 % un año antes), eficiencia del 42,8 % (−2,9 puntos) y BPA ordinario de 0,48 € (+20 %) [1].</w:t>
      </w:r>
    </w:p>
    <w:p>
      <w:pPr>
        <w:pStyle w:val="Heading2"/>
      </w:pPr>
      <w:r>
        <w:t xml:space="preserve">Ajustes y partidas no recurrentes</w:t>
      </w:r>
    </w:p>
    <w:p>
      <w:pPr>
        <w:spacing w:after="100"/>
      </w:pPr>
      <w:r>
        <w:t xml:space="preserve">Dos bases. Las cuentas oficiales (ESEF) son NIIF; el banco y el mercado siguen la cuenta «ordinaria» (underlying), que quita extraordinarios: en el 1S26, +1.895 M de plusvalía de Polonia y −250 M de reestructuración de TSB [1]. En 2022-2025 el ordinario coincidía con el estatutario; en 2021 el ordinario fue de 8.654 M frente a 8.124 M [1, 2]. Desde el 1T26 la información se presenta con Polonia fuera: 2025 ordinario reexpresado de 13.152 M (BPA 0,84 €) frente a 14.101 M publicados (BPA 0,90-0,91) [1]. En la cuenta del motor, 2023-2024 vienen del ESEF de 2025 (reexpresados, con Polonia como actividad interrumpida: 1.542 M de resultado interrumpido en 2025), por eso BAI − impuestos − minoritarios no cuadra con el beneficio atribuido [2]. El BPA y el RoTE de la regla a 12 meses y del modelo bancario son ordinarios, por acción, netos de los cupones de AT1 [1].</w:t>
      </w:r>
    </w:p>
    <w:p>
      <w:pPr>
        <w:pStyle w:val="Heading1"/>
      </w:pPr>
      <w:r>
        <w:t xml:space="preserve">6. Resultados recientes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38"/>
        <w:gridCol w:w="1220"/>
        <w:gridCol w:w="1220"/>
        <w:gridCol w:w="1220"/>
        <w:gridCol w:w="976"/>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15.140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0,23</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15.707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0,25</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Superior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0" name="Gráfico 10"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pStyle w:val="Heading2"/>
      </w:pPr>
      <w:r>
        <w:t xml:space="preserve">Lo que dijo la dirección en las últimas presentaciones</w:t>
      </w:r>
    </w:p>
    <w:p>
      <w:pPr>
        <w:spacing w:after="100"/>
      </w:pPr>
      <w:r>
        <w:t xml:space="preserve">En el 2T26 (22-jul-2026) el beneficio ordinario fue récord, 3.768 M (+17 % interanual; +5,8 % en el trimestre), con ingresos de 15.707 M (+9 %), margen de intereses de 11.692 M (+6,1 % en el trimestre, con TSB desde mayo), costes de 6.727 M y dotaciones de 3.349 M (+13 %) [1, 4]. RoTE ordinario del 16,0 % en el trimestre y CET1 del 14,0 % tras restar 55 p.b. por TSB [1]. El banco reiteró los objetivos de 2026 (ingresos +MSD, costes a la baja en euros constantes, beneficio por encima de 14.100 M, CET1 del 12,8-13 % con Webster) y de 2028 (RoTE &gt; 20 %, beneficio &gt; 20.000 M) [3, 4]. La prensa lo leyó como mejor de lo esperado (beneficio ordinario récord) [14].</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1.595.835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16.584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86.930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1.734.659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18.645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89.104</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1.797.062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19.871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95.423</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1.837.081</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19.259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98.601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1.867.515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17.308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103.170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80"/>
        <w:gridCol w:w="1472"/>
        <w:gridCol w:w="1338"/>
        <w:gridCol w:w="1338"/>
        <w:gridCol w:w="1338"/>
        <w:gridCol w:w="147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r>
    </w:tbl>
    <w:p>
      <w:pPr>
        <w:spacing w:after="160" w:before="0"/>
      </w:pPr>
    </w:p>
    <w:p>
      <w:pPr>
        <w:pStyle w:val="Nota"/>
        <w:spacing w:after="100"/>
      </w:pPr>
      <w:r>
        <w:t xml:space="preserve">Días de inventario y de pago calculados sobre costes operativos de caja (ingresos − EBITDA), por ser una cuenta por naturaleza.</w:t>
      </w:r>
    </w:p>
    <w:p>
      <w:pPr>
        <w:pStyle w:val="Nota"/>
        <w:spacing w:after="100"/>
      </w:pPr>
      <w:r>
        <w:t xml:space="preserve">Cambio de perímetro (2026: Compra de Webster Financial (EE. UU.) por 48,75 USD en efectivo + 2,0548 ADS por acción (20-ago-2026): 329,8 M de acciones nuevas (2,2 % del capital) y ≈ −150 p.b. de CET1 [3, 5].).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spacing w:after="100"/>
      </w:pPr>
      <w:r>
        <w:t xml:space="preserve">Para un banco el motor no tiene sentido en deuda neta, circulante ni capital invertido: caja y deuda a 0, y el «capital invertido» queda igual al patrimonio atribuido NIIF. El activo pasó de 1.595.835 M (2021) a 1.867.515 M (2025), +4,0 % anual, y el patrimonio atribuido de 86.930 M a 103.170 M, +4,4 % anual, con recompras de 3.100-4.100 M al año desde 2023 [2]. El fondo de comercio e intangibles (17.308 M a dic-2025) sube con TSB y Webster (≈ 5.000 M estimados por Webster): por eso el RoE (13,6 % en el 1S26) queda 2 puntos por debajo del RoTE (15,6 %) [1, 2].</w:t>
      </w:r>
    </w:p>
    <w:p>
      <w:pPr>
        <w:pStyle w:val="Heading1"/>
      </w:pPr>
      <w:r>
        <w:t xml:space="preserve">8. Flujos de caja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94"/>
        <w:gridCol w:w="1107"/>
        <w:gridCol w:w="886"/>
        <w:gridCol w:w="886"/>
        <w:gridCol w:w="886"/>
        <w:gridCol w:w="886"/>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8.124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8.124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8.124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0,47</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9.605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9.605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9.605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0,57</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11.076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11.076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11.076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0,68</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12.574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12.574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12.574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14.101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14.101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14.101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2" name="Gráfico 12" descr="Flujo de caja libre frente a beneficio ne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Acumulado 2021-2025: FCF </w:t>
      </w:r>
      <w:r>
        <w:rPr>
          <w:b/>
          <w:bCs/>
        </w:rPr>
        <w:t xml:space="preserve">55.480</w:t>
      </w:r>
      <w:r>
        <w:t xml:space="preserve">, conversión </w:t>
      </w:r>
      <w:r>
        <w:rPr>
          <w:b/>
          <w:bCs/>
        </w:rPr>
        <w:t xml:space="preserve">100 %</w:t>
      </w:r>
      <w:r>
        <w:t xml:space="preserve"> del beneficio neto; adquisiciones 0, dividendos 11.780, recompras 11.228.</w:t>
      </w:r>
    </w:p>
    <w:p>
      <w:pPr>
        <w:spacing w:after="100"/>
      </w:pPr>
      <w:r>
        <w:t xml:space="preserve">El estado de flujos de un banco no mide la caja del accionista: el flujo de explotación NIIF fue de 56.691 M en 2021, 27.706 M en 2022, 5.015 M en 2023, −24.155 M en 2024 y −14.835 M en 2025, porque mezcla depósitos, cartera y repos [2]. Se usa el beneficio atribuido como «flujo operativo» y capex 0. Remuneración: dividendos en efectivo pagados de 1.313 M (2021) a 3.341 M (2025) y compra de acciones propias de 3.109 M (2023), 4.038 M (2024) y 4.081 M (2025) [2]. Dividendo por acción con cargo al año: 0,10 € (2021), 0,1178 (2022), 0,176 (2023), 0,21 (2024) y 0,24 (2025: 11,5 + 12,5 céntimos) [2, 4]. En 2026: programa de 5.030 M terminado en agosto (462,7 M de acciones), programa de 1.825 M con cargo al 1S26 en curso (1.474 M ejecutados al 21-oct) y dividendo a cuenta de 12,7 céntimos el 2-nov [6, 8, 9, 10].</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PricewaterhouseCoopers Auditores, S.L.</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 (cuentas consolidadas 2025)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0,11</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de riesgo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 / 7</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Intermedio (4-6).</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n.d.</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n.d.</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2"/>
      </w:pPr>
      <w:r>
        <w:t xml:space="preserve">Ajustes, criterios contables y remuneración en acciones</w:t>
      </w:r>
    </w:p>
    <w:p>
      <w:pPr>
        <w:spacing w:after="100"/>
      </w:pPr>
      <w:r>
        <w:t xml:space="preserve">Altman Z, Piotroski F y Beneish M no se interpretan en un banco. Lo que importa es la cartera: morosidad del 2,93 % con cobertura del 64 % y coste del riesgo del 1,15 % a 12 meses (1,13 % un año antes) [1]. Por país, el coste del riesgo es del 0,41 % en España, 0,10 % en el Reino Unido, 1,47 % en EE. UU., 2,74 % en México, 4,14 % en Brasil y 11,12 % en Argentina (+603 p.b.) [3]. Tres señales: (1) Argentina explica casi toda la subida de dotaciones (+9 %); (2) provisiones por la financiación de automóviles en el Reino Unido (245 M brutos en el 1S26); (3) la cobertura baja de 67 % a 64 % en un año [1, 3].</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del riesgo de Argentina del 11,1 % (+6 puntos)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Argentina pesa el 2,5 % del beneficio; sube las dotaciones del grupo un 9 % [3].</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Provisiones por la financiación de automóviles en el Reino Unido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245 M brutos en el 1S26 (194 M netos), sobre todo en el 1T26 [3].</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Cobertura de la morosidad del 64 % (67 % un año antes)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Morosidad estable en el 2,9 % [1].</w:t>
            </w:r>
          </w:p>
        </w:tc>
      </w:tr>
    </w:tbl>
    <w:p>
      <w:pPr>
        <w:spacing w:after="160" w:before="0"/>
      </w:pPr>
    </w:p>
    <w:p>
      <w:pPr>
        <w:pStyle w:val="Heading1"/>
      </w:pPr>
      <w:r>
        <w:t xml:space="preserve">10. Rentabilidad sobre el capital</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94"/>
        <w:gridCol w:w="985"/>
        <w:gridCol w:w="985"/>
        <w:gridCol w:w="985"/>
        <w:gridCol w:w="1095"/>
        <w:gridCol w:w="1095"/>
        <w:gridCol w:w="1095"/>
        <w:gridCol w:w="1204"/>
      </w:tblGrid>
      <w:tr>
        <w:trPr>
          <w:cantSplit/>
          <w:tblHeader/>
        </w:trPr>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0,02x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18,36x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97.053</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0,02x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18,92x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97.319</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0,02x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19,14x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100.913</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0,02x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18,73x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105.784</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12,2 %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14,0 %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33,0 %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0,02x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18,36x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110.038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pStyle w:val="Heading2"/>
      </w:pPr>
      <w:r>
        <w:t xml:space="preserve">Fondo de comercio y compras</w:t>
      </w:r>
    </w:p>
    <w:p>
      <w:pPr>
        <w:spacing w:after="100"/>
      </w:pPr>
      <w:r>
        <w:t xml:space="preserve">Fondo de comercio: 0 M en 2025 (el 0 % del capital invertido medio); ha subido más de un 5 % en 0 de 4 años: sin compras. Sin compras relevantes: el publicado ya es el ROIC del negocio.</w:t>
      </w:r>
    </w:p>
    <w:p>
      <w:pPr>
        <w:spacing w:after="100"/>
      </w:pPr>
      <w:r>
        <w:rPr>
          <w:b/>
          <w:bCs/>
        </w:rPr>
        <w:t xml:space="preserve">ROIC incremental</w:t>
      </w:r>
      <w:r>
        <w:t xml:space="preserve"> (variación del NOPAT sobre variación del capital invertido en el periodo): 31,5 % · </w:t>
      </w:r>
      <w:r>
        <w:rPr>
          <w:b/>
          <w:bCs/>
        </w:rPr>
        <w:t xml:space="preserve">WACC</w:t>
      </w:r>
      <w:r>
        <w:t xml:space="preserve">: 12,1 %.</w:t>
      </w:r>
    </w:p>
    <w:p>
      <w:pPr>
        <w:spacing w:after="100"/>
      </w:pPr>
      <w:r>
        <w:t xml:space="preserve">En un banco el ROIC del motor (patrimonio NIIF con deuda y caja 0) no es la cifra de calidad; la del informe es el RoTE ORDINARIO − Ke. RoTE ordinario del 15,2 % en 2025 (reexpresado sin Polonia) y del 15,6 % en el 1S26 (16,0 % en el 2T26) [1], frente a un Ke en euros del 12,06 % (Bund 3,43 % [20] + beta 1,24 × 5,5 % + prima país ponderada por beneficio de 1,81 [22]): exceso de 3,14 puntos (2025) y 3,54 (1S26). NO PASA el suelo del método (4,5) y no es comprable en ningún nivel (A, B1, B2 o C) [29]. Sin la prima país pasaría (4,95 y 5,35, con un Ke del 10,25 %): la conclusión depende de cobrar o no el riesgo de América Latina, y la cobramos porque es el 40 % del beneficio. Con el RoE ordinario (13,6 % en el 1S26, con el fondo de comercio de TSB, Webster y compras anteriores) el exceso es de solo 1,54. Indicadores bancarios del 2T26 [1, 3]: CET1 del 14,0 % (requisito del 9,83 %; 12,8-13 % esperado a fin de año con Webster), morosidad del 2,93 % con cobertura del 64 %, coste del riesgo del 1,15 % (Brasil 4,14 %, Argentina 11,1 %, España 0,41 %), eficiencia del 42,8 %, margen de intereses de 11.692 M en el trimestre (+6,1 %; margen del 2,71 % sobre activos rentables). Sensibilidad a tipos: más del 95 % de los ingresos viene de clientes; el BCE volvió a subir en septiembre [13]; en Brasil, −100 p.b. de Selic suben el margen ≈ 70 M € [15].</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Depósitos de clientes de 1.133.762 M y crédito a clientes de 1.149.162 M a jun-2026 (ambos +7 % en el trimestre por TSB) [1]. LCR del grupo del 155 % y NSFR del 122 %; activos líquidos de nivel 1 de 319.300 M; 30.000 M emitidos en mercados en el 1S26 [3].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Grado de inversión (sin leer la nota vigente de las agencias en este análisis)</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4" name="Gráfico 14"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pStyle w:val="Heading2"/>
      </w:pPr>
      <w:r>
        <w:t xml:space="preserve">Covenants, pasivos fuera de la deuda y contingencias</w:t>
      </w:r>
    </w:p>
    <w:p>
      <w:pPr>
        <w:spacing w:after="100"/>
      </w:pPr>
      <w:r>
        <w:t xml:space="preserve">Capital a jun-2026: CET1 del 14,0 % (phased-in; el banco ya no da una cifra fully loaded distinta: el tratamiento transitorio de la CRR es residual), capital total del 18,8 %; requisito mínimo de CET1 del 9,83 %: colchón de 418 p.b. y distancia al MDA de 401 p.b. [1, 3]. El banco espera cerrar 2026 en el 12,8-13 % tras restar ≈ 150 p.b. por Webster [3]. Morosidad del 2,93 % (3,00 % en marzo) con cobertura del 64 %; coste del riesgo del 1,15 % a 12 meses [1]. Provisiones adicionales por la financiación de automóviles en el Reino Unido (motor finance) de 245 M brutos en el 1S26 [3]. Cartera de renta fija de 165.000 M (8 % del activo; 79 % a vencimiento), con un efecto de valor de mercado inferior al 1 % del CET1 [3].</w:t>
      </w:r>
    </w:p>
    <w:p>
      <w:pPr>
        <w:pStyle w:val="Heading1"/>
      </w:pPr>
      <w:r>
        <w:t xml:space="preserve">12. Asignación de capital</w:t>
      </w:r>
    </w:p>
    <w:p>
      <w:pPr>
        <w:pStyle w:val="Confianza"/>
        <w:spacing w:after="100"/>
      </w:pPr>
      <w:r>
        <w:t xml:space="preserve">Confianza: Media</w:t>
      </w:r>
    </w:p>
    <w:p>
      <w:pPr>
        <w:spacing w:after="100"/>
      </w:pPr>
      <w:r>
        <w:t xml:space="preserve">Reparte ≈ 50 % del beneficio ordinario, mitad en efectivo y mitad en recompras, en 2026; desde 2027, ≈ 35 % en efectivo y ≈ 15 % en recompras, y el capital sobrante al final de 2028 [10]. Dividendo de 0,24 € con cargo a 2025 (+14 %) y a cuenta de 2026 de 0,127 € (pago el 2-nov; último día con derecho el 28-oct) [4, 10]. Recompras: 5.030 M terminadas en agosto (462,7 M de acciones, 3,08 % del capital, ya amortizadas) y 1.825 M con cargo al 1S26 en curso (1.474 M al 21-oct) [6, 8, 9]. Objetivo de al menos 10.000 M de recompras con cargo a 2025-2026 [4].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8.124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17.341,0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9.605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16.794,0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11.076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16.184,0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12.574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4.038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15.153,0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14.101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3.341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4.081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14.689,0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5" name="Gráfico 15" descr="Usos de la caja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Webster Financial (EE. UU.)</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10.650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48,75 USD en efectivo + 2,0548 ADS por acción (329,8 M de acciones nuevas)</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Cerrada el 20-ago-2026; ≈ −150 p.b. de CET1 [5, 26].</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TSB (Reino Unido)</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Efectivo</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Cerrada el 30-abr-2026; −55 p.b. de CET1; ≥ 400 M £ de sinergias [1, 4].</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 10 % de Santander Brasil (oferta de canje)</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1.908</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Acciones nuevas de SAN (hasta el 1,1 % del capital)</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Registrada el 21-sep-2026; cierre esperado en el 1S27 [17, 23].</w:t>
            </w:r>
          </w:p>
        </w:tc>
      </w:tr>
    </w:tbl>
    <w:p>
      <w:pPr>
        <w:spacing w:after="160" w:before="0"/>
      </w:pPr>
    </w:p>
    <w:p>
      <w:pPr>
        <w:spacing w:after="100"/>
      </w:pPr>
      <w:r>
        <w:t xml:space="preserve">Asignación activa en 2026: vende Polonia con plusvalía y la mitad del capital liberado a recompras, y compra escala en el Reino Unido y EE. UU., mercados donde su RoTE era bajo (10,7 % y 13,2 %) [3]. Las recompras a 1,8-1,9 veces el valor tangible crean valor si el RoTE se mantiene por encima del Ke; Webster se pagó a ≈ 1,95 veces su valor tangible con un ROATCE del 16,7 % [11, 26]: con un Ke de EE. UU. de ≈ 10,5 %, crea valor si llegan las sinergias. Las acciones en circulación han bajado un 17 % desde 2021 pese a Webster [6, 7].</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3"/>
        <w:gridCol w:w="1527"/>
        <w:gridCol w:w="705"/>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 Botín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Presidenta ejecutiva</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2014</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Presidenta desde 2014; antes consejera delegada de Santander UK y de Banesto [14].</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Héctor Grisi</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Antes presidente ejecutivo de Santander México; propuesto en jun-2022 para sustituir a José Antonio Álvarez [14, 16].</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José García Cantera</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Firma los informes 6-K de resultados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Matías Sánchez y Borja Oyarzábal</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Responsables globales de Retail y de Commercial</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2026</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Nombrados el 23-jun-2026 en sustitución de Daniel Barriuso [1].</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+MSD y costes a la baja en euros constantes; beneficio &gt; 14.100 M; CET1 12,8-13 %</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1S26: ingresos +5 %, costes −2 % sin TSB, beneficio ordinario 7.328 M (+15 %), CET1 14,0 % antes de Webster</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Beneficio récord y RoTE ≈ 16-17 %</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Beneficio de 14.101 M (+12 %), RoTE estatutario del 16,3 %</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spacing w:after="100"/>
      </w:pPr>
      <w:r>
        <w:t xml:space="preserve">Equipo estable (Botín desde 2014, Grisi desde 2023) que ha cumplido los objetivos de los últimos años y reitera los de 2026 y el plan de 2028 (RoTE &gt; 20 %, beneficio &gt; 20.000 M, eficiencia ≈ 36 %) [4, 14]. El plan exige ejecutar a la vez la integración de TSB y Webster: es ambicioso (RoTE ordinario del 15,6 % hoy).</w:t>
      </w:r>
    </w:p>
    <w:p>
      <w:pPr>
        <w:pStyle w:val="Heading1"/>
      </w:pPr>
      <w:r>
        <w:t xml:space="preserve">14. Gobierno corporativo</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7,5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 de 13 (3 sin dato)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431"/>
        <w:gridCol w:w="1900"/>
        <w:gridCol w:w="1493"/>
        <w:gridCol w:w="814"/>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 Botín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Presidenta ejecutiva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2014</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Héctor Grisi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delegado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2023</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Ejecutivo, con coordinador</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a favor sobre remuneración (3 juntas) ≥ 80 %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 (cuentas consolidadas 2025)</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 flotante (3,5 M de accionistas)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100,00 %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Institucional y particulares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accionista de control; el capital ha bajado de 17.341 M de acciones (2021) a ≈ 14.450 M por recompras, con 329,8 M nuevas por Webster [6, 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7" name="Gráfico 17"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No leída en este análisis (informe anual de remuneraciones en la web de accionistas, bloqueada por Incapsula). El variable de los consejeros ejecutivos se liga al RoTE y a la creación de valor por acción según la política del banco (sin cifra leída).</w:t>
      </w:r>
    </w:p>
    <w:p>
      <w:pPr>
        <w:pStyle w:val="Heading2"/>
      </w:pPr>
      <w:r>
        <w:t xml:space="preserve">Operaciones vinculadas, estructura de control y defensas</w:t>
      </w:r>
    </w:p>
    <w:p>
      <w:pPr>
        <w:spacing w:after="100"/>
      </w:pPr>
      <w:r>
        <w:t xml:space="preserve">Sin accionista de control y una acción, un voto. La presidenta es ejecutiva y procede de la familia fundadora; hay consejero coordinador independiente (sin nombre confirmado en las fuentes leídas). La oferta de canje por Santander Brasil (hasta el 1,1 % del capital) se hace con acciones nuevas sin voto de la junta adicional (ampliación ya autorizada) [17].</w:t>
      </w:r>
    </w:p>
    <w:p>
      <w:pPr>
        <w:pStyle w:val="Heading2"/>
      </w:pPr>
      <w:r>
        <w:t xml:space="preserve">Señales de alerta</w:t>
      </w:r>
    </w:p>
    <w:p>
      <w:pPr>
        <w:pStyle w:val="ListParagraph"/>
        <w:numPr>
          <w:ilvl w:val="0"/>
          <w:numId w:val="2"/>
        </w:numPr>
        <w:spacing w:after="60"/>
      </w:pPr>
      <w:r>
        <w:t xml:space="preserve">Presidenta ejecutiva (no separa del todo la supervisión de la gestión).</w:t>
      </w:r>
    </w:p>
    <w:p>
      <w:pPr>
        <w:pStyle w:val="ListParagraph"/>
        <w:numPr>
          <w:ilvl w:val="0"/>
          <w:numId w:val="2"/>
        </w:numPr>
        <w:spacing w:after="60"/>
      </w:pPr>
      <w:r>
        <w:t xml:space="preserve">Tres operaciones corporativas grandes en 2026 a integrar (TSB, Webster, Santander Brasil).</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Objetivos de 2026 (sin las compras): ingresos +MSD y costes a la baja en euros constantes, beneficio por encima de 14.100 M y CET1 del 12,8-13 % a fin de año; plan de 2028: RoTE &gt; 20 %, beneficio &gt; 20.000 M, eficiencia ≈ 36 %, BPA con crecimiento de doble dígito y reparto del 50 % del beneficio ordinario [3, 4]. Resultados del 3T26 el 28-oct antes de la apertura; conferencia a las 10:00 [24].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86"/>
        <w:gridCol w:w="1302"/>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63.939</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Yahoo Finance, 17 analistas, 27-oct-2026 [19]</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69.453</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1,25</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 19 analistas, 27-oct-2026 [19]</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19"/>
        <w:gridCol w:w="1505"/>
        <w:gridCol w:w="1505"/>
        <w:gridCol w:w="1204"/>
        <w:gridCol w:w="1505"/>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45.718</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63.939</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18.561</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48.918</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69.453</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-29,6 %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20.839</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 / 5 / 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13,85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11,30 – 15,30</w:t>
            </w:r>
          </w:p>
        </w:tc>
      </w:tr>
    </w:tbl>
    <w:p>
      <w:pPr>
        <w:spacing w:after="160" w:before="0"/>
      </w:pPr>
    </w:p>
    <w:p>
      <w:pPr>
        <w:pStyle w:val="Heading2"/>
      </w:pPr>
      <w:r>
        <w:t xml:space="preserve">Revisiones de estimaciones</w:t>
      </w:r>
    </w:p>
    <w:p>
      <w:pPr>
        <w:spacing w:after="100"/>
      </w:pPr>
      <w:r>
        <w:t xml:space="preserve">El BPA de 2026 del consenso apenas cambia en 90 días (1.04 → 1.04 €) y el de 2027 sube un poco (1.24 → 1.25) [19]. El BPA del 3T26 esperado es de 0.24 € (3 analistas; 0.26 hace 90 días). Recomendaciones: 6 compra fuerte, 10 comprar y 5 mantener; objetivo medio de 13.85 € (21 analistas, 11.3-15.3) [19]. En el ADS, objetivo medio de 14.76 USD. Las cifras de Yahoo pueden no recoger aún la reacción a las elecciones de Brasil del 25-oct.</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de precio (sin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+47,4 %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18" name="Gráfico 18"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31,1 %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-31,6 %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p>
      <w:pPr>
        <w:spacing w:after="100"/>
      </w:pPr>
      <w:r>
        <w:t xml:space="preserve">La acción ha ganado un 27,9 % anual a 5 años en precio frente al 16,2 % del IBEX 35 y el 20,5 % de la banca europea (EXV1) [18]; en 2025 subió un 125,6 % (de 4,46 a 10,07 €) con el RoTE al 16 % y las recompras, y en 2026 va en +10,8 % (máximo de 13,12 € el 13-ago, antes de la caída de octubre) [18]. Beta mensual a 5 años de 1,24 frente al STOXX 600 (1,43 semanal) [18]. Rentabilidades de precio, sin dividendos (el IBEX y el STOXX no los llevan).</w:t>
      </w:r>
    </w:p>
    <w:p>
      <w:pPr>
        <w:pStyle w:val="Heading2"/>
      </w:pPr>
      <w:r>
        <w:t xml:space="preserve">Precio y noticias antes de decidir (regla 13)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Variación 1 / 3 / 6 / 12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-11,1 % / -9,3 % / +11,4 % / +27,0 %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y al mínimo de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-14,2 % / +26,7 %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de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(medias de 50 y 200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lateral</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(60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2026-10-28</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Veredicto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no cambia</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3"/>
        <w:gridCol w:w="1098"/>
        <w:gridCol w:w="4147"/>
        <w:gridCol w:w="1220"/>
      </w:tblGrid>
      <w:tr>
        <w:trPr>
          <w:cantSplit/>
          <w:tblHeader/>
        </w:trPr>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4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Causa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26-oct-2026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Reelección de Lula (25-oct): la banca brasileña cayó entre un 13 % y un 31 % en B3 y el real se depreció ≈ 7-9 % frente al euro [28]. Brasil pesa el 14 % del beneficio ordinario: la conversión a euros y una Selic alta más tiempo restan, y la oferta por Santander Brasil sube la exposición.</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22-oct-2026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Caída de la banca europea antes de los resultados del 3T26 y en la recta final de la campaña de Brasil (sin una causa propia localizada en las fuentes leídas) [18].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1-oct-2026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Subida del bono español a 10 años (3,79 % → 4,17 % en un mes), temor a menos demanda de crédito y la primera vuelta en Brasil del 4-oct [13].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2/3-mar-2026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Dos sesiones de −4,8 % y −6,4 % (sin causa propia localizada en las fuentes leídas; caída general de la banca) [18].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jun-jul 2026 (+17,8 % en un mes al 7-jul)</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+17,8 %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Recuperación tras marzo y antes de un 2T26 récord [18].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9"/>
        <w:gridCol w:w="1585"/>
        <w:gridCol w:w="3904"/>
        <w:gridCol w:w="1220"/>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9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Hecho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2026-10-28</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3T26 antes de la apertura [24, 27].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2026-10-28</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Último día con derecho al dividendo a cuenta de 0,127 € (ex el 29-oct, pago el 2-nov) [10].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2026-08-20</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fusión u oferta</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Cierre de la compra de Webster: 329,8 M de acciones nuevas (2,2 %) y ≈ −150 p.b. de CET1 [25, 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2026-07-30</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fusión u oferta</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Oferta de canje por el ≈ 10 % de Santander Brasil (hasta el 1,1 % del capital de SAN; registrada el 21-sep; cierre esperado en el 1S27) [17, 23].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2026-08-10</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recompra</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Recompra de 1.825 M € con cargo al 1S26 (1.474 M ejecutados al 21-oct) [8, 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2026-10-25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otros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Reelección de Lula en Brasil: bono a 10 años en reales del 12,98 % al 15,44 % el 26-oct [28].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r>
    </w:tbl>
    <w:p>
      <w:pPr>
        <w:spacing w:after="160" w:before="0"/>
      </w:pPr>
    </w:p>
    <w:p>
      <w:pPr>
        <w:spacing w:after="100"/>
      </w:pPr>
      <w:r>
        <w:t xml:space="preserve">La acción ha caído un 11 % en un mes y un 15 % desde el máximo de agosto: bono español al alza, la campaña de Brasil y la caída del 26-oct por la reelección de Lula [13, 15, 28]. Lo de Brasil afecta al 14 % del beneficio (conversión del real, Selic alta más tiempo, coste del riesgo) y al Ke (la prima de Brasil sube); el informe lo recoge en la sensibilidad del Ke (12,40 % con la prima de Brasil subida como su bono). Ninguna noticia cambia la conclusión, que ya es «no comprar» por calidad. Resultados del 3T26 mañana (28-oct): no aplazan (regla 11).</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+114 %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9" name="Gráfico 19"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spacing w:after="100"/>
      </w:pPr>
      <w:r>
        <w:t xml:space="preserve">Cierre de SAN en Madrid (Yahoo) [18]. La historia que decide la regla a 12 meses es la del PER adelantado con el BPA ordinario (precio ÷ BPA del año siguiente): 5,4x (2020), 5,4x (2021), 4,3x (2022), 4,9x (2023), 5,3x (2024) y 10,1x (2025, sobre nuestro 2026e). Hoy cotiza a ≈ 9,6x el BPA de 2027e y a 1,83 veces el valor tangible pro forma: el doble de su múltiplo de 2020-2024, cuando la banca europea cotizaba con tipos negativos o cero.</w:t>
      </w:r>
    </w:p>
    <w:p>
      <w:pPr>
        <w:pStyle w:val="Heading1"/>
      </w:pPr>
      <w:r>
        <w:t xml:space="preserve">18. Comparables cotizados</w:t>
      </w:r>
    </w:p>
    <w:p>
      <w:pPr>
        <w:pStyle w:val="Confianza"/>
        <w:spacing w:after="100"/>
      </w:pPr>
      <w:r>
        <w:t xml:space="preserve">Confianza: Media</w:t>
      </w:r>
    </w:p>
    <w:p>
      <w:pPr>
        <w:spacing w:after="100"/>
      </w:pPr>
      <w:r>
        <w:t xml:space="preserve">Bancos cotizados de España, la zona euro y el Reino Unido con datos de Yahoo del 27-oct-2026 [19]. Para bancos solo tienen sentido el PER, el P/VC y el ROE: EV/EBITDA, margen EBITDA, DN/EBITDA y FCF quedan vacíos; el campo «ROIC» lleva el ROE. Los británicos cotizan en peniques: sin capitalización en euros (no se convierte). Mediana del PER adelantado: 9x.</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2"/>
        <w:gridCol w:w="504"/>
        <w:gridCol w:w="908"/>
        <w:gridCol w:w="706"/>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Banco Santander</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161.175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BBVA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123.805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CaixaBank</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78.536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Banco Sabadell</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16.412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Bankinter</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12.519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Unicaja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8.099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BNP Paribas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93.401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NL</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81.977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UniCredit</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IT</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109.209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Intesa Sanpaolo</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IT</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100.108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HSBC</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GB</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Lloyds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GB</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Barclays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GB</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NatWest</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GB</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524"/>
        <w:gridCol w:w="1056"/>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9,0x</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9,0x</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8,5x</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9,6x</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16,4 %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8,5x / 9,0x / 9,6x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10,31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10,91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11,64</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-2,2 %</w:t>
            </w:r>
          </w:p>
        </w:tc>
      </w:tr>
    </w:tbl>
    <w:p>
      <w:pPr>
        <w:spacing w:after="160" w:before="0"/>
      </w:pPr>
    </w:p>
    <w:p>
      <w:pPr>
        <w:spacing w:after="100"/>
      </w:pPr>
      <w:r>
        <w:t xml:space="preserve">Santander cotiza a 8.9x el BPA adelantado de Yahoo y a 1.46x el valor contable (ROE del 13.1 %) [19]. Está algo por debajo de la mediana de los trece (9x) y de los españoles domésticos (BBVA 9.6x, CaixaBank 10.4x, Bankinter 9.6x), que tienen más ROE (16-19 %) y menos América Latina, y por encima de BNP (6.5x) y Barclays (6.6x). Frente a sus pares no está caro para su ROE; frente a su coste del capital con la prima por país (RoTE − Ke ≈ 3,5), sí.</w:t>
      </w:r>
    </w:p>
    <w:p>
      <w:pPr>
        <w:pStyle w:val="Heading1"/>
      </w:pPr>
      <w:r>
        <w:t xml:space="preserve">19. Transacciones precedentes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14"/>
        <w:gridCol w:w="1780"/>
        <w:gridCol w:w="1676"/>
        <w:gridCol w:w="838"/>
        <w:gridCol w:w="733"/>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2026-02</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Webster Financial (EE. UU.)</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Banco Santander</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10.650</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75,59 USD por acción (48,75 en efectivo + 2,0548 ADS); ≈ 12.300 M USD; 1,95 veces su valor tangible (38,81 USD); ROATCE de Webster del 16,7 % [10, A11].</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2025-07</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TSB (Reino Unido)</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Banco Santander (a Banco Sabadell)</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Cerrada el 30-abr-2026; −55 p.b. de CET1; ≥ 400 M £ de sinergias de costes [1, 4].</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2026-07</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Santander Brasil (≈ 10 % de minoritarios)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Banco Santander (canje por acciones propias)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1.908</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0,4056 acciones SAN por unit; ≈ 1,1 veces el valor contable de la filial [17].</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2025-05</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Santander Bank Polska (49 %)</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Erste Group (venta)</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Cerrada el 9-ene-2026; plusvalía neta de 1.895 M; ≈ 50 % del capital liberado a recompras (3.200 M) [4].</w:t>
            </w:r>
          </w:p>
        </w:tc>
      </w:tr>
    </w:tbl>
    <w:p>
      <w:pPr>
        <w:spacing w:after="160" w:before="0"/>
      </w:pPr>
    </w:p>
    <w:p>
      <w:pPr>
        <w:spacing w:after="160" w:before="0"/>
      </w:pPr>
    </w:p>
    <w:p>
      <w:pPr>
        <w:spacing w:after="100"/>
      </w:pPr>
      <w:r>
        <w:t xml:space="preserve">Las operaciones del año son del propio Santander: compra bancos con fondo de comercio (Webster a ≈ 1,95 veces su valor tangible) y vende Polonia con plusvalía. No dan un múltiplo de control para valorar al grupo: peso 0 en el valor intrínseco.</w:t>
      </w:r>
    </w:p>
    <w:p>
      <w:pPr>
        <w:pStyle w:val="Heading1"/>
      </w:pPr>
      <w:r>
        <w:t xml:space="preserve">20. Descuento de flujos de caja (DCF)</w:t>
      </w:r>
    </w:p>
    <w:p>
      <w:pPr>
        <w:pStyle w:val="Confianza"/>
        <w:spacing w:after="100"/>
      </w:pPr>
      <w:r>
        <w:t xml:space="preserve">Confianza: Baja</w:t>
      </w:r>
    </w:p>
    <w:p>
      <w:pPr>
        <w:pStyle w:val="Heading2"/>
      </w:pPr>
      <w:r>
        <w:t xml:space="preserve">Supuestos y su justificación</w:t>
      </w:r>
    </w:p>
    <w:p>
      <w:pPr>
        <w:keepNext/>
        <w:spacing w:after="100"/>
      </w:pPr>
      <w:r>
        <w:rPr>
          <w:b/>
          <w:bCs/>
        </w:rPr>
        <w:t xml:space="preserve">Crecimiento de ingresos.</w:t>
      </w:r>
    </w:p>
    <w:p>
      <w:pPr>
        <w:spacing w:after="100"/>
      </w:pPr>
      <w:r>
        <w:t xml:space="preserve">Los «ingresos» crecen como el patrimonio tangible y el balance: 7 % en 2026e-2027e (TSB y Webster entran en el perímetro; crédito +9 % en euros constantes, +5 % sin TSB [4]), 6-6,5 % en 2028e-2029e y bajan al 3 % en 2035e, el terminal nominal en euros. Es la misma senda del modelo de exceso de rentabilidad [29].</w:t>
      </w:r>
    </w:p>
    <w:p>
      <w:pPr>
        <w:keepNext/>
        <w:spacing w:after="100"/>
      </w:pPr>
      <w:r>
        <w:rPr>
          <w:b/>
          <w:bCs/>
        </w:rPr>
        <w:t xml:space="preserve">Márgenes.</w:t>
      </w:r>
    </w:p>
    <w:p>
      <w:pPr>
        <w:spacing w:after="100"/>
      </w:pPr>
      <w:r>
        <w:t xml:space="preserve">«Margen EBITDA» = beneficio antes de impuestos sobre ingresos, calibrado para que el beneficio después de impuestos sea el RoTE del caso base por el patrimonio tangible: RoTE del 16 % en el primer año que sube al 17,5-18 % con las sinergias de TSB y Webster y la eficiencia (42,8 % → ≈ 36 % de objetivo [3]), sin llegar al &gt; 20 % del plan de 2028, y vuelve al 16,5 % a largo plazo.</w:t>
      </w:r>
    </w:p>
    <w:p>
      <w:pPr>
        <w:keepNext/>
        <w:spacing w:after="100"/>
      </w:pPr>
      <w:r>
        <w:rPr>
          <w:b/>
          <w:bCs/>
        </w:rPr>
        <w:t xml:space="preserve">Inversión y circulante.</w:t>
      </w:r>
    </w:p>
    <w:p>
      <w:pPr>
        <w:spacing w:after="100"/>
      </w:pPr>
      <w:r>
        <w:t xml:space="preserve">«Capex» = retención: lo que el banco guarda para que el capital crezca con los activos ponderados por riesgo y el CET1 se quede en el 12,8-13 %: g × 1,98 ÷ (1 + g) de los ingresos. Amortización y circulante 0. El flujo que queda es lo que puede repartir (dividendo + recompras).</w:t>
      </w:r>
    </w:p>
    <w:p>
      <w:pPr>
        <w:keepNext/>
        <w:spacing w:after="100"/>
      </w:pPr>
      <w:r>
        <w:rPr>
          <w:b/>
          <w:bCs/>
        </w:rPr>
        <w:t xml:space="preserve">Coste del capital.</w:t>
      </w:r>
    </w:p>
    <w:p>
      <w:pPr>
        <w:spacing w:after="100"/>
      </w:pPr>
      <w:r>
        <w:t xml:space="preserve">WACC = Ke en euros: Bund a 10 años del 3,43 % (Bundesbank, 26-oct-2026 [20]) + beta 1,24 (medida: mensual a 5 años frente al STOXX 600 [18]) × 5,5 % + prima por riesgo país de 1,81 puntos, ponderada por el peso de cada país en el beneficio ordinario del 1S26 con las primas por país de Damodaran (España 1,55, Reino Unido 0,78, EE. UU. 0,23, México 2,46, Brasil 3,24, Chile 1,10, Argentina 9,71 [22]) = 12,06 %. Peso de la deuda 0. Sensibilidad: sin prima país, 10,25 %; con la prima de mercado de Damodaran (4,2 % [21]), 10,45 %; con beta 1,0, 10,74 %; con la prima de Brasil subida como su bono el 26-oct, 12,40 % [29].</w:t>
      </w:r>
    </w:p>
    <w:p>
      <w:pPr>
        <w:keepNext/>
        <w:spacing w:after="100"/>
      </w:pPr>
      <w:r>
        <w:rPr>
          <w:b/>
          <w:bCs/>
        </w:rPr>
        <w:t xml:space="preserve">Valor terminal.</w:t>
      </w:r>
    </w:p>
    <w:p>
      <w:pPr>
        <w:spacing w:after="100"/>
      </w:pPr>
      <w:r>
        <w:t xml:space="preserve">Gordon al 3,0 % nominal en euros: inflación objetivo del BCE (2 %) + 1 real. Pesa el 50 % del valor en el DCF adaptado; el RoTE terminal (16,5 %) sigue por encima del Ke, así que el terminal suma valor.</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12,06 %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12,06 %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10,45 %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45.718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18.561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40,6 %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5.012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5.943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7.607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0,18</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48.918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20.839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42,6 %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5.627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6.359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8.853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8.190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52.098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23.236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44,6 %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6.274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6.304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10.658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8.803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55.224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25.458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46,1 %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6.874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6.185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12.399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9.133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58.261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26.975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46,3 %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7.283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13.691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9.000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61.174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27.651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45,2 %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7.466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5.750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14.435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8.468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63.927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28.192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44,1 %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7.612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5.434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15.146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7.933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66.484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29.452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44,3 %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7.952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5.053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16.447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7.683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68.811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29.726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43,2 %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8.026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4.610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17.090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7.124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2035e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70.875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30.831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8.324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4.111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18.396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6.844</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0" name="Gráfico 20" descr="Flujo de caja libre para la empresa proyectad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209.134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74.519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73.553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148.073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148.073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14.450,0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1" name="Gráfico 21" descr="De dónde sale el valor empresa del DCF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4,0 %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11,1 %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11,6 %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12,1 %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12,6 %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13,1 %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8,77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9,70</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10,87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11,71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12,61</w:t>
            </w:r>
          </w:p>
        </w:tc>
      </w:tr>
    </w:tbl>
    <w:p>
      <w:pPr>
        <w:spacing w:after="160" w:before="0"/>
      </w:pPr>
    </w:p>
    <w:p>
      <w:pPr>
        <w:pStyle w:val="Heading2"/>
      </w:pPr>
      <w:r>
        <w:t xml:space="preserve">¿Puede la empresa sostener el crecimiento previsto?</w:t>
      </w:r>
    </w:p>
    <w:p>
      <w:pPr>
        <w:spacing w:after="100"/>
      </w:pPr>
      <w:r>
        <w:rPr>
          <w:b/>
          <w:bCs/>
        </w:rPr>
        <w:t xml:space="preserve">Veredicto: En parte.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55.750 M (29 %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que financia esa reinversión al ROIC actual</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 (ROIC 12,2 %)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histórico de ingresos (TCAC)</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 frente al 5,2 % proyectado</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Veredicto de las pruebas del motor</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Sí</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Rendimiento que la proyección supone para el capital nuevo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16,2 % (histórico: 31,5 %)</w:t>
            </w:r>
          </w:p>
        </w:tc>
      </w:tr>
    </w:tbl>
    <w:p>
      <w:pPr>
        <w:spacing w:after="160" w:before="0"/>
      </w:pPr>
    </w:p>
    <w:p>
      <w:pPr>
        <w:spacing w:after="100"/>
      </w:pPr>
      <w:r>
        <w:t xml:space="preserve">La proyección reinvierte el 29 % del NOPAT. Con el ROIC del último ejercicio (12,2 %), eso financia un crecimiento del 3,6 % anual, frente al 5,2 % de ingresos proyectado. Supone que el capital nuevo rinde un 16,2 %, frente a un ROIC incremental histórico del 31,5 %.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+6 % (crédito +9 % en euros constantes con TSB; +5 % sin TSB [4]); precio +1 % (margen de intereses +7 % con volúmenes y gestión del balance).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+6 %: Webster (≈ 86.000 M $ de activos [11]) un año entero; precio +1 %.</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+5,5 %: crecimiento orgánico de un dígito medio, como pide el plan [3].</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+5 %.</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Volumen +4,5 %: converge al crecimiento nominal de sus economías en euros.</w:t>
            </w:r>
          </w:p>
        </w:tc>
      </w:tr>
    </w:tbl>
    <w:p>
      <w:pPr>
        <w:spacing w:after="160" w:before="0"/>
      </w:pPr>
    </w:p>
    <w:p>
      <w:pPr>
        <w:spacing w:after="100"/>
      </w:pPr>
      <w:r>
        <w:t xml:space="preserve">El crecimiento del 5-7 % es financiable: con un RoTE del 16-18 % el banco retiene la mitad y reparte la otra mitad, como hace hoy [10]. El motor da «En parte» porque mide con el ROIC NIIF de su cuenta adaptada frente al WACC. La conclusión que importa: con el Ke de hoy (12,06 %), crecer crea poco valor (RoTE − Ke ≈ 3,5 puntos), menos del que pide el método para comprar.</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(2026e-2035e)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6,3 % (base: 5,2 %)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46,4 % (base: 43,5 %)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11,4 % (WACC: 12,1 %)</w:t>
            </w:r>
          </w:p>
        </w:tc>
      </w:tr>
    </w:tbl>
    <w:p>
      <w:pPr>
        <w:spacing w:after="160" w:before="0"/>
      </w:pPr>
    </w:p>
    <w:p>
      <w:pPr>
        <w:spacing w:after="100"/>
      </w:pPr>
      <w:r>
        <w:t xml:space="preserve">El DCF adaptado (flujo para el accionista) da 10,25 € por acción en el base, un 8,1 % por debajo del precio, en línea con el modelo de exceso de rentabilidad (10,20; ponderado 10,05). El DCF inverso dice que el precio descuenta una rentabilidad anual del 11,4 %, por debajo del Ke (12,06 %) y por encima del Ke sin prima país (10,25 %), o un crecimiento del 6,3 % anual frente al 5,2 % del base. El modelo bancario da el mismo mensaje: el precio pide un Ke del 11,3 %, es decir, cobra solo la mitad de la prima por América Latina o da por hecho buena parte del plan de 2028 [29]. EV/EBITDA, deuda neta/EBITDA, ROIC, Altman Z y Piotroski no significan nada en un banco y no se usan.</w:t>
      </w:r>
    </w:p>
    <w:p>
      <w:pPr>
        <w:pStyle w:val="Heading1"/>
      </w:pPr>
      <w:r>
        <w:t xml:space="preserve">21. Escenarios</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6,38</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-42,8 %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coste del riesgo sube en Brasil y México tras el 26-oct y en el consumo en EE. UU., el BCE y el Banco de Inglaterra bajan tipos y la integración de TSB y Webster se retrasa: RoTE del 13-15 % y balance 1,5 puntos más lento.</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10,25</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RoTE ordinario del 16 % en el primer año que sube al 17,5-18 % con las sinergias y la eficiencia, sin llegar al &gt; 20 % del plan; capital tangible por acción +6-7 % que baja al 3 %; CET1 en el 12,8-13 % y reparto del 50 %.</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13,21</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+18,4 %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 cumple el plan de 2028 (RoTE &gt; 20 %, beneficio &gt; 20.000 M, eficiencia ≈ 36 %) y el RoTE se queda en el 18-20 %.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2" name="Gráfico 22" descr="Valor por acción por escenario (EUR) · precio actual 11,1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spacing w:after="100"/>
      </w:pPr>
      <w:r>
        <w:rPr>
          <w:b/>
          <w:bCs/>
        </w:rPr>
        <w:t xml:space="preserve">Valor ponderado por probabilidad:</w:t>
      </w:r>
      <w:r>
        <w:t xml:space="preserve"> 10,02 EUR (-10,2 %).</w:t>
      </w:r>
    </w:p>
    <w:p>
      <w:pPr>
        <w:spacing w:after="100"/>
      </w:pPr>
      <w:r>
        <w:t xml:space="preserve">Los tres escenarios del DCF adaptado (bajista 6,38, base 10,25 y alcista 13,21 €) cuadran con los del modelo de exceso de rentabilidad (7,64, 10,20 y 12,16) [29]. Solo el alcista (el plan de 2028 cumplido) supera el precio. La clave es el Ke: sin la prima país, el base vale 12,96 € y el ponderado 12,76, por encima del precio.</w:t>
      </w:r>
    </w:p>
    <w:p>
      <w:pPr>
        <w:pStyle w:val="Heading1"/>
      </w:pPr>
      <w:r>
        <w:t xml:space="preserve">22. Suma de partes</w:t>
      </w:r>
    </w:p>
    <w:p>
      <w:pPr>
        <w:pStyle w:val="Confianza"/>
        <w:spacing w:after="100"/>
      </w:pPr>
      <w:r>
        <w:t xml:space="preserve">Confianza: Media</w:t>
      </w:r>
    </w:p>
    <w:p>
      <w:pPr>
        <w:spacing w:after="100"/>
      </w:pPr>
      <w:r>
        <w:t xml:space="preserve">No es una suma de partes: es el vehículo para que el valor del modelo de exceso de rentabilidad sea el valor intrínseco del motor. Una sola «parte», el banco entero, con valor directo = 10,05 € ponderados × 14.450 M de acciones = 145.223 M (patrimonio, no valor empresa; el puente es 0). Detalle y tablas en valoracion-banco.md [29].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95"/>
        <w:gridCol w:w="1640"/>
        <w:gridCol w:w="1025"/>
        <w:gridCol w:w="3078"/>
      </w:tblGrid>
      <w:tr>
        <w:trPr>
          <w:cantSplit/>
          <w:tblHeader/>
        </w:trPr>
        <w:tc>
          <w:tcPr>
            <w:tcW w:type="dxa" w:w="20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Negocio</w:t>
            </w:r>
          </w:p>
        </w:tc>
        <w:tc>
          <w:tcPr>
            <w:tcW w:type="dxa" w:w="16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Métrica</w:t>
            </w:r>
          </w:p>
        </w:tc>
        <w:tc>
          <w:tcPr>
            <w:tcW w:type="dxa" w:w="1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empresa</w:t>
            </w:r>
          </w:p>
        </w:tc>
        <w:tc>
          <w:tcPr>
            <w:tcW w:type="dxa" w:w="30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 del múltiplo</w:t>
            </w:r>
          </w:p>
        </w:tc>
      </w:tr>
      <w:tr>
        <w:trPr>
          <w:cantSplit/>
        </w:trPr>
        <w:tc>
          <w:tcPr>
            <w:tcW w:type="dxa" w:w="20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Banco entero: modelo de exceso de rentabilidad sobre el valor tangible (residual income), ponderado 25/50/25</w:t>
            </w:r>
          </w:p>
        </w:tc>
        <w:tc>
          <w:tcPr>
            <w:tcW w:type="dxa" w:w="16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Valor por acción × acciones</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145.223</w:t>
            </w:r>
          </w:p>
        </w:tc>
        <w:tc>
          <w:tcPr>
            <w:tcW w:type="dxa" w:w="30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Valor = valor contable tangible por acción (6,32 € a 30-jun-2026; 6,08 € pro forma con Webster) + valor actual de (RoTE − Ke) × VTC de los 10 años siguientes + terminal, con Ke del 12,06 % (Bund 3,43 % + 1,24 × 5,5 % + prima país ponderada 1,81 %) y crecimiento terminal del 3 %; llevado al 27-oct (el dividendo a cuenta de 0,127 € aún se cobra). Bajista 7,64, base 10,2 y alcista 12,16 €; ponderado 10,05 € × 14.450 M de acciones = 145.223 M. Es patrimonio, no valor empresa: el puente es 0. Detalle en valoracion-banco.md [29].</w:t>
            </w:r>
          </w:p>
        </w:tc>
      </w:tr>
    </w:tbl>
    <w:p>
      <w:pPr>
        <w:spacing w:after="160" w:before="0"/>
      </w:pPr>
    </w:p>
    <w:p>
      <w:pPr>
        <w:spacing w:after="100"/>
      </w:pPr>
      <w:r>
        <w:rPr>
          <w:b/>
          <w:bCs/>
        </w:rPr>
        <w:t xml:space="preserve">Valor por acción por suma de partes:</w:t>
      </w:r>
      <w:r>
        <w:t xml:space="preserve"> 10,05 (-9,9 %); con ±1x en los múltiplos, 8,54 – 11,56.</w:t>
      </w:r>
    </w:p>
    <w:p>
      <w:pPr>
        <w:pStyle w:val="Heading1"/>
      </w:pPr>
      <w:r>
        <w:t xml:space="preserve">23. Síntesis de valoración</w:t>
      </w:r>
    </w:p>
    <w:p>
      <w:pPr>
        <w:pStyle w:val="Confianza"/>
        <w:spacing w:after="100"/>
      </w:pPr>
      <w:r>
        <w:t xml:space="preserve">Confianza: Baja</w:t>
      </w:r>
    </w:p>
    <w:p>
      <w:pPr>
        <w:keepNext w:val="false"/>
        <w:spacing w:after="160" w:before="120"/>
        <w:jc w:val="center"/>
      </w:pPr>
      <w:r>
        <w:drawing>
          <wp:inline xmlns:wp="http://schemas.openxmlformats.org/drawingml/2006/wordprocessingDrawing" distT="0" distB="0" distL="0" distR="0">
            <wp:extent cx="5760000" cy="2880000"/>
            <wp:effectExtent l="0" t="0" r="0" b="0"/>
            <wp:docPr id="1023" name="Gráfico 23" descr="Valor por acción según cada método (EUR) · precio actual 11,1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13,12</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13,21</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Suma de partes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13,52</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11,15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11,21</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Suma de partes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0 %</w:t>
            </w:r>
          </w:p>
        </w:tc>
      </w:tr>
    </w:tbl>
    <w:p>
      <w:pPr>
        <w:spacing w:after="160" w:before="0"/>
      </w:pPr>
    </w:p>
    <w:p>
      <w:pPr>
        <w:spacing w:after="100"/>
      </w:pPr>
      <w:r>
        <w:rPr>
          <w:b/>
          <w:bCs/>
        </w:rPr>
        <w:t xml:space="preserve">Valor intrínseco ponderado (largo plazo):</w:t>
      </w:r>
      <w:r>
        <w:t xml:space="preserve"> 10,05 EUR (-9,9 % sobre 11,15).</w:t>
      </w:r>
    </w:p>
    <w:p>
      <w:pPr>
        <w:spacing w:after="100"/>
      </w:pPr>
      <w:r>
        <w:t xml:space="preserve">Pesos: modelo de exceso de rentabilidad 100 % (vía suma de partes); DCF adaptado, comparables y transacciones 0. El DCF adaptado solo comprueba el modelo (10,25 frente a 10,20 €). Los comparables por P/VC (bancos europeos de 0,8 a 2,2 veces según ROE; Santander a 1,46 el contable y 1,83 el tangible pro forma) y por PER (9,0 veces de mediana [19]) entran en la regla a 12 meses, no en el valor intrínseco. El valor intrínseco depende de la prima país: con ella, 10,05 € ponderados; sin ella, 12,76; con la prima de Brasil subida tras el 26-oct, 9,80 (base). El precio pide un Ke del 11,3 % [29].</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mínimo de 5 años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4,51</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-57,4 %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(9.6x) ÷ 1.1 (tope: la mediana de 5 años, 5.3x, queda más lejos)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11,14</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1,43</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mediana de los comparables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12,87</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+17,5 %</w:t>
            </w:r>
          </w:p>
        </w:tc>
      </w:tr>
    </w:tbl>
    <w:p>
      <w:pPr>
        <w:spacing w:after="160" w:before="0"/>
      </w:pPr>
    </w:p>
    <w:p>
      <w:pPr>
        <w:spacing w:after="100"/>
      </w:pPr>
      <w:r>
        <w:rPr>
          <w:b/>
          <w:bCs/>
        </w:rPr>
        <w:t xml:space="preserve">Objetivo a 12 meses (ponderado):</w:t>
      </w:r>
      <w:r>
        <w:t xml:space="preserve"> 9,91 EUR · rentabilidad -9,0 % (base +2,0 %) · señal Mantener.</w:t>
      </w:r>
    </w:p>
    <w:p>
      <w:pPr>
        <w:spacing w:after="100"/>
      </w:pPr>
      <w:r>
        <w:t xml:space="preserve">Para comparar, con la regla v2 (historia al cierre, mismo precio): 5,2x / 5,8x / 7,5x, -28,3 % Vender; con el tope anterior del base (×1,3, 14-oct mediodía): -16,4 % Vender. Decide la v3 con tope ×1,1, elegida por el selector de método (sin marcas: decide la v3; METODO-VIGENTE.md).</w:t>
      </w:r>
    </w:p>
    <w:p>
      <w:pPr>
        <w:keepNext/>
        <w:spacing w:after="100"/>
      </w:pPr>
      <w:r>
        <w:rPr>
          <w:b/>
          <w:bCs/>
        </w:rPr>
        <w:t xml:space="preserve">Frente al consenso (solo contraste).</w:t>
      </w:r>
    </w:p>
    <w:p>
      <w:pPr>
        <w:spacing w:after="100"/>
      </w:pPr>
      <w:r>
        <w:t xml:space="preserve">Nuestro BPA ordinario de 2026e (1,00 €) queda un 3 % por debajo del consenso (1,04) y el de 2027e un 7 % (1,16 frente a 1,25); el consenso apenas se ha movido en 90 días [19]. El objetivo medio de los analistas (13,85 €, de 11,30 a 15,30, 16 de 21 en comprar) queda un 24 % por encima de nuestro base a 12 meses (11,14): los analistas aplican el PER de los comparables (≈ 9-10 veces) a un BPA mayor; la regla del método tira del PER hacia su historia de 4-5 veces.</w:t>
      </w:r>
    </w:p>
    <w:p>
      <w:pPr>
        <w:keepNext/>
        <w:spacing w:after="100"/>
      </w:pPr>
      <w:r>
        <w:rPr>
          <w:b/>
          <w:bCs/>
        </w:rPr>
        <w:t xml:space="preserve">Del valor intrínseco al objetivo a 12 meses.</w:t>
      </w:r>
    </w:p>
    <w:p>
      <w:pPr>
        <w:spacing w:after="100"/>
      </w:pPr>
      <w:r>
        <w:t xml:space="preserve">La regla a 12 meses (v3) da 9,91 € ponderado, un −9,0 % con el dividendo (+2,0 % en el base): ni Comprar (≥ 15 %) ni el filtro de mantener (ponderada ≥ 10 % y base ≥ 5 %); queda a un punto del Vender (≤ −10 %, por encima de 11,28 €). El valor intrínseco (10,05 €) está un 9,9 % por debajo del precio. </w:t>
      </w:r>
      <w:r>
        <w:rPr>
          <w:b/>
        </w:rPr>
        <w:t xml:space="preserve">La cifra no es fiable para dar una señal</w:t>
      </w:r>
      <w:r>
        <w:t xml:space="preserve">: la historia de PER adelantado (4,3-5,4 veces en 2020-2024) es la de la banca europea con tipos negativos o cero; el sector se ha revalorizado al doble (mediana de los comparables 9,0 veces) y la regla, sin selector para este caso, lleva el bajista a 4,3 veces (−60 %). Con el bajista en base × 0,80 (7,0 veces), la ponderada sería ≈ −2,5 %: tampoco llegaría a Mantener ni a Comprar. La conclusión que sí es firme no viene de la regla sino de la calidad: con la prima país, el RoTE − Ke (3,5) no llega a 4,5 [29].</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2026-10-28</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3T26 (antes de la apertura; conferencia a las 10:00) y último día con derecho al dividendo a cuenta de 0,127 €</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trimestre con Webster; TNAV por acción real tras la compra; coste del riesgo de Brasil y Argentina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2026-11/12</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Marco fiscal del nuevo Gobierno de Brasil y Copom de diciembre</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Mueve el real y la Selic (14 % del beneficio)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2027-01</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 de la recompra de 1.825 M y nuevo programa con cargo al 2S26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Reduce acciones ≈ 1-1,5 % por programa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2027-1S</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Cierre de la oferta de canje por Santander Brasil</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Hasta ≈ 151 M de acciones nuevas (1,05 %); BPA +0,6 %</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2027-02</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 2026 y propuesta de remuneración</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Avance hacia el RoTE &gt; 20 % de 2028</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8"/>
        <w:gridCol w:w="2095"/>
        <w:gridCol w:w="942"/>
        <w:gridCol w:w="628"/>
        <w:gridCol w:w="733"/>
        <w:gridCol w:w="1047"/>
        <w:gridCol w:w="1885"/>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América Latina: Brasil tras la reelección de Lula (Selic alta, real débil, coste del riesgo del 4,1 %) y Argentina (coste del riesgo del 11,1 %)</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Macro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−4 % del valor por cada 0,3 puntos de Ke; un punto más de coste del riesgo en Brasil ≈ −4 % del beneficio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Diversificación: ningún país supera un tercio del beneficio [1].</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Integración simultánea de TSB y Webster (sinergias, costes de reestructuración, fondo de comercio)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Ejecución</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a −10 % si el RoTE del Reino Unido y EE. UU. no sube</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Mercados donde ya opera; ≥ 400 M £ de sinergias de costes de TSB comprometidas [4].</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Bajada de tipos en Europa o impuestos a la banca más altos en España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Regulación</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 del beneficio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Comisiones y volúmenes; el BCE subió en septiembre [13].</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Financiación de automóviles en el Reino Unido (remediación de la FCA)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Legal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 a −2 %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245 M brutos ya provisionados en el 1S26 [3].</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Riesgo de IA (los bancos digitales y las tecnológicas automatizan crédito, pagos y atención)</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Tecnología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±3 % a 3-5 años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Plataforma común (Gravity) y 84 M de valor de negocio por IA en el 1S26 [4].</w:t>
            </w:r>
          </w:p>
        </w:tc>
      </w:tr>
    </w:tbl>
    <w:p>
      <w:pPr>
        <w:spacing w:after="160" w:before="0"/>
      </w:pPr>
    </w:p>
    <w:p>
      <w:pPr>
        <w:pStyle w:val="Heading2"/>
      </w:pPr>
      <w:r>
        <w:t xml:space="preserve">Pre-mortem</w:t>
      </w:r>
    </w:p>
    <w:p>
      <w:pPr>
        <w:spacing w:after="100"/>
      </w:pPr>
      <w:r>
        <w:t xml:space="preserve">Octubre de 2027: Brasil entró en recesión con la Selic por encima del 14 %, el coste del riesgo de la filial pasó del 5 % y el real cayó otro 15 %; Argentina siguió con un coste del riesgo de dos dígitos; el BCE bajó tipos y la integración de Webster costó más de lo previsto. El RoTE se quedó en el 14 %, el mercado volvió a pagar 1,3 veces el valor tangible y la acción bajó a ≈ 8 €.</w:t>
      </w:r>
    </w:p>
    <w:p>
      <w:pPr>
        <w:pStyle w:val="Heading2"/>
      </w:pPr>
      <w:r>
        <w:t xml:space="preserve">Riesgo de inteligencia artificial</w:t>
      </w:r>
    </w:p>
    <w:p>
      <w:pPr>
        <w:spacing w:after="100"/>
      </w:pPr>
      <w:r>
        <w:rPr>
          <w:b/>
          <w:bCs/>
        </w:rPr>
        <w:t xml:space="preserve">Exposición:</w:t>
      </w:r>
      <w:r>
        <w:t xml:space="preserve"> Media · </w:t>
      </w:r>
      <w:r>
        <w:rPr>
          <w:b/>
          <w:bCs/>
        </w:rPr>
        <w:t xml:space="preserve">Sentido:</w:t>
      </w:r>
      <w:r>
        <w:t xml:space="preserve"> Mixto · </w:t>
      </w:r>
      <w:r>
        <w:rPr>
          <w:b/>
          <w:bCs/>
        </w:rPr>
        <w:t xml:space="preserve">Efecto en valor (3-5 años):</w:t>
      </w:r>
      <w:r>
        <w:t xml:space="preserve"> ±3 % a 3-5 años</w:t>
      </w:r>
    </w:p>
    <w:p>
      <w:pPr>
        <w:spacing w:after="100"/>
      </w:pPr>
      <w:r>
        <w:t xml:space="preserve">La IA abarata la atención, el análisis de crédito y los procesos (ya 84 M de valor de negocio en el 1S26), y Santander la aplica a escala con una plataforma común; también baja la barrera de entrada de bancos digitales y tecnológicas en consumo y pagos. Efecto neto pequeño a 3-5 años.</w:t>
      </w:r>
    </w:p>
    <w:p>
      <w:pPr>
        <w:pStyle w:val="Heading1"/>
      </w:pPr>
      <w:r>
        <w:t xml:space="preserve">26. ESG y controversias</w:t>
      </w:r>
    </w:p>
    <w:p>
      <w:pPr>
        <w:pStyle w:val="Confianza"/>
        <w:spacing w:after="100"/>
      </w:pPr>
      <w:r>
        <w:t xml:space="preserve">Confianza: Baja</w:t>
      </w:r>
    </w:p>
    <w:p>
      <w:pPr>
        <w:spacing w:after="160" w:before="0"/>
      </w:pPr>
    </w:p>
    <w:p>
      <w:pPr>
        <w:pStyle w:val="Heading2"/>
      </w:pPr>
      <w:r>
        <w:t xml:space="preserve">Asuntos materiales</w:t>
      </w:r>
    </w:p>
    <w:p>
      <w:pPr>
        <w:spacing w:after="100"/>
      </w:pPr>
      <w:r>
        <w:t xml:space="preserve">Lo material es la conducta con clientes (financiación de automóviles en el Reino Unido) y el riesgo de crédito climático; no se ha encontrado una cifra que mueva la valoración [3].</w:t>
      </w:r>
    </w:p>
    <w:p>
      <w:pPr>
        <w:pStyle w:val="Heading2"/>
      </w:pPr>
      <w:r>
        <w:t xml:space="preserve">Controversias</w:t>
      </w:r>
    </w:p>
    <w:p>
      <w:pPr>
        <w:spacing w:after="100"/>
      </w:pPr>
      <w:r>
        <w:t xml:space="preserve">Provisiones por la remediación de la financiación de automóviles en el Reino Unido (245 M brutos en el 1S26) [3]; expediente de la CNMC sin cifras en la prensa leída [14].</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Webster</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fondo de comercio e intangibles deja Webster y cuál es el TNAV por acción a 30-sep?</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base del modelo bancario (6,08 € estimado).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Brasil</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sensibilidad del beneficio del grupo al real y a la Selic da la dirección tras el 26-oct?</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Brasil es el 14 % del beneficio y sube la prima de riesgo.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Plan de 2028</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del RoTE &gt; 20 % viene de costes, de sinergias y de recompras?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Separa el base del alcista.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Capital</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capital sobrante prevé repartir al final de 2028 con el CET1 en el 12,8-13 %?</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parte de la rentabilidad del accionista.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Argentina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¿Cuándo baja el coste del riesgo del 11 %?</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Explica casi toda la subida de dotaciones.</w:t>
            </w:r>
          </w:p>
        </w:tc>
      </w:tr>
    </w:tbl>
    <w:p>
      <w:pPr>
        <w:spacing w:after="160" w:before="0"/>
      </w:pPr>
    </w:p>
    <w:p>
      <w:pPr>
        <w:pStyle w:val="Heading1"/>
      </w:pPr>
      <w:r>
        <w:t xml:space="preserve">28. Sentimiento en foros y comentarios</w:t>
      </w:r>
    </w:p>
    <w:p>
      <w:pPr>
        <w:pStyle w:val="Confianza"/>
        <w:spacing w:after="100"/>
      </w:pPr>
      <w:r>
        <w:t xml:space="preserve">Confianza: Baja</w:t>
      </w:r>
    </w:p>
    <w:p>
      <w:pPr>
        <w:spacing w:after="100"/>
      </w:pPr>
      <w:r>
        <w:rPr>
          <w:b/>
          <w:bCs/>
        </w:rPr>
        <w:t xml:space="preserve">Tono:</w:t>
      </w:r>
      <w:r>
        <w:t xml:space="preserve"> Positivo · </w:t>
      </w:r>
      <w:r>
        <w:rPr>
          <w:b/>
          <w:bCs/>
        </w:rPr>
        <w:t xml:space="preserve">Tendencia:</w:t>
      </w:r>
      <w:r>
        <w:t xml:space="preserve"> Empeora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52"/>
        <w:gridCol w:w="963"/>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Estrategias de Inversión (análisis para particulares)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Brasil como el riesgo del otoño: una victoria de Bolsonaro se veía mejor para Santander; con Lula, tipos altos más tiempo [15].</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DailyForex (análisis técnico y de dividendos)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Dividendo a cuenta de 0,127 € (+10 %) y objetivo medio al alza (13,34 €), con la caída de octubre leída como técnica y de tipos [13].</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Remuneración al accionista (dividendo + recompras ≈ 50 % del beneficio)</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Cierto: 6.900 M de recompras en 2026 [1].</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Brasil y la reelección de Lula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Brasil es el 14 % del beneficio; el efecto en el Ke es de ≈ 0,3 puntos [29].</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Plan de 2028 (RoTE &gt; 20 %)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Ambicioso frente al 15,6 % de hoy; el informe lo deja en el alcista.</w:t>
            </w:r>
          </w:p>
        </w:tc>
      </w:tr>
    </w:tbl>
    <w:p>
      <w:pPr>
        <w:spacing w:after="160" w:before="0"/>
      </w:pPr>
    </w:p>
    <w:p>
      <w:pPr>
        <w:spacing w:after="100"/>
      </w:pPr>
      <w:r>
        <w:t xml:space="preserve">El consenso de analistas y la prensa son mayoritariamente positivos (16 de 21 en comprar). La diferencia con este informe está en el coste del capital: con la prima por país ponderada, el RoTE del 15,6 % apenas supera el Ke por 3,5 puntos. No aporta riesgos que el informe no recoja.</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20 de 24 controles correctos y 4 explicados. Fuentes: 29 (18 primarias); citas distintas en el texto: 29.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BAI − impuestos − minoritarios = beneficio neto (2023)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Diferencia de -1.058 (¿operaciones interrumpidas?). Explicación: En 2023-2025 la diferencia es el resultado de actividades interrumpidas (Polonia, vendida a Erste en enero de 2026): 1.542 M en 2025 [2]. El ESEF de 2025 reexpresa 2023 y 2024 con Polonia fuera del BAI.</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BAI − impuestos − minoritarios = beneficio neto (2024)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Diferencia de -1.241 (¿operaciones interrumpidas?). Explicación: En 2023-2025 la diferencia es el resultado de actividades interrumpidas (Polonia, vendida a Erste en enero de 2026): 1.542 M en 2025 [2]. El ESEF de 2025 reexpresa 2023 y 2024 con Polonia fuera del BAI.</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BPA = beneficio neto / acciones (2024)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0,83 calculado frente a 0,77 publicado (con convertibles, el BPA diluido publicado ajusta el numerador: explícalo si la diferencia viene de ahí). Explicación: El BPA publicado descuenta los cupones de los AT1 (≈ 600-750 M al año) y usa acciones medias, no las de cierre: 0,77 € publicado en 2024 frente a 0,83 con las acciones de cierre [2].</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BAI − impuestos − minoritarios = beneficio neto (2025)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Diferencia de -1.542 (¿operaciones interrumpidas?). Explicación: En 2023-2025 la diferencia es el resultado de actividades interrumpidas (Polonia, vendida a Erste en enero de 2026): 1.542 M en 2025 [2]. El ESEF de 2025 reexpresa 2023 y 2024 con Polonia fuera del BAI.</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Veredicto de sostenibilidad del analista coherente con las pruebas del motor</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analista dice «En parte» y las pruebas del motor dan «Sí»: razónalo en la justificación.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Rendimiento del capital nuevo de la proyección ≤ 1,25 × el histórico</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proyección supone que la inversión nueva rinde un 16,2 % frente a un ROIC de 12,2 % y un incremental histórico de 31,5 %: crecimiento que la empresa no ha demostrado poder comprar.</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0,0 % frente a 0,0 % real: genera una variación de circulante de 0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del BPA base ≤ 25 % anual desde el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fuentes (18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financieros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cuenta ordinaria trimestral de 2025 (1T25-4T25) reexpresada sin Polonia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Financiero del 2T26 (solo 1T26, 2T26, 1S25 y 2025); 2) presentación del 2T26 (gráficos sin tabla); 3) 6-K de reexpresión del 1-abr-2026 (no descargado por tiempo)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recompras de 2021 y 2022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ESEF 2021 y 2023 (concepto no etiquetado en esos años); 2) informe anual (no leído); 3) prensa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tamaño del mercado relevante y su serie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financiero (cuotas por país sin tamaño total); 2) BCE y bancos centrales (diez países en distintas divisas: no suman); 3) sin ficha de sector de banca en sectores/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calificaciones ESG</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financiero (no las da); 2) web de accionistas (bloqueada por Incapsula); 3) prensa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consejo completo, votos de la junta de 2026, remuneración individual y operaciones de directivos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santander.com (Incapsula bloquea la descarga); 2) informe financiero del 2T26 (solo cambios de dirección); 3) CNMV (operaciones de directivos: no consultadas por tiempo)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posición corta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Yahoo (no la da para SAN.MC); 2) CNMV posiciones cortas (no consultada por tiempo); 3) prensa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de TSB</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financiero del 2T26 (no da el precio); 2) nota de prensa; 3) prensa (no buscada por tiempo)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sentimiento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de inversores (Rankia, Reddit, Stocktwits)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Rankia (no probado por tiempo); 2) Reddit (403 habitual); 3) prensa para particulares (usada)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Informe Financiero enero-junio 2026 (inglés): datos clave, cuenta ordinaria y estatutaria, segmentos primarios y secundarios, capital, riesgo, TNAV por acción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Banco Santander, S.A. (SEC, 6-K)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22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https://www.sec.gov/Archives/edgar/data/891478/000089147826000076/financieroq226ingles.htm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Informes anuales ESEF 2021-2025 (cuenta, balance y flujos consolidados NIIF; XBRL)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Banco Santander, S.A. (filings.xbrl.org, LEI 5493006QMFDDMYWIAM13)</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27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https://filings.xbrl.org/5493006QMFDDMYWIAM13/2025-12-31/ESEF/ES/0/5493006QMFDDMYWIAM13-2025-12-31-1-es.json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Presentación de resultados del 2T26 (por país, capital, liquidez, objetivos de 2026 y 2028)</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Santander, S.A. (SEC, 6-K)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https://www.sec.gov/Archives/edgar/data/891478/000089147826000073/q22026earningspresentati.htm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prensa de resultados enero-junio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Santander, S.A. (SEC, 6-K)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https://www.sec.gov/Archives/edgar/data/891478/000089147826000069/q22026pr.htm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Conclusión de la compra de Webster y ejecución de la ampliación de capital (329.846.438 acciones nuevas a 10,7896 €)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Santander, S.A. (SEC, 6-K)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https://www.sec.gov/Archives/edgar/data/891478/000095010326012672/dp251664_6k.htm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 del programa de recompra de 5.030 M € (462.683.139 acciones, 3,08 % del capital) y reducción de capital a 14.556.482.801 acciones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Santander, S.A. (SEC, 6-K)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https://www.sec.gov/Archives/edgar/data/891478/000095010326012763/dp252120_6k.htm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Inscripción de la ampliación de Webster: capital de 15.019.165.940 acciones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Santander, S.A. (SEC, 6-K)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https://www.sec.gov/Archives/edgar/data/891478/000095010326013308/dp252656_6k.htm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Programa de recompra de 1.825 M € con cargo al 1S26 (inicio el 24-ago, fin indicativo el 8-ene-2027)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Santander, S.A. (SEC, 6-K)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https://www.sec.gov/Archives/edgar/data/891478/000095010326012104/dp251544_6k.htm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Operaciones del programa de recompra hasta el 21-oct-2026 (1.474 M €, 80,8 %)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Santander, S.A. (SEC, 6-K)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https://www.sec.gov/Archives/edgar/data/891478/000095010326015990/dp255361_6k.htm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Dividendo a cuenta de 2026 de 12,7 céntimos (último día con derecho el 28-oct, pago el 2-nov) y política de remuneración 2026-2028</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Santander, S.A. (SEC, 6-K)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https://www.sec.gov/Archives/edgar/data/891478/000095010326014666/dp254007_6k.htm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Webster Reports Second Quarter 2026 EPS (TBV por acción 38,81 USD; 162,0 M de acciones; ROATCE 16,7 %)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Webster Financial Corporation (SEC, 8-K)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https://sec.gov/Archives/edgar/data/801337/000080133726000021/exhibit991earningsrelease2.htm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 quoteSummary de los bancos comparables (capitalización, ROE, P/VC, PER adelantado), 27-oct-2026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https://finance.yahoo.com/quote/SAN.MC/</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Santander, BBVA y CaixaBank afrontan octubre de 2026 con resultados, dividendos y tipos (BCE +25 p.b. en septiembre, euríbor 3,247 %)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DailyForex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https://es.dailyforex.com/stock-market-today/2026/10/santander-bbva-y-caixabank-afrontan-octubre-2026-con-resultados-dividendos-ytipos/250330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Santander gana un 31,3 % más en el primer semestre por la venta de Polonia y el negocio de TSB (declaraciones de Ana Botín y Héctor Grisi)</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Debate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https://www.eldebate.com/economia/20260722/santander-gana-313-primer-semestre-venta-polonia-negocio-tsb_442216.html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Santander ante el duelo Lula-Bolsonaro: ¿qué escenario favorece más al banco? (Brasil, 16 % del beneficio de 2025 según Jefferies; sensibilidad a la Selic)</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Estrategias de Inversión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https://www.estrategiasdeinversion.com/actualidad/noticias/bolsa-espana/banco-santander-ante-el-duelo-lula-bolsonaro-que-n-957101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Santander propone a Héctor Grisi como nuevo consejero delegado en sustitución de José Antonio Álvarez</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Estrategias de Inversión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jun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https://www.estrategiasdeinversion.com/actualidad/noticias/bolsa-espana/santander-propone-a-hector-grisi-como-nuevo-consejero-n-535219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Oferta de canje por Santander Brasil (press release, 30-jul-2026)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Santander, S.A. (SEC, 6-K)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https://www.sec.gov/Archives/edgar/data/891478/000095010326011481/dp250874_6k.htm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 históricos diarios (SAN.MC, ^IBEX, EXV1.DE, ^STOXX) hasta el 26-oct-2026 (bolsa.mjs)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https://finance.yahoo.com/quote/SAN.MC/history/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 quoteSummary (precio, consenso, objetivos, P/VC, ROE) de SAN.MC, SAN y comparables, 27-oct-2026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https://finance.yahoo.com/quote/SAN.MC/analysis/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Rendimiento de los valores del Estado alemán a 10 años (serie BBSIS D.I.ZST.ZI.EUR.S1311.B.A604.R10XX.R.A.A._Z._Z.A): 3,43 % el 26-oct-2026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Deutsche Bundesbank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https://api.statistiken.bundesbank.de/rest/data/BBSIS/D.I.ZST.ZI.EUR.S1311.B.A604.R10XX.R.A.A._Z._Z.A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 4,20 % en 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Country Default Spreads and Risk Premiums (ctryprem.xlsx, actualización de ene-2026)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https://pages.stern.nyu.edu/~adamodar/pc/datasets/ctryprem.xlsx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Fato relevante: registro de las ofertas en la CVM, B3 y SEC (F-4) (Form 425)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Santander, S.A.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https://www.sec.gov/Archives/edgar/data/891478/000095010326014284/dp253665_425.htm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Santander presentará los resultados de los nueve primeros meses de 2026 el miércoles 28-oct (conferencia a las 10:00)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Santander, S.A. (SEC, 6-K)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https://www.sec.gov/Archives/edgar/data/891478/000095010326015936/dp255253_6k.htm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Aprobaciones y cierre previsto de la compra de Webster (OCC 12-jun, BCE 21-jul, Fed 4-ago; cierre el 20-ago)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Santander, S.A. (SEC, 6-K)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https://www.sec.gov/Archives/edgar/data/891478/000095010326011921/dp250447_6k.htm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Webster / Banco Santander: términos de la compra (75,59 USD por acción: 48,75 USD en efectivo + 2,0548 ADS; ≈ 12.300 M USD)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Webster Financial Corporation (SEC, 8-K)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https://www.sec.gov/Archives/edgar/data/801337/000119312526035891/d101831dex991.htm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Calendario de resultados del 3T2026 (Santander el 28-oct)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Estrategias de Inversión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https://www.estrategiasdeinversion.com/actualidad/noticias/bolsa-espana/calendario-de-resultados-del-3t2026-de-todas-las-n-959313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de Santander Brasil del 27-oct-2026 (precio de SANB11, valor de canje, reacción del 26-oct)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Elaboración propia (informes/santander-brasil-2026-10-27/)</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Valoración bancaria de Banco Santander: exceso de rentabilidad sobre el valor tangible, P/VTC justificado, Ke en euros con prima por país ponderada, oferta por Santander Brasil y sensibilidades (valoracion-banco.md, generado por notas/valoracion-banco.mjs)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Elaboración propia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85,1 %</w:t>
      </w:r>
      <w:r>
        <w:t xml:space="preserve"> · Secciones con menos del 60 % de campos cubiertos: </w:t>
      </w:r>
      <w:r>
        <w:rPr>
          <w:b/>
          <w:bCs/>
        </w:rPr>
        <w:t xml:space="preserve">gobierno</w:t>
      </w:r>
      <w:r>
        <w:t xml:space="preserve"> · Generado el 27 oct 2026.</w:t>
      </w:r>
    </w:p>
    <w:p>
      <w:pPr>
        <w:pStyle w:val="Nota"/>
        <w:spacing w:after="100"/>
      </w:pPr>
      <w:r>
        <w:t xml:space="preserve">ES UN BANCO y el motor no tiene modelo de bancos: EBITDA, ROIC, valor empresa, deuda neta, circulante, Altman Z y Piotroski no significan nada aquí. Adaptaciones, las mismas que en Itaú, BTG y Santander Brasil del 27-oct: (1) la calidad se mide con RoTE ordinario − Ke (y con RoE, que incluye el fondo de comercio) en lugar de ROIC − WACC, con la misma regla de nunca menos de 4,5 puntos; (2) el valor intrínseco sale de un modelo de exceso de rentabilidad sobre el valor contable tangible por acción (residual income) con P/VTC justificado de contraste (valoracion-banco.md [29]), que entra al 100 % como «suma de partes» con valor directo; (3) el DCF del motor es un flujo para el accionista (beneficio − retención para crecer con el CET1, deuda 0) y solo es comprobación (peso 0). Bases contables: la serie histórica del informe es NIIF del ESEF 2021-2025 [2] (2023 y 2024 reexpresados sin Polonia); el BPA, el RoTE, la regla a 12 meses y el modelo bancario usan la cuenta ordinaria («underlying») del Informe Financiero del 2T26 [1]. Millones de EUR. Línea de compra: SAN en Madrid, 11,154 € al cierre del 26-oct-2026 [18]; ADS SAN en la NYSE (1 ADS = 1 acción). Último trimestre publicado: 2T26; el 3T26 sale mañana, 28-oct, antes de la apertura [24]. El VTC de partida incluye una estimación propia del fondo de comercio de Webster (≈ 5.000 M) [29].</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27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Banco Santander, S.A. (SAN.MC)</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11,15</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(8,48 – 13,12)</c:v>
                </c:pt>
                <c:pt idx="1">
                  <c:v>Precio objetivo de los analistas (11,30 – 15,30)</c:v>
                </c:pt>
                <c:pt idx="2">
                  <c:v>Comparables: PER NTM (10,31 – 11,64)</c:v>
                </c:pt>
                <c:pt idx="3">
                  <c:v>DCF (WACC y g ± 0,5) (9,44 – 11,25)</c:v>
                </c:pt>
                <c:pt idx="4">
                  <c:v>Escenarios (bajista – alcista) (6,38 – 13,21)</c:v>
                </c:pt>
                <c:pt idx="5">
                  <c:v>Suma de partes (8,54 – 11,56)</c:v>
                </c:pt>
                <c:pt idx="6">
                  <c:v>DCF con la prima implícita del mercado (4,2 %)</c:v>
                </c:pt>
                <c:pt idx="7">
                  <c:v>Precio actual (11,15)</c:v>
                </c:pt>
              </c:strCache>
            </c:strRef>
          </c:cat>
          <c:val>
            <c:numRef>
              <c:f>Hoja1!$B$2:$B$9</c:f>
              <c:numCache>
                <c:formatCode>#,##0.0</c:formatCode>
                <c:ptCount val="8"/>
                <c:pt idx="0">
                  <c:v>8.48</c:v>
                </c:pt>
                <c:pt idx="1">
                  <c:v>11.3</c:v>
                </c:pt>
                <c:pt idx="2">
                  <c:v>10.31</c:v>
                </c:pt>
                <c:pt idx="3">
                  <c:v>9.44</c:v>
                </c:pt>
                <c:pt idx="4">
                  <c:v>6.38</c:v>
                </c:pt>
                <c:pt idx="5">
                  <c:v>8.54</c:v>
                </c:pt>
                <c:pt idx="6">
                  <c:v>11.75</c:v>
                </c:pt>
                <c:pt idx="7">
                  <c:v>11.1</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(8,48 – 13,12)</c:v>
                </c:pt>
                <c:pt idx="1">
                  <c:v>Precio objetivo de los analistas (11,30 – 15,30)</c:v>
                </c:pt>
                <c:pt idx="2">
                  <c:v>Comparables: PER NTM (10,31 – 11,64)</c:v>
                </c:pt>
                <c:pt idx="3">
                  <c:v>DCF (WACC y g ± 0,5) (9,44 – 11,25)</c:v>
                </c:pt>
                <c:pt idx="4">
                  <c:v>Escenarios (bajista – alcista) (6,38 – 13,21)</c:v>
                </c:pt>
                <c:pt idx="5">
                  <c:v>Suma de partes (8,54 – 11,56)</c:v>
                </c:pt>
                <c:pt idx="6">
                  <c:v>DCF con la prima implícita del mercado (4,2 %)</c:v>
                </c:pt>
                <c:pt idx="7">
                  <c:v>Precio actual (11,15)</c:v>
                </c:pt>
              </c:strCache>
            </c:strRef>
          </c:cat>
          <c:val>
            <c:numRef>
              <c:f>Hoja1!$C$2:$C$9</c:f>
              <c:numCache>
                <c:formatCode>#,##0.0</c:formatCode>
                <c:ptCount val="8"/>
                <c:pt idx="0">
                  <c:v>4.639999999999999</c:v>
                </c:pt>
                <c:pt idx="1">
                  <c:v>4</c:v>
                </c:pt>
                <c:pt idx="2">
                  <c:v>1.33</c:v>
                </c:pt>
                <c:pt idx="3">
                  <c:v>1.8100000000000005</c:v>
                </c:pt>
                <c:pt idx="4">
                  <c:v>6.830000000000001</c:v>
                </c:pt>
                <c:pt idx="5">
                  <c:v>3.0200000000000014</c:v>
                </c:pt>
                <c:pt idx="6">
                  <c:v>1.7699999999999996</c:v>
                </c:pt>
                <c:pt idx="7">
                  <c:v>0.11000000000000121</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5"/>
        </c:scaling>
        <c:delete val="0"/>
        <c:axPos val="b"/>
        <c:majorGridlines>
          <c:spPr>
            <a:ln w="6350">
              <a:solidFill>
                <a:srgbClr val="E4E3DF"/>
              </a:solidFill>
            </a:ln>
          </c:spPr>
        </c:majorGridlines>
        <c:numFmt formatCode="#,##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(EUR, millones)</a:t>
            </a:r>
          </a:p>
        </c:rich>
      </c:tx>
      <c:overlay val="0"/>
    </c:title>
    <c:autoTitleDeleted val="0"/>
    <c:plotArea>
      <c:layout/>
      <c:barChart>
        <c:barDir val="col"/>
        <c:grouping val="stacked"/>
        <c:varyColors val="0"/>
        <c:ser>
          <c:idx val="0"/>
          <c:order val="0"/>
          <c:tx>
            <c:strRef>
              <c:f>Hoja1!$B$1</c:f>
              <c:strCache>
                <c:ptCount val="1"/>
                <c:pt idx="0">
                  <c:v>Retail &amp; Commercial Banking</c:v>
                </c:pt>
              </c:strCache>
            </c:strRef>
          </c:tx>
          <c:spPr>
            <a:solidFill>
              <a:srgbClr val="2A78D6"/>
            </a:solidFill>
            <a:ln w="12700">
              <a:solidFill>
                <a:srgbClr val="FFFFFF"/>
              </a:solidFill>
            </a:ln>
          </c:spPr>
          <c:invertIfNegative val="0"/>
          <c:cat>
            <c:strRef>
              <c:f>Hoja1!$A$2:$A$3</c:f>
              <c:strCache>
                <c:ptCount val="2"/>
                <c:pt idx="0">
                  <c:v>1S25</c:v>
                </c:pt>
                <c:pt idx="1">
                  <c:v>1S26</c:v>
                </c:pt>
              </c:strCache>
            </c:strRef>
          </c:cat>
          <c:val>
            <c:numRef>
              <c:f>Hoja1!$B$2:$B$3</c:f>
              <c:numCache>
                <c:formatCode>#,##0</c:formatCode>
                <c:ptCount val="2"/>
                <c:pt idx="0">
                  <c:v>16202</c:v>
                </c:pt>
                <c:pt idx="1">
                  <c:v>17135</c:v>
                </c:pt>
              </c:numCache>
            </c:numRef>
          </c:val>
        </c:ser>
        <c:ser>
          <c:idx val="1"/>
          <c:order val="1"/>
          <c:tx>
            <c:strRef>
              <c:f>Hoja1!$C$1</c:f>
              <c:strCache>
                <c:ptCount val="1"/>
                <c:pt idx="0">
                  <c:v>Openbank (antes Digital Consumer Bank)</c:v>
                </c:pt>
              </c:strCache>
            </c:strRef>
          </c:tx>
          <c:spPr>
            <a:solidFill>
              <a:srgbClr val="EB6834"/>
            </a:solidFill>
            <a:ln w="12700">
              <a:solidFill>
                <a:srgbClr val="FFFFFF"/>
              </a:solidFill>
            </a:ln>
          </c:spPr>
          <c:invertIfNegative val="0"/>
          <c:cat>
            <c:strRef>
              <c:f>Hoja1!$A$2:$A$3</c:f>
              <c:strCache>
                <c:ptCount val="2"/>
                <c:pt idx="0">
                  <c:v>1S25</c:v>
                </c:pt>
                <c:pt idx="1">
                  <c:v>1S26</c:v>
                </c:pt>
              </c:strCache>
            </c:strRef>
          </c:cat>
          <c:val>
            <c:numRef>
              <c:f>Hoja1!$C$2:$C$3</c:f>
              <c:numCache>
                <c:formatCode>#,##0</c:formatCode>
                <c:ptCount val="2"/>
                <c:pt idx="0">
                  <c:v>6425</c:v>
                </c:pt>
                <c:pt idx="1">
                  <c:v>6535</c:v>
                </c:pt>
              </c:numCache>
            </c:numRef>
          </c:val>
        </c:ser>
        <c:ser>
          <c:idx val="2"/>
          <c:order val="2"/>
          <c:tx>
            <c:strRef>
              <c:f>Hoja1!$D$1</c:f>
              <c:strCache>
                <c:ptCount val="1"/>
                <c:pt idx="0">
                  <c:v>Corporate &amp; Investment Banking</c:v>
                </c:pt>
              </c:strCache>
            </c:strRef>
          </c:tx>
          <c:spPr>
            <a:solidFill>
              <a:srgbClr val="1BAF7A"/>
            </a:solidFill>
            <a:ln w="12700">
              <a:solidFill>
                <a:srgbClr val="FFFFFF"/>
              </a:solidFill>
            </a:ln>
          </c:spPr>
          <c:invertIfNegative val="0"/>
          <c:cat>
            <c:strRef>
              <c:f>Hoja1!$A$2:$A$3</c:f>
              <c:strCache>
                <c:ptCount val="2"/>
                <c:pt idx="0">
                  <c:v>1S25</c:v>
                </c:pt>
                <c:pt idx="1">
                  <c:v>1S26</c:v>
                </c:pt>
              </c:strCache>
            </c:strRef>
          </c:cat>
          <c:val>
            <c:numRef>
              <c:f>Hoja1!$D$2:$D$3</c:f>
              <c:numCache>
                <c:formatCode>#,##0</c:formatCode>
                <c:ptCount val="2"/>
                <c:pt idx="0">
                  <c:v>4119</c:v>
                </c:pt>
                <c:pt idx="1">
                  <c:v>4779</c:v>
                </c:pt>
              </c:numCache>
            </c:numRef>
          </c:val>
        </c:ser>
        <c:ser>
          <c:idx val="3"/>
          <c:order val="3"/>
          <c:tx>
            <c:strRef>
              <c:f>Hoja1!$E$1</c:f>
              <c:strCache>
                <c:ptCount val="1"/>
                <c:pt idx="0">
                  <c:v>Wealth Management &amp; Insurance</c:v>
                </c:pt>
              </c:strCache>
            </c:strRef>
          </c:tx>
          <c:spPr>
            <a:solidFill>
              <a:srgbClr val="EDA100"/>
            </a:solidFill>
            <a:ln w="12700">
              <a:solidFill>
                <a:srgbClr val="FFFFFF"/>
              </a:solidFill>
            </a:ln>
          </c:spPr>
          <c:invertIfNegative val="0"/>
          <c:cat>
            <c:strRef>
              <c:f>Hoja1!$A$2:$A$3</c:f>
              <c:strCache>
                <c:ptCount val="2"/>
                <c:pt idx="0">
                  <c:v>1S25</c:v>
                </c:pt>
                <c:pt idx="1">
                  <c:v>1S26</c:v>
                </c:pt>
              </c:strCache>
            </c:strRef>
          </c:cat>
          <c:val>
            <c:numRef>
              <c:f>Hoja1!$E$2:$E$3</c:f>
              <c:numCache>
                <c:formatCode>#,##0</c:formatCode>
                <c:ptCount val="2"/>
                <c:pt idx="0">
                  <c:v>1930</c:v>
                </c:pt>
                <c:pt idx="1">
                  <c:v>2093</c:v>
                </c:pt>
              </c:numCache>
            </c:numRef>
          </c:val>
        </c:ser>
        <c:ser>
          <c:idx val="4"/>
          <c:order val="4"/>
          <c:tx>
            <c:strRef>
              <c:f>Hoja1!$F$1</c:f>
              <c:strCache>
                <c:ptCount val="1"/>
                <c:pt idx="0">
                  <c:v>Payments</c:v>
                </c:pt>
              </c:strCache>
            </c:strRef>
          </c:tx>
          <c:spPr>
            <a:solidFill>
              <a:srgbClr val="E87BA4"/>
            </a:solidFill>
            <a:ln w="12700">
              <a:solidFill>
                <a:srgbClr val="FFFFFF"/>
              </a:solidFill>
            </a:ln>
          </c:spPr>
          <c:invertIfNegative val="0"/>
          <c:cat>
            <c:strRef>
              <c:f>Hoja1!$A$2:$A$3</c:f>
              <c:strCache>
                <c:ptCount val="2"/>
                <c:pt idx="0">
                  <c:v>1S25</c:v>
                </c:pt>
                <c:pt idx="1">
                  <c:v>1S26</c:v>
                </c:pt>
              </c:strCache>
            </c:strRef>
          </c:cat>
          <c:val>
            <c:numRef>
              <c:f>Hoja1!$F$2:$F$3</c:f>
              <c:numCache>
                <c:formatCode>#,##0</c:formatCode>
                <c:ptCount val="2"/>
                <c:pt idx="0">
                  <c:v>641</c:v>
                </c:pt>
                <c:pt idx="1">
                  <c:v>771</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(1S26)</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Pt>
            <c:idx val="3"/>
            <c:bubble3D val="0"/>
            <c:spPr>
              <a:solidFill>
                <a:srgbClr val="EDA100"/>
              </a:solidFill>
              <a:ln w="19050">
                <a:solidFill>
                  <a:srgbClr val="FFFFFF"/>
                </a:solidFill>
              </a:ln>
            </c:spPr>
          </c:dPt>
          <c:dPt>
            <c:idx val="4"/>
            <c:bubble3D val="0"/>
            <c:spPr>
              <a:solidFill>
                <a:srgbClr val="E87BA4"/>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Hoja1!$A$2:$A$6</c:f>
              <c:strCache>
                <c:ptCount val="5"/>
                <c:pt idx="0">
                  <c:v>Retail &amp; Commercial Banking</c:v>
                </c:pt>
                <c:pt idx="1">
                  <c:v>Openbank (antes Digital Consumer Bank)</c:v>
                </c:pt>
                <c:pt idx="2">
                  <c:v>Corporate &amp; Investment Banking</c:v>
                </c:pt>
                <c:pt idx="3">
                  <c:v>Wealth Management &amp; Insurance</c:v>
                </c:pt>
                <c:pt idx="4">
                  <c:v>Payments</c:v>
                </c:pt>
              </c:strCache>
            </c:strRef>
          </c:cat>
          <c:val>
            <c:numRef>
              <c:f>Hoja1!$B$2:$B$6</c:f>
              <c:numCache>
                <c:formatCode>General</c:formatCode>
                <c:ptCount val="5"/>
                <c:pt idx="0">
                  <c:v>54.7</c:v>
                </c:pt>
                <c:pt idx="1">
                  <c:v>20.9</c:v>
                </c:pt>
                <c:pt idx="2">
                  <c:v>15.3</c:v>
                </c:pt>
                <c:pt idx="3">
                  <c:v>6.7</c:v>
                </c:pt>
                <c:pt idx="4">
                  <c:v>2.5</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beneficio ordinario del 1S26 por segmento secundario, sin el centro corporativo [1]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España</c:v>
                </c:pt>
                <c:pt idx="1">
                  <c:v>Brasil</c:v>
                </c:pt>
                <c:pt idx="2">
                  <c:v>Estados Unidos</c:v>
                </c:pt>
                <c:pt idx="3">
                  <c:v>México</c:v>
                </c:pt>
                <c:pt idx="4">
                  <c:v>Reino Unido</c:v>
                </c:pt>
                <c:pt idx="5">
                  <c:v>Portugal</c:v>
                </c:pt>
                <c:pt idx="6">
                  <c:v>Chile</c:v>
                </c:pt>
                <c:pt idx="7">
                  <c:v>Openbank Europa</c:v>
                </c:pt>
                <c:pt idx="8">
                  <c:v>Argentina</c:v>
                </c:pt>
                <c:pt idx="9">
                  <c:v>Resto</c:v>
                </c:pt>
              </c:strCache>
            </c:strRef>
          </c:cat>
          <c:val>
            <c:numRef>
              <c:f>Hoja1!$B$2:$B$11</c:f>
              <c:numCache>
                <c:formatCode>0"%"</c:formatCode>
                <c:ptCount val="10"/>
                <c:pt idx="0">
                  <c:v>32.3</c:v>
                </c:pt>
                <c:pt idx="1">
                  <c:v>13.9</c:v>
                </c:pt>
                <c:pt idx="2">
                  <c:v>12.6</c:v>
                </c:pt>
                <c:pt idx="3">
                  <c:v>11.4</c:v>
                </c:pt>
                <c:pt idx="4">
                  <c:v>9.2</c:v>
                </c:pt>
                <c:pt idx="5">
                  <c:v>6</c:v>
                </c:pt>
                <c:pt idx="6">
                  <c:v>6</c:v>
                </c:pt>
                <c:pt idx="7">
                  <c:v>3.2</c:v>
                </c:pt>
                <c:pt idx="8">
                  <c:v>2.5</c:v>
                </c:pt>
                <c:pt idx="9">
                  <c:v>2.9</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4</c:v>
                </c:pt>
                <c:pt idx="1">
                  <c:v>3</c:v>
                </c:pt>
                <c:pt idx="2">
                  <c:v>2</c:v>
                </c:pt>
                <c:pt idx="3">
                  <c:v>3</c:v>
                </c:pt>
                <c:pt idx="4">
                  <c:v>3</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Banco Santander</c:v>
                </c:pt>
                <c:pt idx="1">
                  <c:v>BBVA</c:v>
                </c:pt>
                <c:pt idx="2">
                  <c:v>CaixaBank</c:v>
                </c:pt>
                <c:pt idx="3">
                  <c:v>BNP Paribas</c:v>
                </c:pt>
                <c:pt idx="4">
                  <c:v>UniCredit</c:v>
                </c:pt>
                <c:pt idx="5">
                  <c:v>ING</c:v>
                </c:pt>
                <c:pt idx="6">
                  <c:v>HSBC</c:v>
                </c:pt>
                <c:pt idx="7">
                  <c:v>Itaú Unibanco</c:v>
                </c:pt>
              </c:strCache>
            </c:strRef>
          </c:cat>
          <c:val>
            <c:numRef>
              <c:f>Hoja1!$B$2:$B$9</c:f>
              <c:numCache>
                <c:formatCode>0.0"%"</c:formatCode>
                <c:ptCount val="8"/>
                <c:pt idx="0">
                  <c:v>42.2</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2</c:v>
                </c:pt>
                <c:pt idx="1">
                  <c:v>3</c:v>
                </c:pt>
                <c:pt idx="2">
                  <c:v>3</c:v>
                </c:pt>
                <c:pt idx="3">
                  <c:v>3</c:v>
                </c:pt>
                <c:pt idx="4">
                  <c:v>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(EUR,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Hoja1!$A$2:$A$16</c:f>
              <c:strCache>
                <c:ptCount val="15"/>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pt idx="13">
                  <c:v>2034e</c:v>
                </c:pt>
                <c:pt idx="14">
                  <c:v>2035e</c:v>
                </c:pt>
              </c:strCache>
            </c:strRef>
          </c:cat>
          <c:val>
            <c:numRef>
              <c:f>Hoja1!$B$2:$B$16</c:f>
              <c:numCache>
                <c:formatCode>#,##0</c:formatCode>
                <c:ptCount val="15"/>
                <c:pt idx="0">
                  <c:v>35530</c:v>
                </c:pt>
                <c:pt idx="1">
                  <c:v>38451</c:v>
                </c:pt>
                <c:pt idx="2">
                  <c:v>39046</c:v>
                </c:pt>
                <c:pt idx="3">
                  <c:v>41809</c:v>
                </c:pt>
                <c:pt idx="4">
                  <c:v>42727</c:v>
                </c:pt>
                <c:pt idx="5">
                  <c:v>45718</c:v>
                </c:pt>
                <c:pt idx="6">
                  <c:v>48918</c:v>
                </c:pt>
                <c:pt idx="7">
                  <c:v>52098</c:v>
                </c:pt>
                <c:pt idx="8">
                  <c:v>55224</c:v>
                </c:pt>
                <c:pt idx="9">
                  <c:v>58261</c:v>
                </c:pt>
                <c:pt idx="10">
                  <c:v>61174</c:v>
                </c:pt>
                <c:pt idx="11">
                  <c:v>63927</c:v>
                </c:pt>
                <c:pt idx="12">
                  <c:v>66484</c:v>
                </c:pt>
                <c:pt idx="13">
                  <c:v>68811</c:v>
                </c:pt>
                <c:pt idx="14">
                  <c:v>70875</c:v>
                </c:pt>
              </c:numCache>
            </c:numRef>
          </c:val>
        </c:ser>
        <c:ser>
          <c:idx val="1"/>
          <c:order val="1"/>
          <c:tx>
            <c:strRef>
              <c:f>Hoja1!$C$1</c:f>
              <c:strCache>
                <c:ptCount val="1"/>
                <c:pt idx="0">
                  <c:v>EBITDA</c:v>
                </c:pt>
              </c:strCache>
            </c:strRef>
          </c:tx>
          <c:spPr>
            <a:solidFill>
              <a:srgbClr val="EB6834"/>
            </a:solidFill>
            <a:ln w="9525">
              <a:noFill/>
            </a:ln>
          </c:spPr>
          <c:invertIfNegative val="0"/>
          <c:cat>
            <c:strRef>
              <c:f>Hoja1!$A$2:$A$16</c:f>
              <c:strCache>
                <c:ptCount val="15"/>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pt idx="13">
                  <c:v>2034e</c:v>
                </c:pt>
                <c:pt idx="14">
                  <c:v>2035e</c:v>
                </c:pt>
              </c:strCache>
            </c:strRef>
          </c:cat>
          <c:val>
            <c:numRef>
              <c:f>Hoja1!$C$2:$C$16</c:f>
              <c:numCache>
                <c:formatCode>#,##0</c:formatCode>
                <c:ptCount val="15"/>
                <c:pt idx="0">
                  <c:v>14115</c:v>
                </c:pt>
                <c:pt idx="1">
                  <c:v>14548</c:v>
                </c:pt>
                <c:pt idx="2">
                  <c:v>14414</c:v>
                </c:pt>
                <c:pt idx="3">
                  <c:v>16660</c:v>
                </c:pt>
                <c:pt idx="4">
                  <c:v>18016</c:v>
                </c:pt>
                <c:pt idx="5">
                  <c:v>18561</c:v>
                </c:pt>
                <c:pt idx="6">
                  <c:v>20839</c:v>
                </c:pt>
                <c:pt idx="7">
                  <c:v>23236</c:v>
                </c:pt>
                <c:pt idx="8">
                  <c:v>25458</c:v>
                </c:pt>
                <c:pt idx="9">
                  <c:v>26975</c:v>
                </c:pt>
                <c:pt idx="10">
                  <c:v>27651</c:v>
                </c:pt>
                <c:pt idx="11">
                  <c:v>28192</c:v>
                </c:pt>
                <c:pt idx="12">
                  <c:v>29452</c:v>
                </c:pt>
                <c:pt idx="13">
                  <c:v>29726</c:v>
                </c:pt>
                <c:pt idx="14">
                  <c:v>30831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EBITDA</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39.7</c:v>
                </c:pt>
                <c:pt idx="1">
                  <c:v>37.8</c:v>
                </c:pt>
                <c:pt idx="2">
                  <c:v>36.9</c:v>
                </c:pt>
                <c:pt idx="3">
                  <c:v>39.8</c:v>
                </c:pt>
                <c:pt idx="4">
                  <c:v>42.2</c:v>
                </c:pt>
              </c:numCache>
            </c:numRef>
          </c:val>
          <c:smooth val="0"/>
        </c:ser>
        <c:ser>
          <c:idx val="1"/>
          <c:order val="1"/>
          <c:tx>
            <c:strRef>
              <c:f>Hoja1!$C$1</c:f>
              <c:strCache>
                <c:ptCount val="1"/>
                <c:pt idx="0">
                  <c:v>EBIT</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39.7</c:v>
                </c:pt>
                <c:pt idx="1">
                  <c:v>37.8</c:v>
                </c:pt>
                <c:pt idx="2">
                  <c:v>36.9</c:v>
                </c:pt>
                <c:pt idx="3">
                  <c:v>39.8</c:v>
                </c:pt>
                <c:pt idx="4">
                  <c:v>42.2</c:v>
                </c:pt>
              </c:numCache>
            </c:numRef>
          </c:val>
          <c:smooth val="0"/>
        </c:ser>
        <c:ser>
          <c:idx val="2"/>
          <c:order val="2"/>
          <c:tx>
            <c:strRef>
              <c:f>Hoja1!$D$1</c:f>
              <c:strCache>
                <c:ptCount val="1"/>
                <c:pt idx="0">
                  <c:v>Neto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22.9</c:v>
                </c:pt>
                <c:pt idx="1">
                  <c:v>25</c:v>
                </c:pt>
                <c:pt idx="2">
                  <c:v>28.4</c:v>
                </c:pt>
                <c:pt idx="3">
                  <c:v>30.1</c:v>
                </c:pt>
                <c:pt idx="4">
                  <c:v>33</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Hoja1!$A$2:$A$3</c:f>
              <c:strCache>
                <c:ptCount val="2"/>
                <c:pt idx="0">
                  <c:v>1T26</c:v>
                </c:pt>
                <c:pt idx="1">
                  <c:v>2T26</c:v>
                </c:pt>
              </c:strCache>
            </c:strRef>
          </c:cat>
          <c:val>
            <c:numRef>
              <c:f>Hoja1!$B$2:$B$3</c:f>
              <c:numCache>
                <c:formatCode>0.0"%"</c:formatCode>
                <c:ptCount val="2"/>
                <c:pt idx="1">
                  <c:v>9</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Hoja1!$A$2:$A$3</c:f>
              <c:strCache>
                <c:ptCount val="2"/>
                <c:pt idx="0">
                  <c:v>1T26</c:v>
                </c:pt>
                <c:pt idx="1">
                  <c:v>2T26</c:v>
                </c:pt>
              </c:strCache>
            </c:strRef>
          </c:cat>
          <c:val>
            <c:numRef>
              <c:f>Hoja1!$C$2:$C$3</c:f>
              <c:numCache>
                <c:formatCode>0.0"%"</c:formatCode>
                <c:ptCount val="2"/>
                <c:pt idx="1">
                  <c:v>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0</c:v>
                </c:pt>
                <c:pt idx="1">
                  <c:v>0</c:v>
                </c:pt>
                <c:pt idx="2">
                  <c:v>0</c:v>
                </c:pt>
                <c:pt idx="3">
                  <c:v>0</c:v>
                </c:pt>
                <c:pt idx="4">
                  <c:v>0</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0</c:v>
                </c:pt>
                <c:pt idx="1">
                  <c:v>0</c:v>
                </c:pt>
                <c:pt idx="2">
                  <c:v>0</c:v>
                </c:pt>
                <c:pt idx="3">
                  <c:v>0</c:v>
                </c:pt>
                <c:pt idx="4">
                  <c:v>0</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0</c:v>
                </c:pt>
                <c:pt idx="1">
                  <c:v>0</c:v>
                </c:pt>
                <c:pt idx="2">
                  <c:v>0</c:v>
                </c:pt>
                <c:pt idx="3">
                  <c:v>0</c:v>
                </c:pt>
                <c:pt idx="4">
                  <c:v>0</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(EUR,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8124</c:v>
                </c:pt>
                <c:pt idx="1">
                  <c:v>9605</c:v>
                </c:pt>
                <c:pt idx="2">
                  <c:v>11076</c:v>
                </c:pt>
                <c:pt idx="3">
                  <c:v>12574</c:v>
                </c:pt>
                <c:pt idx="4">
                  <c:v>14101</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8124</c:v>
                </c:pt>
                <c:pt idx="1">
                  <c:v>9605</c:v>
                </c:pt>
                <c:pt idx="2">
                  <c:v>11076</c:v>
                </c:pt>
                <c:pt idx="3">
                  <c:v>12574</c:v>
                </c:pt>
                <c:pt idx="4">
                  <c:v>14101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9.7</c:v>
                </c:pt>
                <c:pt idx="1">
                  <c:v>10.6</c:v>
                </c:pt>
                <c:pt idx="2">
                  <c:v>10.6</c:v>
                </c:pt>
                <c:pt idx="3">
                  <c:v>11.4</c:v>
                </c:pt>
                <c:pt idx="4">
                  <c:v>12.2</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12.1</c:v>
                </c:pt>
                <c:pt idx="1">
                  <c:v>12.1</c:v>
                </c:pt>
                <c:pt idx="2">
                  <c:v>12.1</c:v>
                </c:pt>
                <c:pt idx="3">
                  <c:v>12.1</c:v>
                </c:pt>
                <c:pt idx="4">
                  <c:v>12.1</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9.3</c:v>
                </c:pt>
                <c:pt idx="1">
                  <c:v>10.9</c:v>
                </c:pt>
                <c:pt idx="2">
                  <c:v>12</c:v>
                </c:pt>
                <c:pt idx="3">
                  <c:v>13</c:v>
                </c:pt>
                <c:pt idx="4">
                  <c:v>14</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2021</c:v>
                </c:pt>
                <c:pt idx="1">
                  <c:v>2022</c:v>
                </c:pt>
                <c:pt idx="2">
                  <c:v>2023</c:v>
                </c:pt>
                <c:pt idx="3">
                  <c:v>2024</c:v>
                </c:pt>
                <c:pt idx="4">
                  <c:v>2025</c:v>
                </c:pt>
              </c:strCache>
            </c:strRef>
          </c:cat>
          <c:val>
            <c:numRef>
              <c:f>Hoja1!$B$2:$B$6</c:f>
              <c:numCache>
                <c:formatCode>0.0"x"</c:formatCode>
                <c:ptCount val="5"/>
                <c:pt idx="0">
                  <c:v>0</c:v>
                </c:pt>
                <c:pt idx="1">
                  <c:v>0</c:v>
                </c:pt>
                <c:pt idx="2">
                  <c:v>0</c:v>
                </c:pt>
                <c:pt idx="3">
                  <c:v>0</c:v>
                </c:pt>
                <c:pt idx="4">
                  <c:v>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(EUR,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0</c:v>
                </c:pt>
                <c:pt idx="1">
                  <c:v>0</c:v>
                </c:pt>
                <c:pt idx="2">
                  <c:v>0</c:v>
                </c:pt>
                <c:pt idx="3">
                  <c:v>0</c:v>
                </c:pt>
                <c:pt idx="4">
                  <c:v>0</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1313</c:v>
                </c:pt>
                <c:pt idx="1">
                  <c:v>1848</c:v>
                </c:pt>
                <c:pt idx="2">
                  <c:v>2261</c:v>
                </c:pt>
                <c:pt idx="3">
                  <c:v>3017</c:v>
                </c:pt>
                <c:pt idx="4">
                  <c:v>3341</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Hoja1!$D$2:$D$6</c:f>
              <c:numCache>
                <c:formatCode>#,##0</c:formatCode>
                <c:ptCount val="5"/>
                <c:pt idx="2">
                  <c:v>3109</c:v>
                </c:pt>
                <c:pt idx="3">
                  <c:v>4038</c:v>
                </c:pt>
                <c:pt idx="4">
                  <c:v>4081</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c:f>
              <c:strCache>
                <c:ptCount val="1"/>
                <c:pt idx="0">
                  <c:v>Ejecutivo</c:v>
                </c:pt>
              </c:strCache>
            </c:strRef>
          </c:cat>
          <c:val>
            <c:numRef>
              <c:f>Hoja1!$B$2</c:f>
              <c:numCache>
                <c:formatCode>0</c:formatCode>
                <c:ptCount val="1"/>
                <c:pt idx="0">
                  <c:v>2</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c:f>
              <c:strCache>
                <c:ptCount val="1"/>
                <c:pt idx="0">
                  <c:v>Capital flotante (3,5 M de accionistas)</c:v>
                </c:pt>
              </c:strCache>
            </c:strRef>
          </c:cat>
          <c:val>
            <c:numRef>
              <c:f>Hoja1!$B$2</c:f>
              <c:numCache>
                <c:formatCode>0.0"%"</c:formatCode>
                <c:ptCount val="1"/>
                <c:pt idx="0">
                  <c:v>100</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8.8</c:v>
                </c:pt>
                <c:pt idx="1">
                  <c:v>12.3</c:v>
                </c:pt>
                <c:pt idx="2">
                  <c:v>-27.5</c:v>
                </c:pt>
                <c:pt idx="3">
                  <c:v>-6.1</c:v>
                </c:pt>
                <c:pt idx="4">
                  <c:v>-29</c:v>
                </c:pt>
                <c:pt idx="5">
                  <c:v>15.9</c:v>
                </c:pt>
                <c:pt idx="6">
                  <c:v>-4.7</c:v>
                </c:pt>
                <c:pt idx="7">
                  <c:v>34.9</c:v>
                </c:pt>
                <c:pt idx="8">
                  <c:v>18.1</c:v>
                </c:pt>
                <c:pt idx="9">
                  <c:v>125.6</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-2</c:v>
                </c:pt>
                <c:pt idx="1">
                  <c:v>7.4</c:v>
                </c:pt>
                <c:pt idx="2">
                  <c:v>-15</c:v>
                </c:pt>
                <c:pt idx="3">
                  <c:v>11.8</c:v>
                </c:pt>
                <c:pt idx="4">
                  <c:v>-15.5</c:v>
                </c:pt>
                <c:pt idx="5">
                  <c:v>7.9</c:v>
                </c:pt>
                <c:pt idx="6">
                  <c:v>-5.6</c:v>
                </c:pt>
                <c:pt idx="7">
                  <c:v>22.8</c:v>
                </c:pt>
                <c:pt idx="8">
                  <c:v>14.8</c:v>
                </c:pt>
                <c:pt idx="9">
                  <c:v>49.3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0.0"x"</c:formatCode>
                <c:ptCount val="5"/>
                <c:pt idx="0">
                  <c:v>4.3</c:v>
                </c:pt>
                <c:pt idx="1">
                  <c:v>3.8</c:v>
                </c:pt>
                <c:pt idx="2">
                  <c:v>4.9</c:v>
                </c:pt>
                <c:pt idx="3">
                  <c:v>4.6</c:v>
                </c:pt>
                <c:pt idx="4">
                  <c:v>8.7</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0.0"x"</c:formatCode>
                <c:ptCount val="5"/>
                <c:pt idx="0">
                  <c:v>4.6</c:v>
                </c:pt>
                <c:pt idx="1">
                  <c:v>4.6</c:v>
                </c:pt>
                <c:pt idx="2">
                  <c:v>4.6</c:v>
                </c:pt>
                <c:pt idx="3">
                  <c:v>4.6</c:v>
                </c:pt>
                <c:pt idx="4">
                  <c:v>4.6</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(EUR,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2026e</c:v>
                </c:pt>
                <c:pt idx="1">
                  <c:v>2027e</c:v>
                </c:pt>
                <c:pt idx="2">
                  <c:v>2028e</c:v>
                </c:pt>
                <c:pt idx="3">
                  <c:v>2029e</c:v>
                </c:pt>
                <c:pt idx="4">
                  <c:v>2030e</c:v>
                </c:pt>
                <c:pt idx="5">
                  <c:v>2031e</c:v>
                </c:pt>
                <c:pt idx="6">
                  <c:v>2032e</c:v>
                </c:pt>
                <c:pt idx="7">
                  <c:v>2033e</c:v>
                </c:pt>
                <c:pt idx="8">
                  <c:v>2034e</c:v>
                </c:pt>
                <c:pt idx="9">
                  <c:v>2035e</c:v>
                </c:pt>
              </c:strCache>
            </c:strRef>
          </c:cat>
          <c:val>
            <c:numRef>
              <c:f>Hoja1!$B$2:$B$11</c:f>
              <c:numCache>
                <c:formatCode>#,##0</c:formatCode>
                <c:ptCount val="10"/>
                <c:pt idx="0">
                  <c:v>7607</c:v>
                </c:pt>
                <c:pt idx="1">
                  <c:v>8853</c:v>
                </c:pt>
                <c:pt idx="2">
                  <c:v>10658</c:v>
                </c:pt>
                <c:pt idx="3">
                  <c:v>12399</c:v>
                </c:pt>
                <c:pt idx="4">
                  <c:v>13691</c:v>
                </c:pt>
                <c:pt idx="5">
                  <c:v>14435</c:v>
                </c:pt>
                <c:pt idx="6">
                  <c:v>15146</c:v>
                </c:pt>
                <c:pt idx="7">
                  <c:v>16447</c:v>
                </c:pt>
                <c:pt idx="8">
                  <c:v>17090</c:v>
                </c:pt>
                <c:pt idx="9">
                  <c:v>18396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(EUR,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74519</c:v>
                </c:pt>
                <c:pt idx="1">
                  <c:v>73553</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(EUR) · precio actual 11,15</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6.38</c:v>
                </c:pt>
                <c:pt idx="1">
                  <c:v>10.25</c:v>
                </c:pt>
                <c:pt idx="2">
                  <c:v>13.21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11,15</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(8,48 – 13,12)</c:v>
                </c:pt>
                <c:pt idx="1">
                  <c:v>Precio objetivo de los analistas (11,30 – 15,30)</c:v>
                </c:pt>
                <c:pt idx="2">
                  <c:v>Comparables: PER NTM (10,31 – 11,64)</c:v>
                </c:pt>
                <c:pt idx="3">
                  <c:v>DCF (WACC y g ± 0,5) (9,44 – 11,25)</c:v>
                </c:pt>
                <c:pt idx="4">
                  <c:v>Escenarios (bajista – alcista) (6,38 – 13,21)</c:v>
                </c:pt>
                <c:pt idx="5">
                  <c:v>Suma de partes (8,54 – 11,56)</c:v>
                </c:pt>
                <c:pt idx="6">
                  <c:v>DCF con la prima implícita del mercado (4,2 %)</c:v>
                </c:pt>
                <c:pt idx="7">
                  <c:v>Precio actual (11,15)</c:v>
                </c:pt>
              </c:strCache>
            </c:strRef>
          </c:cat>
          <c:val>
            <c:numRef>
              <c:f>Hoja1!$B$2:$B$9</c:f>
              <c:numCache>
                <c:formatCode>#,##0.0</c:formatCode>
                <c:ptCount val="8"/>
                <c:pt idx="0">
                  <c:v>8.48</c:v>
                </c:pt>
                <c:pt idx="1">
                  <c:v>11.3</c:v>
                </c:pt>
                <c:pt idx="2">
                  <c:v>10.31</c:v>
                </c:pt>
                <c:pt idx="3">
                  <c:v>9.44</c:v>
                </c:pt>
                <c:pt idx="4">
                  <c:v>6.38</c:v>
                </c:pt>
                <c:pt idx="5">
                  <c:v>8.54</c:v>
                </c:pt>
                <c:pt idx="6">
                  <c:v>11.75</c:v>
                </c:pt>
                <c:pt idx="7">
                  <c:v>11.1</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(8,48 – 13,12)</c:v>
                </c:pt>
                <c:pt idx="1">
                  <c:v>Precio objetivo de los analistas (11,30 – 15,30)</c:v>
                </c:pt>
                <c:pt idx="2">
                  <c:v>Comparables: PER NTM (10,31 – 11,64)</c:v>
                </c:pt>
                <c:pt idx="3">
                  <c:v>DCF (WACC y g ± 0,5) (9,44 – 11,25)</c:v>
                </c:pt>
                <c:pt idx="4">
                  <c:v>Escenarios (bajista – alcista) (6,38 – 13,21)</c:v>
                </c:pt>
                <c:pt idx="5">
                  <c:v>Suma de partes (8,54 – 11,56)</c:v>
                </c:pt>
                <c:pt idx="6">
                  <c:v>DCF con la prima implícita del mercado (4,2 %)</c:v>
                </c:pt>
                <c:pt idx="7">
                  <c:v>Precio actual (11,15)</c:v>
                </c:pt>
              </c:strCache>
            </c:strRef>
          </c:cat>
          <c:val>
            <c:numRef>
              <c:f>Hoja1!$C$2:$C$9</c:f>
              <c:numCache>
                <c:formatCode>#,##0.0</c:formatCode>
                <c:ptCount val="8"/>
                <c:pt idx="0">
                  <c:v>4.639999999999999</c:v>
                </c:pt>
                <c:pt idx="1">
                  <c:v>4</c:v>
                </c:pt>
                <c:pt idx="2">
                  <c:v>1.33</c:v>
                </c:pt>
                <c:pt idx="3">
                  <c:v>1.8100000000000005</c:v>
                </c:pt>
                <c:pt idx="4">
                  <c:v>6.830000000000001</c:v>
                </c:pt>
                <c:pt idx="5">
                  <c:v>3.0200000000000014</c:v>
                </c:pt>
                <c:pt idx="6">
                  <c:v>1.7699999999999996</c:v>
                </c:pt>
                <c:pt idx="7">
                  <c:v>0.11000000000000121</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5"/>
        </c:scaling>
        <c:delete val="0"/>
        <c:axPos val="b"/>
        <c:majorGridlines>
          <c:spPr>
            <a:ln w="6350">
              <a:solidFill>
                <a:srgbClr val="E4E3DF"/>
              </a:solidFill>
            </a:ln>
          </c:spPr>
        </c:majorGridlines>
        <c:numFmt formatCode="#,##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2026-10-15T11:43:41.470Z</dcterms:created>
  <dcterms:modified xsi:type="dcterms:W3CDTF">2026-10-15T11:43:41.470Z</dcterms:modified>
</cp:coreProperties>
</file>

<file path=docProps/custom.xml><?xml version="1.0" encoding="utf-8"?>
<Properties xmlns="http://schemas.openxmlformats.org/officeDocument/2006/custom-properties" xmlns:vt="http://schemas.openxmlformats.org/officeDocument/2006/docPropsVTypes"/>
</file>