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Equifax Inc.</w:t>
      </w:r>
    </w:p>
    <w:p>
      <w:pPr>
        <w:spacing w:after="60"/>
        <w:rPr>
          <w:color w:val="52514E"/>
          <w:sz w:val="22"/>
          <w:szCs w:val="22"/>
        </w:rPr>
      </w:pPr>
      <w:r>
        <w:rPr>
          <w:color w:val="52514E"/>
          <w:sz w:val="22"/>
          <w:szCs w:val="22"/>
        </w:rPr>
        <w:t xml:space="preserve">EFX · New York Stock Exchange · ISIN US2944291051 · Industriales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158,57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186,25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+18,8 % (base +14,0 %)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160,42 USD · mercado 187,98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18.695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Equifax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EFX / US2944291051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Industriales / Servicios profesionales (Research &amp; Consulting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 1899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https://www.equifax.com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158,57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137,01 – 238,94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18.695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23.999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1,64 M acciones/día, unos 272 M USD/día (3 meses, 64 sesiones)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186,25 USD</w:t>
      </w:r>
      <w:r>
        <w:t xml:space="preserve"> frente a 158,57 · Rentabilidad a 12 meses </w:t>
      </w:r>
      <w:r>
        <w:rPr>
          <w:b/>
          <w:bCs/>
        </w:rPr>
        <w:t xml:space="preserve">+18,8 % (base +14,0 %)</w:t>
      </w:r>
      <w:r>
        <w:t xml:space="preserve"> · Valor intrínseco 160,42 USD · con la prima implícita del mercado: 187,98 (+18,5 %) · Alcista / bajista +16,6 % / -38,4 %</w:t>
      </w:r>
    </w:p>
    <w:p>
      <w:pPr>
        <w:spacing w:after="100"/>
      </w:pPr>
      <w:r>
        <w:rPr>
          <w:b/>
        </w:rPr>
        <w:t xml:space="preserve">La recomendación y por qué.</w:t>
      </w:r>
      <w:r>
        <w:t xml:space="preserve"> Vender, con convicción media. La regla a 12 meses da un Comprar justo: objetivo ponderado de 186,25 USD (+18,8 % con el dividendo; base +14,0 %) frente a 158,57 USD, con el valor intrínseco en 160,42 USD (+1,2 %) y el objetivo medio de los analistas en 194,00 USD, a la baja [103]. Nos apartamos porque Equifax no pasa la calidad que el método pide para mantener (ROIC 9,3 % frente a un WACC del 10,25 %: −0,9 puntos, con un mínimo de 4,5) y porque el Comprar no aguanta un BPA un 10 % peor (7,1 %). La convicción es media (el motor sugiere baja porque sus dos reglas discrepan): la calidad no es una cifra al límite, pero con la prima que hoy pide el mercado el valor sube a 187,98 USD.</w:t>
      </w:r>
    </w:p>
    <w:p>
      <w:pPr>
        <w:spacing w:after="100"/>
      </w:pPr>
      <w:r>
        <w:rPr>
          <w:b/>
        </w:rPr>
        <w:t xml:space="preserve">El negocio.</w:t>
      </w:r>
      <w:r>
        <w:t xml:space="preserve"> El valor está en Workforce Solutions: The Work Number tiene 223 millones de registros activos (+12 %) y un margen EBITDA ajustado del 51,4 % en el 3T26 [28, 29]. A 15 veces su EBITDA vale casi todo el valor empresa del grupo. La debilidad es el capital: el ROIC cae del 14,3 % de 2020 al 9,3 % de 2025 por compras caras; sin fondo de comercio sería del 29,5 %, y Círculo de Crédito se paga a 12,1 veces el EBITDA [111]. </w:t>
      </w:r>
      <w:r>
        <w:rPr>
          <w:b/>
        </w:rPr>
        <w:t xml:space="preserve">Sostenibilidad del crecimiento: en parte</w:t>
      </w:r>
      <w:r>
        <w:t xml:space="preserve">: es un negocio de activos ligeros cuyo crecimiento depende en buena parte del precio, y el precio está bajo el regulador hipotecario, una demanda antimonopolio y la verificación con permiso del consumidor [36, 53, 72].</w:t>
      </w:r>
    </w:p>
    <w:p>
      <w:pPr>
        <w:spacing w:after="100"/>
      </w:pPr>
      <w:r>
        <w:rPr>
          <w:b/>
        </w:rPr>
        <w:t xml:space="preserve">Sector y ciclo.</w:t>
      </w:r>
      <w:r>
        <w:t xml:space="preserve"> La hipoteca vuelve a contraerse: el tipo a 30 años pasó del 6,43 % en julio al 7,40 % en octubre [62], las consultas duras cayeron un 9 % en el 3T26 y la empresa recorta la guía de ingresos de 2026 a 6.646-6.676 M [28, 29]. La FHFA prepara el informe doble; la empresa lo cifra en unos 80 M de ingresos y 38 M de margen [29, 64].</w:t>
      </w:r>
    </w:p>
    <w:p>
      <w:pPr>
        <w:spacing w:after="100"/>
      </w:pPr>
      <w:r>
        <w:rPr>
          <w:b/>
        </w:rPr>
        <w:t xml:space="preserve">Finanzas.</w:t>
      </w:r>
      <w:r>
        <w:t xml:space="preserve"> El 3T26 fue bueno: ingresos +10 % y BPA ajustado de 2,26 USD frente a 2,20 de consenso [28]. La guía de BPA ajustado de 2026 se mantiene en 8,45-8,55 USD gracias a los costes, pero el 4T26 queda plano frente al 4T25 [29]. El flujo operativo de nueve meses está plano y los pagos al accionista superan el flujo libre: la deuda neta ajustada es de 5.163 M y subirá con Círculo [28].</w:t>
      </w:r>
    </w:p>
    <w:p>
      <w:pPr>
        <w:spacing w:after="100"/>
      </w:pPr>
      <w:r>
        <w:rPr>
          <w:b/>
        </w:rPr>
        <w:t xml:space="preserve">Equipo y gobierno.</w:t>
      </w:r>
      <w:r>
        <w:t xml:space="preserve"> Resta poco: presidente independiente y un 90 % de consejeros independientes, pero el consejero delegado vendió 32,06 M USD en acciones en 12 meses y su sucesión no está resuelta [79, 100].</w:t>
      </w:r>
    </w:p>
    <w:p>
      <w:pPr>
        <w:spacing w:after="100"/>
      </w:pPr>
      <w:r>
        <w:rPr>
          <w:b/>
        </w:rPr>
        <w:t xml:space="preserve">Valoración.</w:t>
      </w:r>
      <w:r>
        <w:t xml:space="preserve"> El DCF da 147,31 USD; los comparables, 199,05; la suma de partes, 184,01; los escenarios, 144,29. El DCF inverso dice que el precio descuenta un crecimiento del 6,4 % anual y un margen del 36,3 %, más que el 5,5 % y el 34,7 % de nuestro base: tras la subida desde el mínimo de 137,01 USD, el precio ya no es de valle. El objetivo a 12 meses supera al valor intrínseco porque mantiene el PER de hoy (16,8 veces) sobre un BPA ajustado que crece un 11,6 % anual.</w:t>
      </w:r>
    </w:p>
    <w:p>
      <w:pPr>
        <w:spacing w:after="100"/>
      </w:pPr>
      <w:r>
        <w:rPr>
          <w:b/>
        </w:rPr>
        <w:t xml:space="preserve">Riesgos y catalizadores.</w:t>
      </w:r>
      <w:r>
        <w:t xml:space="preserve"> El informe doble (−3 % del valor, estimación propia), la presión de precios sobre la verificación (hacia el bajista, −38,4 %) y medio punto más de WACC (−8,5 %). Fechas: orden de la FHFA en las próximas semanas [64], cierre de Círculo de Crédito en el 4T26, Medicaid desde el 1-ene-2027 [48] y resultados anuales en febrero.</w:t>
      </w:r>
    </w:p>
    <w:p>
      <w:pPr>
        <w:spacing w:after="100"/>
      </w:pPr>
      <w:r>
        <w:rPr>
          <w:b/>
        </w:rPr>
        <w:t xml:space="preserve">Qué cambiaría la decisión.</w:t>
      </w:r>
      <w:r>
        <w:t xml:space="preserve"> Mantendríamos si el ROIC menos el WACC volviera a 4,5 puntos (hoy −0,9) o si Hotis decide una excepción de calidad como las de Fluidra y DSV. Pasaríamos a Comprar solo por debajo de 145,55 USD (límite robusto) y con la calidad resuelta.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186,25 USD</w:t>
      </w:r>
      <w:r>
        <w:t xml:space="preserve"> (rentabilidad +18,8 % (base +14,0 %)) · Valor intrínseco: 160,42 USD (+1,2 % sobre 158,57) · con la prima implícita del mercado: 187,98 (+18,5 %)</w:t>
      </w:r>
    </w:p>
    <w:p>
      <w:pPr>
        <w:spacing w:after="100"/>
      </w:pPr>
      <w:r>
        <w:t xml:space="preserve">Equifax es dos negocios. Workforce Solutions verifica empleo e ingresos con 223 millones de registros activos que aportan los propios empleadores; gana un 51,4 % de margen EBITDA ajustado y crece con la verificación pública y Talent Solutions [28, 29]. El resto, la agencia de crédito de EE. UU. y la internacional, vive del ciclo hipotecario y del crédito al consumo, con la reventa de FICO sin margen inflando el crecimiento [29].</w:t>
      </w:r>
    </w:p>
    <w:p>
      <w:pPr>
        <w:spacing w:after="100"/>
      </w:pPr>
      <w:r>
        <w:t xml:space="preserve">A 158,57 USD el precio descuenta un crecimiento del 6,4 % anual y un margen del 36,3 % en 2027-2035, algo más que nuestro caso base sin recuperación hipotecaria. Cotiza a 10,4 veces el EBITDA de los próximos 12 meses y a 16,8 veces nuestro BPA ajustado de 2027e, la mitad de su PER de 2021-2025 [101].</w:t>
      </w:r>
    </w:p>
    <w:p>
      <w:pPr>
        <w:spacing w:after="100"/>
      </w:pPr>
      <w:r>
        <w:t xml:space="preserve">El mercado tiene razón en que el modelo de tres agencias en hipotecas se acaba y en que el capital de Equifax rinde por debajo de su coste: el ROIC del 9,3 % no cubre el WACC del 10,25 % [1, 64]. Para invertir hay que creer que Workforce Solutions mantiene precio y margen frente a los agregadores y a los reguladores, y que el múltiplo deja de caer. Con la calidad del método, esa apuesta no se sostiene en cartera.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8,92 = 127,56 · 16,8x × 10,63 = 178,58 · 21,8x × 11,94 = 260,29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 / 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(33,3x) es 2 veces el PER de hoy (16,8x);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194,00 (nuestro base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 / -38,4 %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10,3 % y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187,98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160,42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160,42 y 209,37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209,37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por poco (v2 elegida por el selector: ponderada 18,8 %, base 14,0 %, valor intrínseco 160,42 frente a 158,57 USD), pero nos apartamos por tres razones que la regla no recoge. Primera, la calidad: el ROIC del grupo (9,3 %) está por debajo del WACC (10,25 %), −0,9 puntos, y el método exige al menos 4,5 puntos para mantener una posición; no es una diferencia de redondeo, y el ROIC lleva cuatro años por debajo del 10 %. Segunda, el colchón: con un BPA un 10 % peor la rentabilidad ponderada cae al 7,1 %, por debajo del 10 % que pide mantener, y la guía de ingresos de 2026 acaba de bajar 80 M. Tercera, el valor: el DCF (147,31) queda por debajo del precio y, con nuestro coste de capital, los escenarios pierden más de lo que ganan (asimetría de 0,43). Solo con la prima que hoy pide el mercado sale un Comprar.</w:t>
      </w:r>
    </w:p>
    <w:p>
      <w:pPr>
        <w:pStyle w:val="Heading2"/>
      </w:pPr>
      <w:r>
        <w:t xml:space="preserve">Qué cambiaría la recomendación</w:t>
      </w:r>
    </w:p>
    <w:p>
      <w:pPr>
        <w:pStyle w:val="ListParagraph"/>
        <w:numPr>
          <w:ilvl w:val="0"/>
          <w:numId w:val="2"/>
        </w:numPr>
        <w:spacing w:after="60"/>
      </w:pPr>
      <w:r>
        <w:t xml:space="preserve">Si el ROIC menos el WACC vuelve a 4,5 puntos o más (hoy −0,9), pasaríamos a Mantener.</w:t>
      </w:r>
    </w:p>
    <w:p>
      <w:pPr>
        <w:pStyle w:val="ListParagraph"/>
        <w:numPr>
          <w:ilvl w:val="0"/>
          <w:numId w:val="2"/>
        </w:numPr>
        <w:spacing w:after="60"/>
      </w:pPr>
      <w:r>
        <w:t xml:space="preserve">Si Hotis da a Equifax una excepción de calidad (como a Fluidra y DSV), se mantendría con la regla a 12 meses.</w:t>
      </w:r>
    </w:p>
    <w:p>
      <w:pPr>
        <w:pStyle w:val="ListParagraph"/>
        <w:numPr>
          <w:ilvl w:val="0"/>
          <w:numId w:val="2"/>
        </w:numPr>
        <w:spacing w:after="60"/>
      </w:pPr>
      <w:r>
        <w:t xml:space="preserve">Por debajo de 145,55 USD (límite robusto) los números darían Comprar; seguiría fallando la calidad.</w:t>
      </w:r>
    </w:p>
    <w:p>
      <w:pPr>
        <w:pStyle w:val="ListParagraph"/>
        <w:numPr>
          <w:ilvl w:val="0"/>
          <w:numId w:val="2"/>
        </w:numPr>
        <w:spacing w:after="60"/>
      </w:pPr>
      <w:r>
        <w:t xml:space="preserve">Si la FHFA descarta el informe doble y las consultas hipotecarias vuelven a crecer, revisaríamos el caso base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Un Equifax que crece un 6,4 % anual con un margen que sube al 36,3 %: la recuperación del margen que promete la dirección, sin castigo adicional por el informe doble. Tras caer un 30,2 % en 12 meses, la acción rebota un 15,5 % desde el mínimo de septiembre.</w:t>
      </w:r>
    </w:p>
    <w:p>
      <w:pPr>
        <w:keepNext/>
        <w:spacing w:after="100"/>
      </w:pPr>
      <w:r>
        <w:rPr>
          <w:b/>
          <w:bCs/>
        </w:rPr>
        <w:t xml:space="preserve">Lo que creemos nosotros.</w:t>
      </w:r>
    </w:p>
    <w:p>
      <w:pPr>
        <w:spacing w:after="100"/>
      </w:pPr>
      <w:r>
        <w:t xml:space="preserve">Sin recuperación hipotecaria, el negocio sin FICO crece un 6-7 % y el margen sube medio punto al año: el DCF da 147,31 USD. El BPA ajustado sí crece (10,63 USD en 2028e), pero el capital invertido no rinde su coste.</w:t>
      </w:r>
    </w:p>
    <w:p>
      <w:pPr>
        <w:keepNext/>
        <w:spacing w:after="100"/>
      </w:pPr>
      <w:r>
        <w:rPr>
          <w:b/>
          <w:bCs/>
        </w:rPr>
        <w:t xml:space="preserve">Por qué podemos tener razón.</w:t>
      </w:r>
    </w:p>
    <w:p>
      <w:pPr>
        <w:spacing w:after="100"/>
      </w:pPr>
      <w:r>
        <w:t xml:space="preserve">La guía de ingresos de 2026 baja por la hipoteca [28]; el ROIC lleva cuatro años por debajo del 10 %; y la decisión de la FHFA está pendiente [64]. No vemos un catalizador que cierre la distancia entre ROIC y WACC en 12 meses.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8,5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Foso en verificación</w:t>
      </w:r>
      <w:r>
        <w:t xml:space="preserve">: 223 millones de registros activos y margen EBITDA del 51,4 % en Workforce Solutions [28, 29].</w:t>
      </w:r>
    </w:p>
    <w:p>
      <w:pPr>
        <w:pStyle w:val="ListParagraph"/>
        <w:numPr>
          <w:ilvl w:val="0"/>
          <w:numId w:val="2"/>
        </w:numPr>
        <w:spacing w:after="60"/>
      </w:pPr>
      <w:r>
        <w:rPr>
          <w:b/>
        </w:rPr>
        <w:t xml:space="preserve">Buen trimestre</w:t>
      </w:r>
      <w:r>
        <w:t xml:space="preserve">: ingresos +10 % y BPA ajustado de 2,26 USD frente a 2,20 de consenso [28].</w:t>
      </w:r>
    </w:p>
    <w:p>
      <w:pPr>
        <w:pStyle w:val="ListParagraph"/>
        <w:numPr>
          <w:ilvl w:val="0"/>
          <w:numId w:val="2"/>
        </w:numPr>
        <w:spacing w:after="60"/>
      </w:pPr>
      <w:r>
        <w:rPr>
          <w:b/>
        </w:rPr>
        <w:t xml:space="preserve">Costes</w:t>
      </w:r>
      <w:r>
        <w:t xml:space="preserve">: el margen sin FICO sube 100 pb en 2026 con la IA, y la guía de BPA se mantiene pese a la hipoteca [29].</w:t>
      </w:r>
    </w:p>
    <w:p>
      <w:pPr>
        <w:pStyle w:val="ListParagraph"/>
        <w:numPr>
          <w:ilvl w:val="0"/>
          <w:numId w:val="2"/>
        </w:numPr>
        <w:spacing w:after="60"/>
      </w:pPr>
      <w:r>
        <w:rPr>
          <w:b/>
        </w:rPr>
        <w:t xml:space="preserve">Múltiplo bajo</w:t>
      </w:r>
      <w:r>
        <w:t xml:space="preserve">: 10,4 veces el EBITDA de los próximos 12 meses, cerca del mínimo de diez años.</w:t>
      </w:r>
    </w:p>
    <w:p>
      <w:pPr>
        <w:pStyle w:val="ListParagraph"/>
        <w:numPr>
          <w:ilvl w:val="0"/>
          <w:numId w:val="2"/>
        </w:numPr>
        <w:spacing w:after="60"/>
      </w:pPr>
      <w:r>
        <w:rPr>
          <w:b/>
        </w:rPr>
        <w:t xml:space="preserve">Regla a 12 meses</w:t>
      </w:r>
      <w:r>
        <w:t xml:space="preserve">: ponderada del 18,8 % y base del 14,0 % con la regla v2.</w:t>
      </w:r>
    </w:p>
    <w:p>
      <w:pPr>
        <w:pStyle w:val="Heading2"/>
      </w:pPr>
      <w:r>
        <w:t xml:space="preserve">En contra</w:t>
      </w:r>
    </w:p>
    <w:p>
      <w:pPr>
        <w:pStyle w:val="ListParagraph"/>
        <w:numPr>
          <w:ilvl w:val="0"/>
          <w:numId w:val="2"/>
        </w:numPr>
        <w:spacing w:after="60"/>
      </w:pPr>
      <w:r>
        <w:rPr>
          <w:b/>
        </w:rPr>
        <w:t xml:space="preserve">Calidad</w:t>
      </w:r>
      <w:r>
        <w:t xml:space="preserve">: ROIC del 9,3 % frente a un WACC del 10,25 % (−0,9 puntos; el método pide 4,5 para mantener).</w:t>
      </w:r>
    </w:p>
    <w:p>
      <w:pPr>
        <w:pStyle w:val="ListParagraph"/>
        <w:numPr>
          <w:ilvl w:val="0"/>
          <w:numId w:val="2"/>
        </w:numPr>
        <w:spacing w:after="60"/>
      </w:pPr>
      <w:r>
        <w:rPr>
          <w:b/>
        </w:rPr>
        <w:t xml:space="preserve">Colchón corto</w:t>
      </w:r>
      <w:r>
        <w:t xml:space="preserve">: con un BPA un 10 % peor, la rentabilidad ponderada cae al 7,1 %.</w:t>
      </w:r>
    </w:p>
    <w:p>
      <w:pPr>
        <w:pStyle w:val="ListParagraph"/>
        <w:numPr>
          <w:ilvl w:val="0"/>
          <w:numId w:val="2"/>
        </w:numPr>
        <w:spacing w:after="60"/>
      </w:pPr>
      <w:r>
        <w:rPr>
          <w:b/>
        </w:rPr>
        <w:t xml:space="preserve">Hipoteca en contracción</w:t>
      </w:r>
      <w:r>
        <w:t xml:space="preserve">: tipo a 30 años del 7,40 % y guía de ingresos de 2026 recortada en 80 M [28, 62].</w:t>
      </w:r>
    </w:p>
    <w:p>
      <w:pPr>
        <w:pStyle w:val="ListParagraph"/>
        <w:numPr>
          <w:ilvl w:val="0"/>
          <w:numId w:val="2"/>
        </w:numPr>
        <w:spacing w:after="60"/>
      </w:pPr>
      <w:r>
        <w:rPr>
          <w:b/>
        </w:rPr>
        <w:t xml:space="preserve">Informe doble pendiente</w:t>
      </w:r>
      <w:r>
        <w:t xml:space="preserve">: la FHFA prepara la orden; la empresa lo cifra en 80 M de ingresos [29, 64].</w:t>
      </w:r>
    </w:p>
    <w:p>
      <w:pPr>
        <w:pStyle w:val="ListParagraph"/>
        <w:numPr>
          <w:ilvl w:val="0"/>
          <w:numId w:val="2"/>
        </w:numPr>
        <w:spacing w:after="60"/>
      </w:pPr>
      <w:r>
        <w:rPr>
          <w:b/>
        </w:rPr>
        <w:t xml:space="preserve">DCF por debajo del precio</w:t>
      </w:r>
      <w:r>
        <w:t xml:space="preserve">: 147,31 USD, con una asimetría de 0,43 con nuestro coste de capital.</w:t>
      </w:r>
    </w:p>
    <w:p>
      <w:pPr>
        <w:pStyle w:val="Heading2"/>
      </w:pPr>
      <w:r>
        <w:t xml:space="preserve">Qué tiene que pasar para que la tesis funcione</w:t>
      </w:r>
    </w:p>
    <w:p>
      <w:pPr>
        <w:spacing w:after="100"/>
      </w:pPr>
      <w:r>
        <w:t xml:space="preserve">La tesis depende de que el precio y el margen de Workforce Solutions aguanten y de que el ROIC deje de caer. Un margen EBITDA ajustado de la división por debajo del 50 % (51,4 % en el 3T26) en dos trimestres, o contratos públicos perdidos frente a agregadores, dirían que el foso se estrecha.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menos WACC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4,5 para volver a mantener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Requisito de calidad del método.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Workforce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 (3T26) [28]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que sostiene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sin FICO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33,8-34,1 % (guía 2026) [29]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34 % en la guía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medio punto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Consultas hipotecarias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interanual (3T26) [29]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 más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volumen hipotecario no hay alcista.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 veces tras Círculo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BBB y recompras [110].</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11,4x / 10,4x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25,6x / 20,3x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Los hermanos Cator y Guy Woolford fundaron Retail Credit Company en Atlanta en 1899; en 1920 ya tenía oficinas en EE. UU. y Canadá y en 1965 salió a bolsa [57]. Tras el escrutinio de los reguladores en los años setenta pasó a llamarse Equifax [58]. En los noventa salió a Europa y Sudamérica [57] y separó ChoicePoint (1997) y Certegy (2001) [58]. La compra de TALX en 2007 le dio The Work Number, hoy su negocio más rentable [1, 59]. El ciberataque de 2017, que expuso datos de unos 148 millones de personas, marcó la etapa siguiente [60]: un acuerdo de 2019 con la FTC, la CFPB y 48 estados [15], la llegada de Mark Begor como consejero delegado en 2018 [1] y una migración completa a la nube [1]. Desde entonces crece con compras en verificación y en crédito latinoamericano [1, 12,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Cator y Guy Woolford fundan Retail Credit Company en Atlanta [57].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compañía sale a bolsa [57].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Retail Credit Company pasa a llamarse Equifax, tras años de escrutinio de los reguladores [58].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ChoicePoint; en 2001 separa Certegy [58].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TALX y con ella The Work Number, que entonces tenía más de 147 millones de registros de empleo; paga unos 20,6 millones de acciones y 283 M USD en efectivo [59].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Ciberataque con datos de unos 148 millones de consumidores expuestos [60]; en 2019 acuerda con la FTC, la CFPB y 48 estados un fondo de 380,5 M USD ampliable en 125 M USD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Begor, que venía de Warburg Pincus y de 35 años en GE, se convierte en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Appriss Insights (antecedentes penales) para Workforce Solutions y Kount (fraude) para USIS, entre otras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error de código vende puntuaciones de crédito incorrectas entre el 17 de marzo y el 8 de abril; la CFPB lo sanciona en 2025 [55, 56].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resto de Boa Vista Serviços, la agencia de crédito brasileña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acepta VantageScore 4.0 en las hipotecas de Fannie Mae y Freddie Mac y FICO lanza su licencia directa a los revendedores hipotecarios [35, 45].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Acuerda comprar Círculo de Crédito, agencia de crédito de México, por un valor empresa de 750 M USD, con cierre previsto en el cuarto trimestre [12].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Equifax es una compañía de datos, analítica y tecnología con sede en Atlanta cuyo origen se remonta a 1899 [1]. Vende tres cosas. </w:t>
      </w:r>
      <w:r>
        <w:rPr>
          <w:b/>
        </w:rPr>
        <w:t xml:space="preserve">Workforce Solutions</w:t>
      </w:r>
      <w:r>
        <w:t xml:space="preserve"> (2.582 M USD en 2025, 43 % de los ingresos) verifica empleo e ingresos con The Work Number, una base alimentada por las nóminas de más de 4 millones de organizaciones que a cierre de 2025 tenía unos 209 millones de registros activos y 813 millones en total; la usan prestamistas hipotecarios y de consumo, empresas de selección de personal y agencias públicas, y la completa con servicios de recursos humanos para empleadores [1]. </w:t>
      </w:r>
      <w:r>
        <w:rPr>
          <w:b/>
        </w:rPr>
        <w:t xml:space="preserve">U.S. Information Solutions</w:t>
      </w:r>
      <w:r>
        <w:t xml:space="preserve"> (2.079 M USD, 34 %) es la agencia de crédito de consumo y empresas en EE. UU.: informes y puntuaciones online, informes hipotecarios que combinan los datos de las tres agencias (tri-merge), identidad y fraude, marketing financiero y productos directos al consumidor [1]. </w:t>
      </w:r>
      <w:r>
        <w:rPr>
          <w:b/>
        </w:rPr>
        <w:t xml:space="preserve">International</w:t>
      </w:r>
      <w:r>
        <w:t xml:space="preserve"> (1.414 M USD, 23 %) replica ese negocio en Latinoamérica (con Boa Vista en Brasil), Europa (Reino Unido y España), Asia-Pacífico (Australia, Nueva Zelanda, India) y Canadá [1]. EE. UU. supuso el 77 % de los ingresos de 2025 [1]. Vende sobre todo con fuerza de ventas propia organizada por verticales (hipotecas, financiero, gobierno, automoción), y también a través de revendedores y por comercio electrónico al consumidor [1].</w:t>
      </w:r>
    </w:p>
    <w:p>
      <w:pPr>
        <w:pStyle w:val="Heading2"/>
      </w:pPr>
      <w:r>
        <w:t xml:space="preserve">Cómo gana dinero</w:t>
      </w:r>
    </w:p>
    <w:p>
      <w:pPr>
        <w:spacing w:after="100"/>
      </w:pPr>
      <w:r>
        <w:t xml:space="preserve">Cobra casi todo por transacción: cada consulta de crédito, cada verificación de empleo o ingresos y cada informe hipotecario es una venta; una parte menor son suscripciones [1]. El margen depende del volumen, del precio y del coste de los datos de terceros. Los datos de crédito los aportan los propios prestamistas y las nóminas de The Work Number no se pagan, porque el servicio ahorra al empleador contestar verificaciones [1]; por eso una consulta adicional cuesta poco y el apalancamiento operativo es alto. El margen operativo de los segmentos lo muestra: 44,2 % en Workforce Solutions, 22,9 % en USIS y 12,9 % en International en 2025 [1]. El coste que más crece son los derechos que paga a FICO por las puntuaciones hipotecarias, que en 2025 restaron margen al grupo [1]. La demanda es cíclica: depende de las originaciones hipotecarias, del crédito al consumo y de la contratación; el primer trimestre es el más flojo en USIS y el más fuerte en Employer Services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está muy diversificada: el mayor cliente supone en torno al 3 % de los ingresos [1]. Los clientes son bancos, prestamistas hipotecarios y de automoción, empresas de telecomunicaciones, empleadores, agencias públicas federales, estatales y locales, y consumidores [1]. En el lado de la oferta, The Work Number apenas pierde empleadores aportantes porque no les cobra por incluir sus datos [1]. El poder de precios es visible en hipotecas: en 2025 los ingresos hipotecarios de USIS crecieron por precio pese a que bajó el volumen de consultas, y en 2026 los ingresos hipotecarios de USIS subieron un 40 % en el segundo trimestre y un 28 % en el tercero, con el mercado a la baja [1, 12, 28]. En gobierno, Equifax firmó en el primer semestre de 2026 contratos nuevos y renovaciones por unos 300 M USD de valor anual, que se notarán sobre todo desde 2027 [12]. Ese poder de precios es a la vez el blanco de los reguladores: el director de la FHFA acusa a las tres agencias de cobrar de más [36] y tres senadores documentaron subidas del 69 % al 126 % en cuatro años en lo que pagan varios estados por The Work Number [47].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Registros activos de The Work Number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M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Registros totales, activos e históricos: 734 M a dic-24, 813 M a dic-25 y 863 M a sep-26; los registros vigentes son 125 M sobre 110 M de números de la seguridad social, frente a unos 250 M de estadounidenses con ingresos [1, 27,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hipoteca en los ingresos de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dato comparable de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Workforce Solutions y 32 % de USIS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1.260 M, cerca del 21 % del grupo (estimación propia)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ingresos de 2025 publicada por la empresa sobre 2.582 M de Workforce Solutions y 2.078 M de USIS; el importe en dólares es cálculo propio [22]. En 2026 la puntuación hipotecaria de FICO, revendida sin margen, es algo menos de la mitad de los ingresos hipotecarios de USIS y un 6 % de los del grupo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Consultas hipotecarias duras del mercado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interanual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originaciones de 2026: -6,5 % a -7,5 %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4T25 caían un 1 %. El mercado se debilitó en la segunda mitad del 3T26 al subir los tipos hipotecarios; en julio la guía era de una caída de un dígito bajo. La empresa calcula más de 1.000 M de ingresos y unos 700 M de margen adicionales si el mercado se recupera [20, 29, 34].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hipotecarios de EE. UU. del grupo (volumen frente a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(2T26); USIS +40 %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(3T26); USIS +28 % (un dígito bajo sin FICO), Workforce Solutions plano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dos dígitos altos, un dígito bajo sin FICO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el crecimiento es precio, producto y FICO: en el 3T26 las consultas duras caen un 9 % y la hipoteca de USIS sube un 28 %, pero solo un dígito bajo sin la reventa de FICO (unos 100 M en el trimestre). La hipoteca de Workforce Solutions queda plana y supera al mercado en un dígito alto [28,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en Workforce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300 M de contratos firmados (1S26)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550 M firmados en 9M26 (150 M nuevos y 400 M renovaciones); ingresos +un dígito medio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vuelve a crecer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fue el 31 % de los ingresos de Workforce Solutions en 2025 (unos 800 M, estimación propia). El negocio nuevo cuenta sobre todo en 2027; la dirección habla de un mercado potencial de 5.000 M [22, 29, 34].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vitalidad (ingresos de productos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del 17 % (3T26), récord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15 % o más; objetivo a largo plazo: 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los ingresos del año que vienen de productos lanzados en los tres años anteriores y el año en curso [4, 28,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Verification Services (Workforce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553,6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603,2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sin hipoteca, +13 %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sumó 2.179,8 M (+8 %). Employer Services cae un 5 %, a 90,7 M, en el 3T26 [4, 28, 29].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ajustado sin FICO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33,5-34,0 % (guía de julio, +75 pb)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33,8-34,1 % (guía de octubre, +100 pb); 35,2 %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pb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 31,7-32,0 % en la guía de octubre (31,3-31,8 % en julio) y 33,1 % en el 3T26. La mejora viene de costes e inteligencia artificial (objetivo de 150 M de ahorro); la conversión total a Vantage aportaría unos 35 M de margen [21, 29].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información de crédito y verificación de consumidores en EE. UU., donde Equifax obtiene el 77 % de sus ingresos [1]: informes y puntuaciones de crédito, informes hipotecarios, identidad y fraude, y verificación de empleo e ingresos. Lo dominan tres agencias nacionales (Equifax, Experian y TransUnion), con FICO como proveedor de la puntuación que se vende sobre sus datos [41]. Se contrastan dos medidas. IBISWorld estima el sector de agencias de crédito y de calificación de EE. UU. en 17.600 M USD en 2025, pero incluye las agencias de rating, que son otro negocio [38]. Por eso se usa como medida principal una estimación propia de abajo arriba: la suma de los ingresos en EE. UU. de Equifax USIS y TransUnion U.S. Markets según sus 10-K [1, 39]; Experian Norteamérica (5.587 M USD en el ejercicio a marzo de 2026) queda fuera de la serie porque cierra en marzo e incluye Canadá y salud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5.657 M USD en 2025 entre Equifax USIS y TransUnion U.S. Markets (estimación propia: 2.078,5 + 3.578,7 M USD) [1, 39]; con Experian Norteamérica, ≈ 11.240 M USD [43]. IBISWorld: 17.600 M USD en 2025 con las agencias de rating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en EE. UU. de Equifax USIS y TransUnion U.S. Markets,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Originaciones hipotecarias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tipo fijo a 30 años de Freddie Mac pasó del 6,43 % (2 de julio) al 7,40 % (15 de octubre de 2026) [62]; en la semana al 9 de octubre las solicitudes de refinanciación eran un 56 % menores y las de compra un 16 % menores que un año antes [63]. Equifax vio un mercado «mucho más débil» en la segunda mitad del tercer trimestre y espera que siga así el resto de 2026 [28]. Fannie Mae estimaba en septiembre 2,12 billones USD de originaciones en 2026, antes de la subida de tipos [49].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informes y puntuaciones hipotecarias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hipotecarios de USIS subieron un 40 % en el segundo trimestre de 2026 y un 28 % en el tercero con el mercado a la baja; los de Workforce Solutions quedaron planos en el tercero [12, 28]. TransUnion atribuye su crecimiento hipotecario sobre todo al precio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Derechos de FICO por puntuación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del segmento de puntuaciones de FICO pasaron de 774 M USD en su ejercicio 2023 a 1.169 M en 2025, sobre todo por precio unitario hipotecario [41]. TransUnion repercute ese coste: los derechos de FICO suman unos 2 puntos a su crecimiento de ingresos del tercer trimestre de 2026 y unos 3 al del año, pero le restaron 150 puntos básicos de margen EBITDA ajustado en EE. UU. en el segundo trimestre [40, 70].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de empleo e ingresos en programas públicos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requisitos de trabajo de Medicaid obligan a verificar desde el 1 de enero de 2027 [48]; Equifax firmó unos 300 M USD de valor anual en contratos públicos en el primer semestre de 2026 y su verificación para gobierno aceleró a un crecimiento de un dígito medio en el tercer trimestre [12, 28]. California exige desde el 8 de junio de 2026 consultar The Work Number en cada solicitud de CalFresh y CalWORKs [73].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y empleo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citó la debilidad de la contratación en el cuarto trimestre de 2025 [4], pero su verificación para selección de personal (Talent Solutions) creció más de un 20 % en el tercer trimestre de 2026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regulatoria sobre el coste hipotecario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informó el 1 de octubre de 2026 de que la FHFA ordenaría pasar de tres informes a dos en semanas (Equifax cayó un 5,9 % fuera de hora) [65]; el director no acudió a la convención de la MBA del 12 de octubre donde se esperaba el anuncio y la FHFA no había publicado nada al respecto a 20 de octubre [66, 67, 69].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agencias con productos parecidos que, sin embargo, suben precios a la vez: los ingresos hipotecarios crecieron por precio en Equifax y TransUnion en 2024 y 2025 pese a menos consultas [1, 39]. Compiten en la puntuación alternativa: Equifax ofreció VantageScore 4.0 a 4,50 USD en octubre de 2025 [46] y la bajó a 1 USD en marzo de 2026, gratis a quien compre FICO [71].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(el mayor es el 3 % de los ingresos de Equifax) [1], pero el comprador hipotecario está respaldado por la FHFA, que llama a las agencias «cartel» y prepara el paso a dos informes [36]; la MBA habló de subidas medias del 40 % al 50 % en el coste de los informes para 2026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crédito y de nóminas llegan sin coste, pero FICO controla la puntuación que exigen Fannie Mae y Freddie Mac: su segmento de puntuaciones gana un 90 % sobre ventas en los nueve meses a junio de 2026 [42], y en octubre de 2025 lanzó una licencia directa a los revendedores hipotecarios que se salta el margen de las agencias [45].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un fichero nacional de crédito exige los datos de miles de prestamistas; en verificación la barrera es menor y la propia Equifax la describe como un negocio con bajas barreras de entrada [1]. Truv y Argyle han levantado 25 M USD (2022) y 30 M USD (2024) en sus últimas rondas publicadas [53, 54], cifras pequeñas frente a los 2.180 M USD de ingresos de Verification Services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verificación con permiso del consumidor a través de su nómina o su banco sustituye en parte a The Work Number [1]: California ofrece Truv como alternativa voluntaria desde junio de 2026, aunque a la vez obliga a consultar The Work Number en cada solicitud [73]. En hipotecas, el paso a dos informes eliminaría la compra de uno de los tres por préstamo [64]. VantageScore 4.0 y FICO 10T, aceptadas por la FHFA [35, 68], sustituyen a FICO Classic y no a las agencias, dueñas de VantageScore [41].</w:t>
            </w:r>
          </w:p>
        </w:tc>
      </w:tr>
    </w:tbl>
    <w:p>
      <w:pPr>
        <w:spacing w:after="160" w:before="0"/>
      </w:pPr>
    </w:p>
    <w:p>
      <w:pPr>
        <w:pStyle w:val="Heading2"/>
      </w:pPr>
      <w:r>
        <w:t xml:space="preserve">Ciclo</w:t>
      </w:r>
    </w:p>
    <w:p>
      <w:pPr>
        <w:spacing w:after="100"/>
      </w:pPr>
      <w:r>
        <w:t xml:space="preserve">El ciclo hipotecario ha vuelto a girar a la baja: el tipo fijo a 30 años subió del 6,43 % en julio al 7,40 % a mediados de octubre de 2026 [62], el más alto desde noviembre de 2023, y la refinanciación cae un 56 % interanual [63]. Las originaciones tocaron fondo en 2023 (1,50 billones USD, frente a 4,57 billones en 2021) [50, 51]. Equifax rebajó su guía de ingresos de 2026 a 6.661 M USD en el punto medio por esa caída, pero mantiene el crecimiento de un dígito alto en el resto de mercados [28]. El sector es defensivo salvo en hipotecas: en 2009 los ingresos de Equifax cayeron un 5,4 % [3]; en 2020 la refinanciación disparó Workforce Solutions un 51 % [15]; en 2022 USIS cayó un 7 % [52].</w:t>
      </w:r>
    </w:p>
    <w:p>
      <w:pPr>
        <w:pStyle w:val="Heading2"/>
      </w:pPr>
      <w:r>
        <w:t xml:space="preserve">Regulación</w:t>
      </w:r>
    </w:p>
    <w:p>
      <w:pPr>
        <w:spacing w:after="100"/>
      </w:pPr>
      <w:r>
        <w:t xml:space="preserve">Tres frentes mueven las cifras. </w:t>
      </w:r>
      <w:r>
        <w:rPr>
          <w:b/>
        </w:rPr>
        <w:t xml:space="preserve">Número de informes</w:t>
      </w:r>
      <w:r>
        <w:t xml:space="preserve">: la FHFA mantiene a 20 de octubre de 2026 el informe triple; Bloomberg adelantó el 1 de octubre una orden de pasar a dos informes, con efecto uno a tres meses después de anunciarse, pero no se ha publicado [37, 65, 69]. </w:t>
      </w:r>
      <w:r>
        <w:rPr>
          <w:b/>
        </w:rPr>
        <w:t xml:space="preserve">Puntuaciones</w:t>
      </w:r>
      <w:r>
        <w:t xml:space="preserve">: la FHFA admite VantageScore 4.0 desde julio de 2025 y en abril de 2026 Fannie Mae, Freddie Mac y la FHA aceptaron también FICO 10T [35, 68]. </w:t>
      </w:r>
      <w:r>
        <w:rPr>
          <w:b/>
        </w:rPr>
        <w:t xml:space="preserve">Datos y programas públicos</w:t>
      </w:r>
      <w:r>
        <w:t xml:space="preserve">: la CFPB reconsidera la norma de banca abierta de 2024 (sección 1033) y envió una nueva propuesta a revisión en agosto de 2026 [74]; los requisitos de trabajo de Medicaid se verifican desde el 1 de enero de 2027 [48]. La CFPB investiga desde 2023 los datos de Workforce Solutions [1].</w:t>
      </w:r>
    </w:p>
    <w:p>
      <w:pPr>
        <w:pStyle w:val="Heading2"/>
      </w:pPr>
      <w:r>
        <w:t xml:space="preserve">Tendencias y disrupción</w:t>
      </w:r>
    </w:p>
    <w:p>
      <w:pPr>
        <w:spacing w:after="100"/>
      </w:pPr>
      <w:r>
        <w:t xml:space="preserve">Tres cambios. </w:t>
      </w:r>
      <w:r>
        <w:rPr>
          <w:b/>
        </w:rPr>
        <w:t xml:space="preserve">La puntuación se desacopla de la agencia</w:t>
      </w:r>
      <w:r>
        <w:t xml:space="preserve">: FICO vende su puntuación hipotecaria directamente a los revendedores [45] y las agencias responden abaratando VantageScore 4.0 hasta 1 USD (Equifax) en marzo de 2026 [71]; gana quien controle el dato, no la fórmula. </w:t>
      </w:r>
      <w:r>
        <w:rPr>
          <w:b/>
        </w:rPr>
        <w:t xml:space="preserve">Verificación con permiso del consumidor</w:t>
      </w:r>
      <w:r>
        <w:t xml:space="preserve">: Truv, Argyle y Experian Verify (66 millones de registros activos frente a 209 millones de The Work Number) compiten por el mismo uso [1, 43, 73]; la norma de banca abierta que lo facilitaría está en revisión [74]. </w:t>
      </w:r>
      <w:r>
        <w:rPr>
          <w:b/>
        </w:rPr>
        <w:t xml:space="preserve">Inteligencia artificial</w:t>
      </w:r>
      <w:r>
        <w:t xml:space="preserve">: Equifax presenta sus datos no públicos (nóminas y ficheros de crédito) como «foso de datos» para la IA y busca 150 M USD de ahorro con ella [28]; un modelo de IA no sustituye el dato, pero sí abarata a quien lo obtenga con permiso del consumidor.</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de las tres agencias de crédito globales por ingresos: 31,8 % de los 19.096 M USD que suman Equifax, Experian y TransUnion en su último ejercicio (estimación propia) [1, 39, 43]. En verificación de empleo e ingresos en EE. UU., el negocio que más beneficio aporta, es la primera con distancia: 209 millones de registros activos frente a 66 millones de Experian [1, 43]; la cuota en ingresos no se publica.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de las tres. Ejercicio a marzo de 2026: Norteamérica 5.587 M USD y margen EBIT ajustado del 28,6 % [43]. Compite en verificación con Experian Verify (66 millones de registros activos) e introdujo VantageScore 4.0 en hipotecas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78 % de sus ingresos brutos de 2025 vino de EE. UU. (3.578,7 M USD) [39]. En el segundo trimestre de 2026 creció un 15 % (10 % orgánico) y guió un 11-12 % para el tercero, con unos 2 puntos por los derechos de FICO que repercute [70]; publica el tercer trimestre el 27 de octubre de 2026. Los derechos de FICO le restan margen [40] y señala su licencia directa como riesgo [39, 70].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más que competidor: las tres agencias le dieron el 51 % de sus ingresos en el ejercicio a septiembre de 2025 [41]. Compite con ellas en puntuación (VantageScore es de las tres) y ahora en distribución hipotecaria con su licencia directa [41, 45].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Advantage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antecedentes para empleadores tras comprar Sterling en 2024; compite con la parte de selección de personal de Workforce Solutions en un mercado que describe como fragmentado [44].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Truv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empleo e ingresos con permiso del consumidor. Última ronda publicada: 25 M USD en 2022, liderada por Kleiner Perkins [53].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Argyle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Conexión directa a nóminas para verificar ingresos. Levantó 30 M USD en 2024; procesó más de 1,6 millones de verificaciones en 2023 y tenía más de 140 clientes [54].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se alimenta gratis de las nóminas de más de 4 millones de organizaciones porque les ahorra trabajo, y cuantos más registros tiene más la usan los verificadores [1]: 209 millones de registros activos frente a 66 millones del segundo, Experian [1, 13]. California la exige en cada solicitud de ayudas desde junio de 2026 [46].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los flujos de prestamistas y agencias públicas, con contratos públicos plurianuales (unos 300 M USD de valor anual firmados en el primer semestre de 2026) [8]. En hipotecas no hay coste de cambio: el informe triple, aún vigente a 20 de octubre de 2026, obliga a comprar a las tres, y el doble que se anuncia abriría la competencia [37, 42].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Ficheros de crédito acumulados durante más de un siglo y licencias reguladas por la FCRA y la CFPB [1]. La marca quedó dañada por el ciberataque de 2017 y el error de puntuaciones de 2022 [1, 26].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llega sin coste y la consulta adicional cuesta poco: Workforce Solutions gana un 44,2 % sobre ventas frente al 8,4 % de First Advantage [1, 14]. Pero el margen operativo del grupo (18,0 % en 2025) es parecido al de TransUnion (18,7 %) e inferior al de Experian (24,2 %) [1, 9,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ficheros nacionales sostiene a tres agencias desde hace décadas y la norma de Fannie Mae y Freddie Mac exige las tres en cada préstamo [1, 3]; nadie ha entrado como cuarta agencia nacional.</w:t>
            </w:r>
          </w:p>
        </w:tc>
      </w:tr>
    </w:tbl>
    <w:p>
      <w:pPr>
        <w:spacing w:after="160" w:before="0"/>
      </w:pPr>
    </w:p>
    <w:p>
      <w:pPr>
        <w:pStyle w:val="Heading2"/>
      </w:pPr>
      <w:r>
        <w:t xml:space="preserve">Amenazas</w:t>
      </w:r>
    </w:p>
    <w:p>
      <w:pPr>
        <w:spacing w:after="100"/>
      </w:pPr>
      <w:r>
        <w:t xml:space="preserve">Cuatro amenazas. </w:t>
      </w:r>
      <w:r>
        <w:rPr>
          <w:b/>
        </w:rPr>
        <w:t xml:space="preserve">Paso a dos informes</w:t>
      </w:r>
      <w:r>
        <w:t xml:space="preserve"> (alta, sin fecha): Bloomberg lo dio por inminente el 1 de octubre de 2026 y Equifax cayó un 5,9 % fuera de hora; el anuncio esperado el 12 de octubre no llegó [65, 66, 69]. Quitaría uno de los tres informes por préstamo y obligaría a competir en precio [64]. </w:t>
      </w:r>
      <w:r>
        <w:rPr>
          <w:b/>
        </w:rPr>
        <w:t xml:space="preserve">FICO</w:t>
      </w:r>
      <w:r>
        <w:t xml:space="preserve"> (en curso): sube su precio unitario y vende directo a los revendedores [41, 45]. </w:t>
      </w:r>
      <w:r>
        <w:rPr>
          <w:b/>
        </w:rPr>
        <w:t xml:space="preserve">Verificación</w:t>
      </w:r>
      <w:r>
        <w:t xml:space="preserve">: competidores con permiso del consumidor como Truv [73], la demanda antimonopolio, que siguió adelante en 2025 y 2026 [72], y la presión de estados y senadores sobre el precio de The Work Number (media) [1, 47]. </w:t>
      </w:r>
      <w:r>
        <w:rPr>
          <w:b/>
        </w:rPr>
        <w:t xml:space="preserve">IA y banca abierta</w:t>
      </w:r>
      <w:r>
        <w:t xml:space="preserve"> (baja a medio plazo): abaratan la verificación con datos del consumidor, pero la norma de la CFPB está en revisión [74].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2016-2025: ingresos </w:t>
      </w:r>
      <w:r>
        <w:rPr>
          <w:b/>
          <w:bCs/>
        </w:rPr>
        <w:t xml:space="preserve">7,6 %</w:t>
      </w:r>
      <w:r>
        <w:t xml:space="preserve">, EBITDA </w:t>
      </w:r>
      <w:r>
        <w:rPr>
          <w:b/>
          <w:bCs/>
        </w:rPr>
        <w:t xml:space="preserve">6,1 %</w:t>
      </w:r>
      <w:r>
        <w:t xml:space="preserve">, BPA </w:t>
      </w:r>
      <w:r>
        <w:rPr>
          <w:b/>
          <w:bCs/>
        </w:rPr>
        <w:t xml:space="preserve">3,1 %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Entre 2016 y 2025 los ingresos pasan de 3.145 a 6.075 M USD (crecimiento anual compuesto del 7,6 %), con tres saltos de perímetro: Veda en 2016, Kount y Appriss Insights en 2021 (2.465 M entre las dos) y Boa Vista en 2023 [1, 3, 15]. El ciclo hipotecario marca el ritmo: 2020 y 2021 crecen un 18 % y un 19 % con el auge de las refinanciaciones; 2022 y 2023 apenas un 4 % y un 3 % al hundirse las consultas hipotecarias [3].</w:t>
      </w:r>
    </w:p>
    <w:p>
      <w:pPr>
        <w:spacing w:after="100"/>
      </w:pPr>
      <w:r>
        <w:t xml:space="preserve">El margen EBIT antes de partidas no recurrentes cae del 27,6 % de 2016 al 20,0 % de 2025. La causa es la amortización, que sube de 265 a 720 M (del 8,4 % al 11,8 % de las ventas) al empezar a amortizarse el software de la migración a la nube, a lo que se suman 250 M de amortización de intangibles de adquisiciones en 2025 [1, 4]. La transformación tecnológica costó unos 1.030 M de gasto excluido del ajustado en 2018-2020 (324, 337 y 365 M) [9, 10] y un capex que tocó techo en 625 M en 2022 [3]. En 2026 la reventa sin margen de las puntuaciones hipotecarias de FICO (unos 100 M solo en el 3T26) infla el crecimiento y resta margen: la guía de octubre da un crecimiento del 9,4-9,9 % contable y del 6,3-6,8 % sin FICO, y un margen EBITDA ajustado del 31,7-32,0 % contable frente al 33,8-34,1 % sin FICO [29].</w:t>
      </w:r>
    </w:p>
    <w:p>
      <w:pPr>
        <w:spacing w:after="100"/>
      </w:pPr>
      <w:r>
        <w:t xml:space="preserve">En los doce meses a septiembre de 2026 los ingresos suman 6.592 M (+8,5 % sobre 2025), el EBITDA contable 1.993 M (30,2 %) y el EBIT 1.241 M (18,8 %), con 104,7 M de no recurrentes dentro del resultado operativo [4, 12, 13, 28].</w:t>
      </w:r>
    </w:p>
    <w:p>
      <w:pPr>
        <w:pStyle w:val="Heading2"/>
      </w:pPr>
      <w:r>
        <w:t xml:space="preserve">Ajustes y partidas no recurrentes</w:t>
      </w:r>
    </w:p>
    <w:p>
      <w:pPr>
        <w:spacing w:after="100"/>
      </w:pPr>
      <w:r>
        <w:t xml:space="preserve">El EBITDA de la tabla es el contable (EBIT más amortizaciones). Los no recurrentes son las partidas que la propia empresa excluye de su EBITDA ajustado y que están dentro del resultado operativo [4, 5, 6, 7, 8, 9, 10, 11]: 2016, 42,3 M (Veda 30,1, CFPB 6,5, realineamiento 5,7); 2017, 125,7 M (ciberataque 114,0, Veda 11,7); 2018, 388,6 M (ciberataque y tecnología 324,0, realineamiento 46,1, un litigio 18,5); 2019, 1.176,0 M (provisión de 800,9 por las demandas del ciberataque, 337,3 de costes del incidente, 20,0 de compensaciones a clientes, 11,5 de realineamiento, 6,3 de PayNet); 2020, 396,7 M (364,8 y 31,9); 2021, 21,1 M netos; 2022, 93,7 M (adquisiciones 68,2, reestructuración 24,0); 2023, 154,6 M (103,2, 34,6 y 16,8 del ciberataque); 2024, 131,7 M (68,4, 48,0 y 15,0 del CFPB); 2025, 121,3 M (35,0 de integración, 49,9 de reestructuración, 30,0 por el acuerdo de cuatro demandas colectivas y 5,4 de defensa antimonopolio).</w:t>
      </w:r>
    </w:p>
    <w:p>
      <w:pPr>
        <w:spacing w:after="100"/>
      </w:pPr>
      <w:r>
        <w:t xml:space="preserve">Se repiten cada año: la media de 2022-2025 es de 125 M, un 2,3 % de las ventas, y la reestructuración de 2024-2025 está ligada al cierre de la nube [1]. Desde 2021 el gasto de la transformación ya no se excluye del ajustado. Quedan fuera de la columna las partidas financieras que también ajusta la empresa (participadas a valor razonable, pensiones a mercado, divisa de préstamos intragrupo y Argentina). El BPA ajustado de la empresa excluye además la amortización de intangibles adquiridos: 7,65 USD en 2025 frente a 5,32 contable [4]. Los dividendos por acción de 2016 y 2017 salen del 10-K de 2019 [17].</w:t>
      </w:r>
    </w:p>
    <w:p>
      <w:pPr>
        <w:spacing w:after="100"/>
      </w:pPr>
      <w:r>
        <w:t xml:space="preserve">LTM sep-26 (4T25 + 1T26 + 2T26 + 3T26, suma de los cuatro comunicados trimestrales; el 10-Q del 3T26 aún no está presentado): ingresos 1.550,6 + 1.648,9 + 1.700,1 + 1.692,5; EBIT 284,2 + 287,7 + 314,2 + 355,3; amortizaciones de la cuenta 184,3 + 183,1 + 189,7 + 194,4; beneficio atribuido 175,8 + 171,5 + 183,9 + 211,7; BPA diluido 1,44 + 1,42 + 1,54 + 1,79 [4, 12, 13, 28]. Los 104,7 M de no recurrentes son los que la empresa excluye de su EBITDA ajustado y están en el resultado operativo: 4T25, 40,0 M (acuerdo de demandas 30,0, integración 8,5, antimonopolio 1,2, ciberataque 0,3); 1T26, 6,8 M; 2T26, 48,0 M, de ellos 40,0 M por un acuerdo judicial sobre un error de codificación ya comunicado (provisión de 100,0 M menos 60,0 M que espera cobrar del seguro); 3T26, 9,9 M (integración 8,9, antimonopolio 0,8, ciberataque 0,2) [4, 12, 13, 28]. Con ellos, el EBITDA LTM sale en 2.097,6 M, prácticamente el ajustado de la empresa (2.097,9 M). FCF LTM: 1.134,3 M de 2025 + 763,2 M de 9M26 − 793,5 M de 9M25 = 1.104,0 M [4, 23, 28]. El BPA ajustado del 3T26 (2,26 USD) excluye además 59,9 M de amortización de intangibles adquiridos [28].</w:t>
      </w:r>
    </w:p>
    <w:p>
      <w:pPr>
        <w:spacing w:after="100"/>
      </w:pPr>
      <w:r>
        <w:t xml:space="preserve">La columna amortizaciones de la cuenta es la de la cuenta de resultados (719,5 M en 2025), que ya incluye la amortización de intangibles adquiridos; el XBRL toma la del estado de flujos (726,9 M en 2025, unos 7-11 M más cada año), por eso su EBITDA es algo mayor [3,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y BPA de la tabla son los ajustados de la empresa; el orgánico, moneda local sin compras [4, 5, 12, 13, 23, 24, 25, 28]. En BPA ajustado, Equifax batió el consenso previo en siete de los ocho trimestres (4T24 en línea): en el 3T26 dio 2,26 USD frente a 2,20 de consenso (2,19 según otra fuente); el diluido contable, 1,79 USD (+39 %) [12, 28, 31, 32, 33].</w:t>
      </w:r>
    </w:p>
    <w:p>
      <w:pPr>
        <w:spacing w:after="100"/>
      </w:pPr>
      <w:r>
        <w:t xml:space="preserve">En el 2T26 la dirección mantuvo la guía contable, anunció Círculo de Crédito (750 M) y dobló a 150 M el ahorro por inteligencia artificial [12, 18]. Los analistas preguntaron sobre todo por los contratos de gobierno (100 M de negocio nuevo, efecto en 2027), la adopción de Vantage a 1 USD, la sostenibilidad de Talent Solutions y el escenario hipotecario; la dirección no dio cifras de crecimiento de gobierno ni de 2027 [34].</w:t>
      </w:r>
    </w:p>
    <w:p>
      <w:pPr>
        <w:spacing w:after="100"/>
      </w:pPr>
      <w:r>
        <w:t xml:space="preserve">En el 3T26 el tono cambia: el mercado hipotecario se debilitó en la segunda mitad del trimestre y la guía de ingresos de 2026 baja unos 80 M, a 6.646-6.676 M, con originaciones del -6,5 % al -7,5 %; el BPA ajustado queda en 8,45-8,55 USD (8,39-8,69 antes) y el margen sin FICO sube 100 pb en vez de 75 gracias a los costes [28, 29]. Novedades: unos 2.000 prestamistas ya usan Vantage y la empresa cifra en 80 M de ingresos y 38 M de margen el riesgo de que las hipotecas de las agencias pasen a dos burós [29]. La guía del 4T26 (2,07-2,17 USD) deja el BPA plano frente al 4T25 (2,09) [4, 29].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Veda (Australia y Nueva Zelanda), consolidada desde marzo de 2016: diez meses en la cuenta; los pagos por adquisiciones del año suman 1.791,6 M USD.; 2021: Kount (10-feb-21, 640 M USD) y Appriss Insights (1-oct-21, 1.825 M USD): Appriss entra con todo su balance y solo un trimestre en la cuenta.; 2023: Boa Vista Serviços (Brasil), control desde el 7-ago-23 por unos 870 M USD: menos de cinco meses en la cuenta y balance completo.).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pasa de 2.672 M en 2016 a 5.787 M en 2022, empujada por Kount, Appriss Insights y el capex de la nube, y se estabiliza en torno a 5.100 M en 2024-2025 [3]. A 30-sep-26 es de 5.206,7 M (157,7 M a corto y 5.049,0 M a largo) con 192,9 M de caja: deuda neta de 5.013,8 M, frente a 4.912,5 M a dic-25 [28]. En el año la empresa devolvió el bono de 275 M que vencía en junio de 2026 (276,4 M de pagos de deuda a largo) y en julio emitió 500 M al 5,000 % con vencimiento en agosto de 2029 y 500 M al 5,650 % en agosto de 2033, con los que bajó el papel comercial de 1.397 M a 30-jun a unos 158 M a 30-sep; las recompras de 652 M de 9M26 se financiaron con deuda [28, 30]. Falta por pagar Círculo de Crédito (750 M de valor empresa, cierre previsto en el 4T26), que llevaría la deuda neta a unos 5.760 M (estimación propia) [28, 29]. El coste medio de la deuda es del 4,2 % (212,3 M de intereses sobre 5.076 M de deuda media en 2025); los bonos nuevos pagan más y el gasto por intereses del 3T26 sube a 62,3 M desde 52,2 M [1, 28]. La vida media, estimación propia por los vencimientos nominales a 30-sep-26, es de unos 3,6 años; el próximo bono vence en diciembre de 2027 (750 M al 5,10 %) [30]. Fondo de comercio e intangibles suman 8.070 M a 30-sep-26, 1,8 veces el patrimonio: el patrimonio tangible es negativo [28].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5.498</w:t>
      </w:r>
      <w:r>
        <w:t xml:space="preserve">, conversión </w:t>
      </w:r>
      <w:r>
        <w:rPr>
          <w:b/>
          <w:bCs/>
        </w:rPr>
        <w:t xml:space="preserve">115 %</w:t>
      </w:r>
      <w:r>
        <w:t xml:space="preserve"> del beneficio neto; adquisiciones 6.131, dividendos 1.910, recompras 1.075.</w:t>
      </w:r>
    </w:p>
    <w:p>
      <w:pPr>
        <w:spacing w:after="100"/>
      </w:pPr>
      <w:r>
        <w:t xml:space="preserve">El flujo operativo sube de 823 M en 2016 a 1.616 M en 2025 y el flujo libre (operativo menos capex) a 1.134 M en 2025, frente a 813 M en 2024 y 516 M en 2023 [3, 4, 5]. Hay tres años anómalos: 2019 (314 M) por los pagos de las demandas del ciberataque; 2018 incluye 110 M cobrados del seguro; y 2022 (757 M) por el pago de 345 M al fondo de la demanda colectiva de consumidores [14, 16]. Los intereses van en explotación (209,7 M pagados en 2025) [3].</w:t>
      </w:r>
    </w:p>
    <w:p>
      <w:pPr>
        <w:spacing w:after="100"/>
      </w:pPr>
      <w:r>
        <w:t xml:space="preserve">El capex pasa del 5,5 % de las ventas en 2016 a un máximo del 12,2 % en 2022 (625 M) y baja al 7,9 % en 2025 (481 M); en los doce meses a septiembre de 2026, 508,9 M (378,9 M en 9M26 frente a 351,4 M en 9M25) [3, 28]. El flujo operativo de 9M26 es de 1.142,1 M, casi igual que el de 9M25 (1.144,9 M) pese al mayor beneficio, por más circulante (cuentas a cobrar −91,7 M y otros activos −95,7 M); el flujo libre de los doce meses a septiembre es de 1.104 M [28]. La empresa habla de una inversión global de unos 3.000 M en la nube y de casi el 85 % de los ingresos ya en la nube a finales de 2024 [5, 22], y espera un capex de los próximos doce meses por debajo del actual [1]. Guía de 2026, reiterada en octubre: flujo libre de más de 1.000 M y conversión de al menos el 100 % del beneficio ajustado [29]. La empresa no separa mantenimiento y crecimiento; estimación propia: si el 5-6 % de las ventas anterior a la nube es el mantenimiento, unos 2-3 puntos del capex actual siguen siendo desarrollo de producto. El gasto con Google fue de 207 M en 2025 (198 M en 2024)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Equifax desde 2002 y emitió en 2025 una opinión favorable sobre las cuentas y el control interno; su asunto clave fue el test de deterioro del fondo de comercio de Asia-Pacífico (1.350 M), cuyo valor razonable supera al contable en más de un 10 % [1]. No ha habido deterioros del fondo de comercio en los ejercicios revisados [1].</w:t>
      </w:r>
    </w:p>
    <w:p>
      <w:pPr>
        <w:spacing w:after="100"/>
      </w:pPr>
      <w:r>
        <w:t xml:space="preserve">Tres puntos de juicio. Primero, la capitalización de software: el software interno bruto llega a 3.098 M a dic-25, se amortiza en tres a siete años y su amortización es la principal causa del alza de la D&amp;A [1]; el capex de 2025 (481 M) ya se parece a la amortización sin intangibles adquiridos (469 M). Segundo, los ajustes: la empresa excluye cada año entre 90 y 155 M de costes de integración, reestructuración y litigios desde 2022, y la amortización de adquisiciones (250 M), de modo que el BPA ajustado de 2025 (7,65 USD) supera en un 44 % al contable (5,32) [4]. Tercero, la remuneración en acciones es de 78,4 M en 2025, el 11,9 % del beneficio neto (13,5 % en 2024) [1]. En 2020 la empresa cambió a valor de mercado la contabilidad de pensiones y reexpresó 2018-2019 [9]. Desde 2026 los ingresos incluyen la reventa de puntuaciones de FICO a margen cero, que infla el crecimiento unos 340 pb [22].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integración y litigios aparecen todos los años; media de 125 M anuales en 2022-2025 [4, 5, 6,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Brecha entre BPA ajustado y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ajustado excluye 250 M de amortización de intangibles adquiridos: 7,65 frente a 5,32 USD en 2025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capitalizado de vida corta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amortización pasa del 8,4 % al 11,8 % de las ventas entre 2016 y 2025 por la nube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6.746 M, el 147 % del patrimonio; Asia-Pacífico con holgura de algo más del 10 %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FICO sin margen desde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6 % de los ingresos; suman crecimiento y restan margen sin cambiar el beneficio [19, 22].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Investigaciones y demandas abiertas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Requerimientos del CFPB y demanda antimonopolio contra Workforce Solutions, sin cuantía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por cambio contable de pensiones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2020 a valor de mercado; afecta a otros resultados, no al EBIT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Acuerdo judicial por un error de codificación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Provisión de 100,0 M, con 60,0 M que espera cobrar del seguro; cargo neto de 40,0 M excluido del ajustado [12].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6.746 M en 2025 (el 68 % del capital invertido medio); ha subido más de un 5 % en 3 de 9 años: comprador en serie. ROIC publicado 9,3 %; sin fondo de comercio, 29,5 %.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7,0 % · </w:t>
      </w:r>
      <w:r>
        <w:rPr>
          <w:b/>
          <w:bCs/>
        </w:rPr>
        <w:t xml:space="preserve">WACC</w:t>
      </w:r>
      <w:r>
        <w:t xml:space="preserve">: 10,3 %.</w:t>
      </w:r>
    </w:p>
    <w:p>
      <w:pPr>
        <w:spacing w:after="100"/>
      </w:pPr>
      <w:r>
        <w:rPr>
          <w:b/>
        </w:rPr>
        <w:t xml:space="preserve">Equifax no cubre hoy su coste de capital a nivel de grupo.</w:t>
      </w:r>
      <w:r>
        <w:t xml:space="preserve"> El ROIC después de impuestos pasa del 14,1 % de 2017 y el 14,3 % de 2020 al 8,5 % de 2023 y el 9,3 % de 2025, por debajo del WACC del 10,25 %: ROIC menos WACC de −0,9 puntos. La causa es el capital, no el margen: el capital invertido sube de 5.264 M en 2016 a 9.705 M en 2025 por las compras de 2021-2023 (Kount, Appriss Insights, Boa Vista), y el fondo de comercio es el 68 % de él. Sin fondo de comercio, el ROIC es del 29,5 %: el negocio operativo es muy rentable, pero las compras se pagaron caras. El ROIC incremental de 2016-2025 es del 7 %. TransUnion, con el mismo problema, tiene un ROIC del 7,6 %; Experian, del 15 %; FICO, del 65 % [128, 129, 130]. La compra de Círculo de Crédito a 12,1 veces el EBITDA [111] no lo mejora a corto plazo.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5.163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30-sep-26: caja de 192,9 M y deuda a corto de 157,7 M, casi todo papel comercial, respaldado por la línea revolving de 2.000 M (1.900 M vencen en agosto de 2029 y 100 M en agosto de 2028) [21, 28]. Estimación propia, a falta del 10-Q: unos 1.840 M disponibles en la línea y una liquidez total de unos 2.000 M, de la que saldrá el pago de Círculo de Crédito (750 M de valor empresa) en el 4T26. En julio de 2026 la empresa emitió 1.000 M en bonos para amortizar papel comercial: a 30-jun-26 el papel comercial era de 1.397 M y la línea disponible, de 602 M [21,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(S&amp;P) y Baa2 (Moody's); la empresa no publica la perspectiva en su presentación de julio de 2026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línea revolving exige una deuda financiada no superior a 3,75 veces el EBITDA (4,25 tras una compra relevante); a 30-jun-26 la ratio de covenant era de 2,56 veces; la de 30-sep-26 saldrá en el 10-Q, aún no presentado [1, 21]. Los bonos obligan a recomprar al 101 % si un cambio de control lleva el rating por debajo de grado de inversión [1]. Pensiones: el plan de prestación definida de EE. UU. tiene un déficit de 106,4 M (obligación de 435,9 M frente a 329,5 M de activos) [1]. Litigios: 30,0 M provisionados en el 4T25 por un acuerdo de principio en cuatro demandas colectivas sobre disputas de consultas; una demanda colectiva antimonopolio contra Workforce Solutions (mayo de 2024, sin cuantía); y tres requerimientos del CFPB (2023-2024) sobre exactitud de datos en Workforce Solutions, con 15,0 M pagados en 2025 por otro asunto con el CFPB [1]. Del ciberataque de 2017 solo quedan costes residuales (1,0 M en 2025) y la multa de 13,5 M de la FCA británica, ya pagada [1, 4]. Minoritarios con opción de venta, aparecidos en 2023 con la compra de Boa Vista: 121,5 M [2, 3]. Compromisos de compra con Google por 656 M y de externalización por 1.100 M en total [1]. En el 2T26 la empresa provisionó 100,0 M por un acuerdo judicial sobre un error de codificación ya comunicado, con 60,0 M que espera recuperar del seguro (cargo neto de 40,0 M) [12]. Minoritarios con opción de venta a 30-sep-26: 120,8 M [28].</w:t>
      </w:r>
    </w:p>
    <w:p>
      <w:pPr>
        <w:pStyle w:val="Heading1"/>
      </w:pPr>
      <w:r>
        <w:t xml:space="preserve">12. Asignación de capital</w:t>
      </w:r>
    </w:p>
    <w:p>
      <w:pPr>
        <w:pStyle w:val="Confianza"/>
        <w:spacing w:after="100"/>
      </w:pPr>
      <w:r>
        <w:t xml:space="preserve">Confianza: Alta</w:t>
      </w:r>
    </w:p>
    <w:p>
      <w:pPr>
        <w:spacing w:after="100"/>
      </w:pPr>
      <w:r>
        <w:t xml:space="preserve">El dividendo estuvo congelado en 1,56 USD por acción de 2017 a 2024; en 2025 subió a 0,50 USD trimestrales (1,89 USD en el año) y en 2026 a 0,56 USD, un 12 % más [1, 2, 19, 28]. En abril de 2025 el consejo aprobó un programa de recompras de hasta 3.000 M sin fecha de vencimiento: se ejecutaron 927,5 M en 2025 (4,0 M de acciones) y 652,0 M en 9M26 (260 M en el 1T, 300 M en el 2T y 92 M en el 3T, este último por 0,5 M de acciones); quedarían unos 1.420 M autorizados (estimación propia, a falta del 10-Q) [1, 12, 13, 28]. Las acciones en circulación bajan de 120,4 M a dic-25 a 117,1 M a sep-26 [28]. La dirección prioriza compras complementarias que aumenten el beneficio por acción (Círculo de Crédito), recompras y mantener el grado de inversión con un apalancamiento por debajo de tres veces el EBITDA ajustado [18,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Veda (buró de crédito de Australia y Nueva Zelanda)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Papel comercial y línea de crédito, refinanciados en parte con bonos de 275 M al 3,25 % a diez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núcleo de Asia-Pacífico (fondo de comercio de 1.350 M); sin deterioro, pero con una holgura de algo más del 10 % en el test de 2025. Importe: pagos por adquisiciones netos de caja del año, casi todo Veda.</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PayNet (datos de crédito comercial) y otras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 Importe: pagos netos por adquisiciones del año.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Kount (prevención de fraude e identidad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USIS;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Appriss Insights (datos penitenciarios y judiciales)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la deuda bruta sube de 4.378 a 5.295 M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Workforce Solutions; la dirección la usa para los productos de antecedentes de Talent Solutions.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Efficient Hire, LawLogix, Midigator y Data Crédito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Boa Vista Serviços (Brasil), resto del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510 M en efectivo y el resto en acciones de Equifax do Brasil y de Equifax</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 el crecimiento de Latinoamérica en 2024; deja 121,5 M de minoritarios con opción de venta.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Círculo de Crédito (México), pendiente de cierre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Dentro de la capacidad de 2026, sin superar tres veces de apalancamiento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previsto en el 4T26, confirmado el 20-oct-26. Según la empresa, Círculo creció un 24 % en ingresos en los doce meses a septiembre de 2026 con un margen EBITDA ajustado del 47 % (30 % y 44 % en 2025; cifras de Círculo convertidas a 17,37 pesos por dólar) y aumentará el BPA ajustado el primer año. Múltiplo sobre el EBITDA ajustado esperado de 2026 con sinergias [12, 29].</w:t>
            </w:r>
          </w:p>
        </w:tc>
      </w:tr>
    </w:tbl>
    <w:p>
      <w:pPr>
        <w:spacing w:after="160" w:before="0"/>
      </w:pPr>
    </w:p>
    <w:p>
      <w:pPr>
        <w:spacing w:after="100"/>
      </w:pPr>
      <w:r>
        <w:t xml:space="preserve">De 2016 a 2025 Equifax generó 9.720 M de flujo operativo y destinó 4.222 M a capex, 6.131 M a adquisiciones, 1.910 M a dividendos y 1.075 M a recompras; la diferencia se financió con deuda, que pasó de 2.672 a 5.093 M [3]. Las compras grandes (Veda, Kount, Appriss Insights, Boa Vista) llevaron el fondo de comercio de 3.974 a 6.746 M sin deterioros [1, 3]. Hasta 2024 la caja se fue a la nube y a compras; desde 2025, con el capex en descenso, la retribución sube: 1.160 M devueltos en 2025 y 851 M en 9M26 (652 M en recompras y 199 M en dividendos), por encima del flujo libre del periodo (763 M), así que la deuda neta sube [21, 28]. El ritmo de recompras se frena en el 3T26 (92 M) ante el pago de Círculo de Crédito [28]. Las acciones diluidas apenas cambian entre 2016 y 2024 (121 a 125 M) y bajan a 118,1 M en el 3T26 [3, 28].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Begor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abril de 2018 desde Warburg Pincus, tras 35 años en General Electric al frente de GE Energy Management y GE Capital Real Estate [1]. Con él los ingresos pasaron de 3.400 M USD en 2018 a 6.100 M USD en 2025 (unos 9 % anuales), con 4.800 M USD en compras complementarias y la migración a la nube [79]. Tiene 409.244 opciones ejercitables y más de 48 M USD en acciones diferidas hasta después de su salida [79].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Gamble,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mayo de 2014 y además director de operaciones desde febrero de 2021; antes fue director financiero de Lexmark de 2005 a 2014 [1]. Firma como director financiero el 10-Q del segundo trimestre de 2026 [86]. Tiene 63 años y cobró 8,06 M USD en 2025 [1, 79].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 Feidler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2007 y presidente independiente desde que el consejo separó los cargos en 2017; fundador de MSouth Equity Partners y antes presidente y director de operaciones de BellSouth [79]. Preside la comisión de gobierno [80]. En 2026 recibió un 6,7 % de votos en contra en su reelección [75].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Chad M. Borton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Workforce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mayo de 2024 en sustitución de Rodolfo Ploder, que se jubiló [84]. Venía de presidir SoFi Bank (2021-2024) y USAA Bank (2017-2021) [1]. Su remuneración de 2024 fue de 11,63 M USD por las acciones de entrada [79].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Jamil Farshchi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de tecnología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seguridad de la información desde 2018 (se incorporó en febrero de 2018); asumió la tecnología de forma interina en 2024 tras la salida de Bryson Koehler y es CTO desde mayo de 2025 [1, 83]. Antes fue responsable de seguridad en Home Depot, Time Warner y Visa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Patricio Remon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International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Equifax desde 2006; presidió Equifax Europa desde 2015 (Reino Unido, Irlanda, Iberia, Perú y Ecuador) y dirige International desde marzo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U.S. Information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en febrero de 2026, con incorporación efectiva el 2 de marzo de 2026, tras nueve meses en que el propio consejero delegado llevó la división después de la salida de Todd Horvath en junio de 2025 [79, 81, 95].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3.650-3.750 M USD y BPA ajustado de 5,60-5,80 USD (febrero de 2020)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4.127,5 M USD y BPA ajustado de 6,97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4.350-4.450 M USD y BPA ajustado de 6,20-6,50 USD, con una caída del 5 % de las consultas hipotecarias en EE. UU.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4.923,9 M USD y BPA ajustado de 7,64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5.250-5.350 M USD y BPA ajustado de 8,50-8,80 USD, con una caída del mercado hipotecario del 21,5 %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5.122 M USD y BPA ajustado de 7,56 USD, con los ingresos hipotecarios un 23 % abajo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5.275-5.375 M USD y BPA ajustado de 7,05-7,35 USD, con el mercado hipotecario un 30 % abajo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5.265 M USD y BPA ajustado de 6,71 USD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5.670-5.770 M USD y BPA ajustado de 7,20-7,50 USD, con las consultas hipotecarias más de un 16 % abajo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5.681,1 M USD y BPA ajustado de 7,29 USD, en la parte baja de ambos rangos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5.890-6.010 M USD y BPA ajustado de 7,25-7,65 USD, con las consultas hipotecarias un 12 % abajo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6.074,5 M USD y BPA ajustado de 7,65 USD: ingresos por encima del rango y BPA en el techo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ingresos de 6.660-6.780 M USD y BPA ajustado de 8,30-8,70 USD [4]. Abril: 6.685-6.805 M USD y 8,34-8,74 USD, solo por el tipo de cambio [13]. Julio: 6.710-6.780 M USD y 8,39-8,69 USD, mismo punto medio con el rango estrechado [12]. Octubre: 6.646-6.676 M USD y 8,45-8,55 USD; punto medio de ingresos de 6.661 M USD, 59 M por debajo del de febrero, por la debilidad hipotecaria de EE. UU., y BPA ajustado de 8,50 USD, igual que el punto medio de febrero y 0,04 USD menos que el de julio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nueve meses con ingresos de 1.649, 1.700 y 1.693 M USD (5.042 M USD) y BPA ajustado de 1,86, 2,25 y 2,26 USD por trimestre (6,37 USD) [12, 13, 28]. La guía del 4T26 implica 1.605-1.635 M USD y 2,07-2,17 USD [28]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guía falló ingresos y BPA ajustado en 2022 y 2023 por subestimar la caída hipotecaria y se cumplió en 2024 y 2025 [4, 5, 6, 7, 8]. La de 2026 subió en abril por divisa, se estrechó en julio y en octubre recortó 59 M USD de ingresos en el punto medio frente a febrero por la hipoteca, con el BPA ajustado en 8,50 USD [4, 12, 13, 28]. La cúpula es estable (consejero delegado desde 2018, director financiero desde 2014) y no hay 8-K de nombramientos o salidas en los últimos doce meses [99]; la segunda línea rotó en 2024-2025 [1, 81, 83, 84]. La sucesión es el punto débil: Begor tiene 67 años, su contrato no tiene fecha de fin desde 2024 y el consejo trabaja con un asesor externo sin candidato público [79, 82]. Gamble tiene 63 años, sin relevo anunciado.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 Feidler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Begor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L. Fichuk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 Thomas Hough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A. Larson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D. Marcus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A. McGregor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A. McKinley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Melissa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Audrey Boone Tillman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Tecnología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0,46 / ventas 38,48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15,28 M de acciones (12,34 % según su 13G/A de octubre de 2025) [79, 88]. Tras su reorganización del 12-ene-2026 informa por filiales: la matriz declaró un 0 % en su 13G/A de marzo de 2026 [96] y Vanguard Capital Management, 9,02 M de acciones (7,47 %) a 31-mar-2026 [89]. Sin 13G posteriores al 14-may-2026 de ningún accionista [99].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8,55 M de acciones a 31-dic-2024 (6,9 % en su 13G/A) [79, 90]; sin declaraciones posteriores en EDGAR.</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de valor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7,56 M de acciones a 31-dic-2025; entró por encima del 5 % con su 13G de febrero de 2026 [79, 91].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6,59 M de acciones (5,5 %) en el proxy a 3,82 M (3,2 %) a 31-mar-2026, por debajo del umbral de declaración [79, 92].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5,90 M de acciones a 30-jun-2025, por debajo del 5 % [93].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opciones ejercitables y 600.000 acciones de planes de empleados cuya titularidad no se atribuyen [79].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68,3 M de acciones a 31-dic-2025 frente a 64,7 M un año antes, a un coste de 3.577,8 M USD [1]. Estimación propia del porcentaje sobre unos 189,3 M de acciones emitidas (capital social de 236,6 M USD a 1,25 USD de nominal); en circulación quedaban 120,63 M el 9-mar-2026 [79].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 M. Borton (presidente de Workforce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Cecilia H. Mao (directora de producto)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 M. Borton (presidente de Workforce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Begor cobró 23,42 M USD en 2025 (14,80 M en 2024): 1,50 M de salario, 2,74 M de bonus y 18,41 M en acciones y opciones, tras subir el incentivo a largo plazo objetivo de 10,1 a 17,1 M USD para retenerle; en 2026 se mantiene [79]. El bonus depende del BPA ajustado (81,25 %) y de los ingresos (18,75 %) y pagó el 152,1 % del objetivo [79]. El largo plazo de 2026 es EBITDA ajustado con modificador de TSR (60 %) y acciones restringidas (40 %); ninguna métrica mide retorno sobre el capital [79]. Hay recuperación por mala conducta y, por cambio de control, tres veces salario más bonus con doble condición [79, 82]. Say-on-pay de 2026: 84,1 % a favor y 15,6 % en contra [75].</w:t>
      </w:r>
    </w:p>
    <w:p>
      <w:pPr>
        <w:pStyle w:val="Heading2"/>
      </w:pPr>
      <w:r>
        <w:t xml:space="preserve">Operaciones vinculadas, estructura de control y defensas</w:t>
      </w:r>
    </w:p>
    <w:p>
      <w:pPr>
        <w:spacing w:after="100"/>
      </w:pPr>
      <w:r>
        <w:t xml:space="preserve">No hay accionista de control: el mayor es Vanguard con un 12,7 % y las cuatro primeras gestoras, con 13G pasivos, suman en torno al 31 % [79]. Una sola clase de acciones, consejo elegido cada año, sin píldora venenosa y sin mayorías reforzadas desde 2025 [76, 79]. Desde junio de 2026 un 25 % del capital mantenido un año puede pedir una junta extraordinaria; la junta rechazó bajarlo al 10 % [75, 85]. Nueve de diez consejeros y todas las comisiones son independientes [79]. Sin operaciones vinculadas en 2025 salvo la remuneración [79]. Los bonos senior, incluidos los 1.000 M USD de julio de 2026, tienen cláusula de cambio de control [1, 78, 98]. Los 8-K de los últimos doce meses son resultados, junta, estatutos, esa emisión y la ampliación del crédito revolving a 2.000 M USD [97, 99].</w:t>
      </w:r>
    </w:p>
    <w:p>
      <w:pPr>
        <w:pStyle w:val="Heading2"/>
      </w:pPr>
      <w:r>
        <w:t xml:space="preserve">Señales de alerta</w:t>
      </w:r>
    </w:p>
    <w:p>
      <w:pPr>
        <w:pStyle w:val="ListParagraph"/>
        <w:numPr>
          <w:ilvl w:val="0"/>
          <w:numId w:val="2"/>
        </w:numPr>
        <w:spacing w:after="60"/>
      </w:pPr>
      <w:r>
        <w:t xml:space="preserve">Sanción de la CFPB en enero de 2025: 15 M USD por la gestión de reclamaciones de consumidores y por vender puntuaciones de crédito erróneas tras introducir código de prueba en producción, el incidente de 2022 [94].</w:t>
      </w:r>
    </w:p>
    <w:p>
      <w:pPr>
        <w:pStyle w:val="ListParagraph"/>
        <w:numPr>
          <w:ilvl w:val="0"/>
          <w:numId w:val="2"/>
        </w:numPr>
        <w:spacing w:after="60"/>
      </w:pPr>
      <w:r>
        <w:t xml:space="preserve">Investigación abierta de la CFPB sobre la exactitud de datos y las reclamaciones en Workforce Solutions, con requerimientos en julio de 2023, marzo de 2024 y agosto de 2024; la empresa no puede prever el resultado y sigue abierta en el 10-Q del segundo trimestre de 2026 [1, 2].</w:t>
      </w:r>
    </w:p>
    <w:p>
      <w:pPr>
        <w:pStyle w:val="ListParagraph"/>
        <w:numPr>
          <w:ilvl w:val="0"/>
          <w:numId w:val="2"/>
        </w:numPr>
        <w:spacing w:after="60"/>
      </w:pPr>
      <w:r>
        <w:t xml:space="preserve">Demanda colectiva antimonopolio presentada en mayo de 2024 contra los servicios de verificación de ingresos y empleo de Workforce Solutions, el negocio más rentable [1, 2]; sus costes se excluyen del BPA ajustado (0,8 M USD en el 3T26) [28].</w:t>
      </w:r>
    </w:p>
    <w:p>
      <w:pPr>
        <w:pStyle w:val="ListParagraph"/>
        <w:numPr>
          <w:ilvl w:val="0"/>
          <w:numId w:val="2"/>
        </w:numPr>
        <w:spacing w:after="60"/>
      </w:pPr>
      <w:r>
        <w:t xml:space="preserve">Sucesión del consejero delegado sin resolver: Begor tiene 67 años, su contrato ya no tiene fecha de fin desde noviembre de 2024 y el consejo trabaja con un asesor externo sin candidato público [79, 82].</w:t>
      </w:r>
    </w:p>
    <w:p>
      <w:pPr>
        <w:pStyle w:val="ListParagraph"/>
        <w:numPr>
          <w:ilvl w:val="0"/>
          <w:numId w:val="2"/>
        </w:numPr>
        <w:spacing w:after="60"/>
      </w:pPr>
      <w:r>
        <w:t xml:space="preserve">Rotación en la segunda línea: salieron los responsables de tecnología (2024), Workforce Solutions (2024), jurídico (2025) y U.S. Information Solutions (2025, con 2,9 M USD de indemnización y 3,2 M por acciones no consolidadas) [79, 81, 83, 84].</w:t>
      </w:r>
    </w:p>
    <w:p>
      <w:pPr>
        <w:pStyle w:val="ListParagraph"/>
        <w:numPr>
          <w:ilvl w:val="0"/>
          <w:numId w:val="2"/>
        </w:numPr>
        <w:spacing w:after="60"/>
      </w:pPr>
      <w:r>
        <w:t xml:space="preserve">Ventas continuadas de directivos: entre el 20-oct-2025 y el 20-oct-2026 el consejero delegado vendió 162.718 acciones por 32,1 M USD (incluidas 21.386 de un GRAT el 27-oct-2025) y el conjunto de directivos, 38,5 M USD, todo dentro de planes 10b5-1 y en buena parte tras ejercitar opciones; la única compra fue de 2.400 acciones (0,46 M USD) [87, 100].</w:t>
      </w:r>
    </w:p>
    <w:p>
      <w:pPr>
        <w:pStyle w:val="ListParagraph"/>
        <w:numPr>
          <w:ilvl w:val="0"/>
          <w:numId w:val="2"/>
        </w:numPr>
        <w:spacing w:after="60"/>
      </w:pPr>
      <w:r>
        <w:t xml:space="preserve">Apoyo a la remuneración en descenso: 84,1 % a favor en 2026 frente al 91,9 % de 2025 y el 90,6 % de 2024, tras la subida del incentivo a largo plazo del consejero delegado [75, 76, 77, 79].</w:t>
      </w:r>
    </w:p>
    <w:p>
      <w:pPr>
        <w:pStyle w:val="ListParagraph"/>
        <w:numPr>
          <w:ilvl w:val="0"/>
          <w:numId w:val="2"/>
        </w:numPr>
        <w:spacing w:after="60"/>
      </w:pPr>
      <w:r>
        <w:t xml:space="preserve">Auditor (Ernst &amp; Young) desde 2002, 24 años; un 5,1 % de los votos presentes se opuso a su ratificación en 2026 [1, 75].</w:t>
      </w:r>
    </w:p>
    <w:p>
      <w:pPr>
        <w:pStyle w:val="ListParagraph"/>
        <w:numPr>
          <w:ilvl w:val="0"/>
          <w:numId w:val="2"/>
        </w:numPr>
        <w:spacing w:after="60"/>
      </w:pPr>
      <w:r>
        <w:t xml:space="preserve">Acuerdos de principio para cerrar demandas colectivas por la Ley de Informes de Crédito (FCRA): en enero de 2026 las cuatro de disputas de consultas (30 M USD provisionados en el 4T25) y en junio de 2026 la del error de código de 2022; ambos pendientes de aprobación judicial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20 de octubre de 2026, con los resultados del tercer trimestre, Equifax rebajó la guía de ingresos de 2026 a 6.646-6.676 M USD (punto medio 6.661 M; crecimiento publicado del 9,4 % al 9,9 % y orgánico en moneda local del 8,4 % al 8,9 %), frente a los 6.710-6.780 M de julio, por un mercado hipotecario de EE. UU. «mucho más débil» desde la segunda mitad del trimestre que espera que dure el resto del año [28]. Mantuvo el BPA ajustado prácticamente intacto: 8,45-8,55 USD (punto medio 8,50, 0,04 USD menos que en julio) gracias al control de costes y a la eficiencia con inteligencia artificial, y confirmó el crecimiento de un dígito alto en los mercados diversificados [28]. Para el cuarto trimestre guía ingresos de 1.605 a 1.635 M USD (+3,5 % a +5,4 %) y BPA ajustado de 2,07 a 2,17 USD [28]. Prevé cerrar la compra de Círculo de Crédito en el cuarto trimestre y mantiene el objetivo de 150 M USD de ahorros con IA [28]. No hay guía para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24 analistas, página al cierre del 19-oct-2026 (anterior a los resultados) [102]. BPA CONTABLE (US GAAP; 2025 real 5,32); el BPA ajustado del consenso es 8,50 USD (Yahoo Finance, 23 analistas [105]), igual que el punto medio de la nueva guía [28]. EBITDA ajustado de la empresa</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19-oct-2026 [102]. BPA contable; el ajustado es 9,85 USD (Yahoo Finance, 23 analistas, rango 8,83-10,84 [105])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19-oct-2026 [102]. BPA contable; no hay consenso ajustado gratuito para 2028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148,00 – 245,00</w:t>
            </w:r>
          </w:p>
        </w:tc>
      </w:tr>
    </w:tbl>
    <w:p>
      <w:pPr>
        <w:spacing w:after="160" w:before="0"/>
      </w:pPr>
    </w:p>
    <w:p>
      <w:pPr>
        <w:pStyle w:val="Heading2"/>
      </w:pPr>
      <w:r>
        <w:t xml:space="preserve">Revisiones de estimaciones</w:t>
      </w:r>
    </w:p>
    <w:p>
      <w:pPr>
        <w:spacing w:after="100"/>
      </w:pPr>
      <w:r>
        <w:t xml:space="preserve">El consenso de BPA ajustado lleva tres meses bajando: el de 2027 ha pasado de 10,26 USD hace 90 días a 10,12 hace 30, 10,01 hace siete y 9,85 al cierre del 19 de octubre (−4,0 %), con seis revisiones a la baja en la última semana y ninguna al alza; el de 2026, de 8,60 a 8,50 (−1,2 %) [105]. El motivo es la hipoteca: la nueva guía recorta 84 M USD de ingresos de 2026 en el punto medio, pero solo 0,04 USD de BPA [28]. Los objetivos han caído más deprisa que las cifras: el medio de MarketScreener ha pasado de 203,90 USD el 7 de octubre a 194,00 [103], con recortes antes de los resultados de Jefferies (200 a 170), Needham (245 a 190), Bank of America (210 a 200), Morgan Stanley (225 a 205), RBC (194 a 177) y Mizuho (210 a 185), y la rebaja de Oppenheimer a «Market Perform» el 16 de octubre [103, 106]. Stock Analysis cuenta 12 recomendaciones de compra fuerte, 6 de compra y 6 de mantener, con objetivo medio de 196,35 USD [104]. El 20 de octubre, a media sesión, no se había publicado ninguna revisión posterior a los resultados [103, 106].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bl>
    <w:p>
      <w:pPr>
        <w:spacing w:after="160" w:before="0"/>
      </w:pPr>
    </w:p>
    <w:p>
      <w:pPr>
        <w:spacing w:after="100"/>
      </w:pPr>
      <w:r>
        <w:t xml:space="preserve">Equifax lleva cinco años perdiendo frente al mercado: −9,4 % anual con dividendos frente a +12,6 % del S&amp;P 500 y +11,5 % del sector industrial (XLI) [101]. En 2026 cae un 26,3 % frente al +13,3 % del índice, y marcó su mínimo de 52 semanas, 137,01 USD, el 30 de septiembre, un 43 % por debajo del máximo de 238,94 USD del 27 de octubre de 2025; la caída desde septiembre de 2024 llega al 54 % [101]. Las bajadas han llegado en saltos: −12,1 % el 3 de febrero, −7,2 % el 22 de abril, −7,4 % el 17 de junio, −5,8 % el 30 de julio y −6,4 % el 4 de septiembre [101]. Desde el mínimo de septiembre ha rebotado un 16 %, hasta 158,57 USD el 19 de octubre, víspera de los resultados [101]. La volatilidad de un año, 39,4 %, es la de un valor en revisión. La posición corta ha bajado al 4,45 % del capital, 3,1 días de volumen [119].</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 -8,3 % / -20,1 % / -30,2 %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-32,2 % / +15,5 %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senadores anuncian una investigación sobre los precios de The Work Number en los programas públicos [47].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siguiente a los resultados del 1T26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hecho propio identificado tras buscar en comunicados, 8-K y prensa; coincide con la presión del regulador hipotecario sobre los precios de las agencias.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21-jul y 30-jul-2026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segundo semestre por debajo de lo que esperaban los analistas pese a batir el 2T26 [144]; el 30-jul, otro −5,8 % sin hecho propio identificado.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sep-2026 (mes al 29-sep)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director de la FHFA llama «cártel» a las agencias y estudia el informe doble (4-sep, −6,4 %) [36]; el 1-oct Bloomberg adelanta que la FHFA lo ordenará en semanas (−5,9 % fuera de hora) [64, 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ingresos +10 %, BPA ajustado 2,26 USD frente a 2,20 de consenso; baja la guía de ingresos de 2026 a 6.646-6.676 M y deja el BPA ajustado en 8,45-8,55 USD [28,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precio objetivo de Jefferies, Needham, Bank of America, Morgan Stanley, RBC y Mizuho, y Oppenheimer baja a neutral; objetivo medio de 203,90 a 194,00 USD [103, 104].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prepara la orden de aceptar dos informes en lugar de tres; sin anuncio oficial a 20-oct; la empresa cifra el riesgo en unos 80 M de ingresos y 38 M de margen [29, 64, 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100 M USD en la demanda colectiva por el error de puntuaciones de 2022 (40 M netos tras el seguro, ya provisionados en el 2T26)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Círculo de Crédito (México) por 750 M de valor empresa, 12,1 veces su EBITDA ajustado; cierre en el 4T26 [111].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2025-10/2026-09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directivos por 38,46 M USD, todas con planes 10b5-1; el consejero delegado, 32,06 M; una sola compra de 0,46 M [87, 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cae un 30,2 % en 12 meses por causas conocidas y recogidas en el informe: la presión del regulador hipotecario sobre los precios y el informe doble, la venta directa de FICO y la hipoteca más débil. La decisión de la FHFA sigue pendiente, pero la empresa la cifra en unos 80 M de ingresos (≈1,2 %), por debajo del 5 % que retrasaría una decisión, y ya está en el bajista. Los resultados del 3T26 no traen un hecho que la tesis no tuviera. Los próximos resultados (4T26) no tienen fecha; por el calendario de 2026, a primeros de febrero de 2027. Veredicto global: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11,4 veces el EBITDA de los últimos 12 meses, Equifax cotiza cerca de su mínimo de diez años (12,0x en 2018, tras el ciberataque). En BPA ajustado adelantado, el PER de hoy es de 16,8 veces frente a una mediana de 33,3 veces en 2021-2025 y un mínimo de 25,8 veces: la mitad de su historia. Parte del descuento es estructural: el bono a 10 años está en el 5,15 % [107], frente al 1-2 % de 2020-2021; el regulador hipotecario ataca los precios de las agencias [36], FICO vende directo [45] y el ROIC del grupo ya no cubre el WACC. Por eso el método trata a Equifax como «desrateada» y usa la regla v2, que no supone que el múltiplo antiguo vuelva.</w:t>
      </w:r>
    </w:p>
    <w:p>
      <w:pPr>
        <w:pStyle w:val="Heading1"/>
      </w:pPr>
      <w:r>
        <w:t xml:space="preserve">18. Comparables cotizados</w:t>
      </w:r>
    </w:p>
    <w:p>
      <w:pPr>
        <w:pStyle w:val="Confianza"/>
        <w:spacing w:after="100"/>
      </w:pPr>
      <w:r>
        <w:t xml:space="preserve">Confianza: Media</w:t>
      </w:r>
    </w:p>
    <w:p>
      <w:pPr>
        <w:spacing w:after="100"/>
      </w:pPr>
      <w:r>
        <w:t xml:space="preserve">Equifax figura en Industriales, servicios profesionales [141]. Ocho cotizadas de datos, puntuación y analítica de riesgo. TransUnion y Experian son los otros dos burós globales y compiten producto a producto; FICO vende la puntuación que usan los tres. Verisk, Moody's, S&amp;P Global y MSCI comparten el modelo de datos propios con ingresos recurrentes y márgenes altos, y fijan el techo del múltiplo. First Advantage aporta la comparación en verificación de empleo y antecedentes, frente a Workforce Solutions. Se descartan Dun &amp; Bradstreet (excluida de bolsa en 2025) y LexisNexis Risk (dentro de RELX). Precios al cierre del 19-oct-2026; EBITDA y ventas de MarketScreener [120, 121, 122, 123, 124, 125, 126, 127], capitalización, valor empresa, ROIC y FCF de Stock Analysis [128, 129, 130, 131, 132, 133, 134, 135]; PER sobre BPA ajustado de Yahoo Finance [136, 137, 138, 139, 140] salvo Experian y S&amp;P Global (MarketScreener); Experian a 1,3331 USD/GBP (BCE [118]).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First Advantage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13,8x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15,2x / 18,4x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 / 22,3x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 / 8,9x / 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16,1 + -0,25 × crecimiento; R² = 0,02. El crecimiento explica poco los múltiplos de estos comparables (R² &lt; 0,3): la regresión no se usa en la valoración.</w:t>
      </w:r>
    </w:p>
    <w:p>
      <w:pPr>
        <w:spacing w:after="100"/>
      </w:pPr>
      <w:r>
        <w:t xml:space="preserve">Equifax cotiza a 10,4 veces el EBITDA de los próximos 12 meses y a 16,6 veces su BPA ajustado, frente a una mediana de 13,8 veces y 22,3 veces en la muestra [120, 121, 122, 123, 124, 125, 126, 127, 128, 129, 130, 131, 132, 133, 134, 135, 136, 137, 138, 139, 140]. La mediana no es la referencia buena: Moody's, S&amp;P Global, MSCI y Verisk ganan márgenes EBITDA del 51-61 % y no dependen del ciclo hipotecario. El grupo útil son los burós y FICO: TransUnion a 9,7 veces el EBITDA y 13,8 veces el BPA, Experian a 11,1 y 19,4, y FICO a 12,6 y 15,9 [120, 121, 122, 136, 137]. Equifax está en medio, con una prima sobre TransUnion que se explica por Workforce Solutions (41 % de los ingresos del 3T26 con un margen EBITDA del 51,4 %) [28]. El PER de la tabla para Equifax (20,3x) es el contable; con el ajustado de los comparables sería 16,6x. Con la mediana, los comparables dan 199,05 USD; con los múltiplos de TransUnion, Equifax valdría menos que el precio. Pesan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Círculo de Crédito (buró de crédito,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825 M USD, valor empresa de 750 M (neto de 75 M de caja estimada al cierre, sin deuda); ingresos estimados de 134 M USD en los 12 meses a 30-jun-2026 (+31 %) y EBITDA ajustado de 62 M [111]. Múltiplos calculados sobre esas cifras. Cierre previsto en el cuarto trimestre de 2026, confirmado el 20 de octubre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9,15 USD por acción; 7.700 M USD con deuda y 4.100 M de capital [112]. EV/ventas calculado con los ingresos de 2024, 2.382 M USD [113].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Sterling Check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Advantage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efectivo y acciones valorado en unos 2.200 M USD, con al menos 50 M de sinergias anuales; el comunicado no da ventas ni EBITDA de Sterling por separado [114].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Neustar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TransUnion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3.100 M USD en efectivo por un negocio con 575 M de ingresos y 115 M de EBITDA ajustado esperados en 2021 [115]. El múltiplo de EBITDA paga sinergias que el comunicado no cuantifica.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Appriss Insights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1.825 M USD con un beneficio fiscal de valor actual de unos 360 M, que deja el coste neto en unos 1.465 M [116, 117]. Las ventas del objetivo no figuran en los documentos oficiales consultados.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196,00 – 262,25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rara vez publican el múltiplo pagado: de cinco, tres lo permiten calcular. La más reciente es la de la propia Equifax: Círculo de Crédito, buró mexicano, a 5,6 veces ventas y 12,1 veces el EBITDA ajustado de los 12 meses a junio de 2026, por un negocio que crece un 31 % con margen del 46 % [111]. TransUnion pagó por Neustar 5,4 veces ventas y 27 veces el EBITDA de 2021, con sinergias [115]; Clearlake sacó de bolsa a Dun &amp; Bradstreet a 3,2 veces ventas, en un negocio de crecimiento bajo [112, 113]. Equifax compra más que es comprada. Con una capitalización de unos 18.700 M USD y un valor empresa de unos 24.000 M, el accionariado es disperso, lo que no impide una oferta, pero el tamaño limita los compradores a grandes fondos o a otro buró, y una fusión con TransUnion o Experian tendría difícil encaje en competencia. Que Equifax pague 12,1 veces EBITDA por un buró en crecimiento mientras cotiza a unas 10,4 veces dice que el mercado valora su negocio por debajo de lo que ella paga por uno comparable.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 proyección separa dos líneas. La reventa de la puntuación de FICO entra a margen casi nulo: unos 375 M en 2026 y 390 M en 2027, y baja a 330 M en 2029 con la adopción de VantageScore (unos 2.000 prestamistas ya la usan) [29]. El negocio propio crece un 6,6 % en 2026e (punto medio de la guía sin FICO, 6,3-6,8 %), que fija el año en 6.661 M [28, 29]. Después crece un 6,0 % en 2027e, un punto menos que en el informe del 8-oct, porque el tipo hipotecario a 30 años subió del 6,43 % al 7,40 % entre julio y octubre [62] y la empresa espera un mercado débil el resto de 2026 [28]; un 7,0 % en 2028e-2029e con Gobierno y Talent Solutions, y baja al 4,0 % en 2035e. Es la parte baja del marco orgánico de la dirección (7-10 %) [21]: </w:t>
      </w:r>
      <w:r>
        <w:rPr>
          <w:b/>
        </w:rPr>
        <w:t xml:space="preserve">no proyectamos recuperación del volumen hipotecario</w:t>
      </w:r>
      <w:r>
        <w:t xml:space="preserve">; las consultas duras cayeron un 9 % en el 3T26 [29].</w:t>
      </w:r>
    </w:p>
    <w:p>
      <w:pPr>
        <w:keepNext/>
        <w:spacing w:after="100"/>
      </w:pPr>
      <w:r>
        <w:rPr>
          <w:b/>
          <w:bCs/>
        </w:rPr>
        <w:t xml:space="preserve">Márgenes.</w:t>
      </w:r>
    </w:p>
    <w:p>
      <w:pPr>
        <w:spacing w:after="100"/>
      </w:pPr>
      <w:r>
        <w:t xml:space="preserve">El margen EBITDA ajustado sin FICO pasa del 33,8 % de 2026e (guía: 2.116-2.133 M, con el margen sin FICO +100 pb) [29] al 34,3 % en 2027e y al 36,0 % desde 2032e, medio punto al año, apoyado en los 150 M de ahorros por IA de 2026-2028 [12, 28]. El 36 % es el margen de 2016-2017, antes de la nube; no lo superamos. Con FICO, el margen del grupo va del 31,9 % de 2026e al 34,7 % de 2035e.</w:t>
      </w:r>
    </w:p>
    <w:p>
      <w:pPr>
        <w:keepNext/>
        <w:spacing w:after="100"/>
      </w:pPr>
      <w:r>
        <w:rPr>
          <w:b/>
          <w:bCs/>
        </w:rPr>
        <w:t xml:space="preserve">Inversión y circulante.</w:t>
      </w:r>
    </w:p>
    <w:p>
      <w:pPr>
        <w:spacing w:after="100"/>
      </w:pPr>
      <w:r>
        <w:t xml:space="preserve">La nube ya está hecha: el capex bajó del 12,2 % de las ventas en 2022 al 7,9 % en 2025 [3]. Lo llevamos del 7,5 % de 2026e al 7,0 % en 2030e, por encima del 5,5-6,5 % de 2016-2017, porque parte del capex es desarrollo de producto. La amortización baja del 11,4 % al 7,0 %: la de intangibles de compras (unos 245 M en 2026) se agota y la del software se iguala al capex. Circulante del 13,0 % de las ventas; impuestos del 27 % en 2026e y del 26 % después. El flujo libre de los 12 meses a septiembre es de 1.104 M [28].</w:t>
      </w:r>
    </w:p>
    <w:p>
      <w:pPr>
        <w:keepNext/>
        <w:spacing w:after="100"/>
      </w:pPr>
      <w:r>
        <w:rPr>
          <w:b/>
          <w:bCs/>
        </w:rPr>
        <w:t xml:space="preserve">Coste del capital.</w:t>
      </w:r>
    </w:p>
    <w:p>
      <w:pPr>
        <w:spacing w:after="100"/>
      </w:pPr>
      <w:r>
        <w:t xml:space="preserve">Tasa libre del 5,15 %: el Tesoro a 10 años del 19-oct-2026 [107]. Beta de 1,21, la ajustada mensual a cinco años frente al S&amp;P 500 [101]; la sectorial de Damodaran reapalancada da 0,91 [109]: con ella el WACC bajaría un punto y medio y el DCF subiría con fuerza, por eso la regla relativa (con la prima del mercado) se da al lado. Prima de mercado del 5,5 %, sin prima adicional. Deuda al 6,3 % antes de impuestos (Tesoro más el diferencial de 115 pb de la emisión a 2033 de julio) [110], con un 21,8 % de peso a valor de mercado. WACC del 10,25 %.</w:t>
      </w:r>
    </w:p>
    <w:p>
      <w:pPr>
        <w:keepNext/>
        <w:spacing w:after="100"/>
      </w:pPr>
      <w:r>
        <w:rPr>
          <w:b/>
          <w:bCs/>
        </w:rPr>
        <w:t xml:space="preserve">Valor terminal.</w:t>
      </w:r>
    </w:p>
    <w:p>
      <w:pPr>
        <w:spacing w:after="100"/>
      </w:pPr>
      <w:r>
        <w:t xml:space="preserve">Gordon al 3,0 %: un punto real y alrededor de un 2 % de inflación en dólares, por debajo del techo de coherencia (tasa libre menos medio punto, 4,65 %). El valor terminal pesa el 55 %. En el último año el capex iguala la amortización (7,0 %) y el circulante sigue en el 13 %, coherente con crecer al 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(reinvierte el 42 %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 (histórico: 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frente al 5,9 %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 (hoy: 31,8 %)</w:t>
            </w:r>
          </w:p>
        </w:tc>
      </w:tr>
    </w:tbl>
    <w:p>
      <w:pPr>
        <w:spacing w:after="160" w:before="0"/>
      </w:pPr>
    </w:p>
    <w:p>
      <w:pPr>
        <w:spacing w:after="100"/>
      </w:pPr>
      <w:r>
        <w:t xml:space="preserve">La proyección apenas necesita inversión neta de la amortización (reinversión acumulada de -855 M, con un capex bruto medio del 7,1 % de las ventas). En un negocio de activos ligeros, el crecimiento medio del 5,9 % tiene que salir de subir precios y de ganar volumen sin capital nuevo, y la prueba es el poder de precios y la cuota (34,6 % del mercado en 2035e, frente al 31,8 %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20-oct: crecimiento del 9,4-9,9 % contable y del 6,3-6,8 % sin FICO [28, 29]. La hipoteca de USIS crece por precio y producto con las consultas duras al −9 % en el 3T26 [29]; el volumen son registros de The Work Number (223 M, +12 %) y contratos públicos [29]. Otros: reventa de FICO de ≈175 a ≈375 M, sin margen. Reparto volumen/precio: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+6,0 %: un punto menos que en el informe del 8-oct por la hipoteca más débil (tipo a 30 años del 7,40 %) [62] y el riesgo de informe doble (80 M de ingresos según la empresa) [29]; volumen de Medicaid desde el 1-ene-2027 [48]. FICO ≈390 M.</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+7,0 % con Gobierno y Talent Solutions, sin recuperación hipotecaria [29]; la reventa de FICO baja a ≈360 M con la adopción de VantageScore (unos 2.000 prestamistas) [29].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propio +7,0 %, la parte baja del marco orgánico de la dirección (7-10 %) [21]; FICO ≈330 M.</w:t>
            </w:r>
          </w:p>
        </w:tc>
      </w:tr>
    </w:tbl>
    <w:p>
      <w:pPr>
        <w:spacing w:after="160" w:before="0"/>
      </w:pPr>
    </w:p>
    <w:p>
      <w:pPr>
        <w:spacing w:after="100"/>
      </w:pPr>
      <w:r>
        <w:t xml:space="preserve">En parte. Es un negocio de activos ligeros (el capex no supera la amortización hasta 2035e), así que la prueba es el poder de precios y la cuota. El volumen tiene base: The Work Number suma registros al 12 % anual y Medicaid exige verificar desde 2027 [29, 48]. Pero cerca de la mitad del crecimiento de 2026-2029 es precio (reparto: estimación propia), y el precio está bajo la presión de la FHFA, que llama «cártel» a las agencias [36], de la CFPB y de una demanda antimonopolio [72]. El grupo creció un 3-4 % en 2022-2023 [3] y su ROIC (9,3 %) no cubre el WACC: el crecimiento no crea valor por encima del coste de capital. No se rebaja más el base: ya está en la parte baja del marco de la dirección y sin recuperación hipotecaria.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36,3 % (base: 34,7 %)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10,3 %)</w:t>
            </w:r>
          </w:p>
        </w:tc>
      </w:tr>
    </w:tbl>
    <w:p>
      <w:pPr>
        <w:spacing w:after="160" w:before="0"/>
      </w:pPr>
    </w:p>
    <w:p>
      <w:pPr>
        <w:spacing w:after="100"/>
      </w:pPr>
      <w:r>
        <w:t xml:space="preserve">El DCF da </w:t>
      </w:r>
      <w:r>
        <w:rPr>
          <w:b/>
        </w:rPr>
        <w:t xml:space="preserve">147,31 USD por acción</w:t>
      </w:r>
      <w:r>
        <w:t xml:space="preserve">, un 7,1 % por debajo del precio, con un valor terminal que pesa el 55 %. </w:t>
      </w:r>
      <w:r>
        <w:rPr>
          <w:b/>
        </w:rPr>
        <w:t xml:space="preserve">El DCF inverso dice que el precio descuenta un crecimiento de los ingresos del 6,4 % anual en 2027e-2035e</w:t>
      </w:r>
      <w:r>
        <w:t xml:space="preserve">, frente al 5,5 % de nuestro caso base, </w:t>
      </w:r>
      <w:r>
        <w:rPr>
          <w:b/>
        </w:rPr>
        <w:t xml:space="preserve">o un margen EBITDA del 36,3 %</w:t>
      </w:r>
      <w:r>
        <w:t xml:space="preserve"> frente al 34,7 %. Es decir: tras la subida de la acción desde el mínimo de 137,01 USD de septiembre, el mercado ya paga algo más de lo que proyectamos sin recuperación hipotecaria. La rentabilidad implícita en el precio es del 9,9 %, por debajo de nuestro WACC del 10,25 %. Con el precio del informe anterior (142,43 USD) el DCF daba margen; hoy no. La sensibilidad es alta: medio punto más de WACC baja el valor a 134,77 USD, y medio punto más de crecimiento terminal lo sube a 155,70. Con la prima implícita del mercado (4,20 %), el WACC baja al 9,02 % y el DCF sube a 187,15 USD: la tesis a favor depende de aceptar un coste de capital más bajo que el que da la beta histórica.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ordena el informe doble en 2027 y los originadores negocian precio; FICO se lleva la reventa de su puntuación; los programas públicos y la demanda antimonopolio fuerzan a bajar los precios de The Work Number. Es 2022-2023 otra vez: un año de caída (−6 puntos de crecimiento y −3 de margen en 2027e) y luego 2,5 puntos menos de crecimiento y 2 de margen [3, 36, 64, 72].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recuperación del volumen hipotecario; la hipoteca débil y el informe doble restan un punto de crecimiento en 2027e; Gobierno y Talent Solutions sostienen Workforce Solutions; el margen sin FICO sube medio punto al año hasta el 36 %.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hipotecarios bajan y las consultas recuperan parte de lo perdido en 2028-2029 [62], la FHFA mantiene los tres informes y Medicaid amplía la verificación pública: 1,5 puntos más de crecimiento y de margen, con 3-4 puntos adicionales de crecimiento en 2028e-2029e.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58,5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144,29 USD (-9,0 %).</w:t>
      </w:r>
    </w:p>
    <w:p>
      <w:pPr>
        <w:spacing w:after="100"/>
      </w:pPr>
      <w:r>
        <w:t xml:space="preserve">Con nuestro coste de capital, el reparto no compensa: el alcista vale 184,90 USD (+16,6 %) y el bajista 97,66 USD (−38,4 %), una asimetría de 0,43 veces; el valor ponderado (25/50/25) es de 144,29 USD. El bajista no es cosmético: suma el informe doble, que la FHFA prepara [64], la venta directa de FICO [45] y la presión sobre el precio de la verificación [47, 72]. Con la prima que hoy pide el mercado, el bajista queda en 124,03 USD y el alcista en 233,80 USD: una asimetría de 2,18 veces. La diferencia entre las dos lecturas es solo de tasa de descuento, no de cifras.</w:t>
      </w:r>
    </w:p>
    <w:p>
      <w:pPr>
        <w:pStyle w:val="Heading1"/>
      </w:pPr>
      <w:r>
        <w:t xml:space="preserve">22. Suma de partes</w:t>
      </w:r>
    </w:p>
    <w:p>
      <w:pPr>
        <w:pStyle w:val="Confianza"/>
        <w:spacing w:after="100"/>
      </w:pPr>
      <w:r>
        <w:t xml:space="preserve">Confianza: Media</w:t>
      </w:r>
    </w:p>
    <w:p>
      <w:pPr>
        <w:spacing w:after="100"/>
      </w:pPr>
      <w:r>
        <w:t xml:space="preserve">La suma de partes da 184,01 USD por acción, un 16,0 % sobre el precio, y enseña dónde está el valor. Workforce Solutions, a 15 veces su EBITDA ajustado de 2026e (1.435 M, estimación propia con la guía), vale unos 21.500 M: casi todo el valor empresa de mercado del grupo (23.999 M). A 158,57 USD, una vez pagado Workforce Solutions a 15 veces, quedan unos 2.500 M para la agencia de crédito de EE. UU. y la división internacional netas de los costes centrales; esos dos negocios suman 1.208 M de EBITDA. Esa lectura es la que hace atractiva la acción y también la que la hace frágil: si la presión de precios llega a la verificación, el múltiplo de 15 veces cae. Los múltiplos de cada parte son los de sus pares más directos [120, 121, 122, 123, 124, 125, 126, 127, 128, 129, 130, 131, 132, 133, 134, 135]; sin descuento de conglomerado, porque los tres negocios comparten datos, clientes y la plataforma en la nube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223 millones de registros activos (+12 %), margen EBITDA ajustado del 51,4 % en el 3T26 y un objetivo de crecimiento del 13-15 % anual [21, 28, 29]. 15 veces, entre FICO (12,6x) y Verisk (14,9x) por abajo y Moody's (19,1x) y MSCI (20,3x) por arriba [122, 123, 124, 125, 126].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Agencia de crédito de EE. UU., con la hipoteca como primer riesgo (informe doble y FICO) [29, 64]. TransUnion, el par más directo, cotiza a 9,7 veces el EBITDA de los próximos 12 meses [120].</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Burós en Reino Unido, Canadá, Australia y Latinoamérica con un margen EBITDA ajustado del 30,9 % en el 3T26 [28]. Por debajo de Experian (11,1x), con más escala [121].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no asignados (529 M en 2025) [4], capitalizados al múltiplo medio ponderado de los tres negocios.</w:t>
            </w:r>
          </w:p>
        </w:tc>
      </w:tr>
    </w:tbl>
    <w:p>
      <w:pPr>
        <w:spacing w:after="160" w:before="0"/>
      </w:pPr>
    </w:p>
    <w:p>
      <w:pPr>
        <w:spacing w:after="100"/>
      </w:pPr>
      <w:r>
        <w:rPr>
          <w:b/>
          <w:bCs/>
        </w:rPr>
        <w:t xml:space="preserve">Valor por acción por suma de partes:</w:t>
      </w:r>
      <w:r>
        <w:t xml:space="preserve"> 184,01 (+16,0 %); con ±1x en los múltiplos, 149,66 – 218,36.</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58,5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160,42 USD (+1,2 % sobre 158,57).</w:t>
      </w:r>
    </w:p>
    <w:p>
      <w:pPr>
        <w:spacing w:after="100"/>
      </w:pPr>
      <w:r>
        <w:t xml:space="preserve">El valor objetivo es de </w:t>
      </w:r>
      <w:r>
        <w:rPr>
          <w:b/>
        </w:rPr>
        <w:t xml:space="preserve">160,42 USD</w:t>
      </w:r>
      <w:r>
        <w:t xml:space="preserve"> (+1,2 %): DCF 40 %, escenarios ponderados 30 %, comparables 20 % y suma de partes 10 %. El DCF (147,31) y los escenarios (144,29) mandan porque el debate sobre Equifax es de flujos a largo plazo (cuánto margen sobrevive al informe doble, a FICO y a la presión de precios) y ningún múltiplo actual lo recoge. Los comparables (199,05 USD) pesan menos porque la mediana mezcla empresas de calificaciones e índices con márgenes del 51-61 %. La suma de partes (184,01 USD) es control: dice que el precio paga sobre todo Workforce Solutions. Las transacciones no pesan: tres con múltiplo y Equifax es compradora. El puente resta la deuda financiera (5.206,7 M), los minoritarios (141,3 M), las pensiones netas (78,7 M) y 70 M de acuerdos judiciales, y suma la caja (192,9 M), a 30-sep-2026 [1, 28]: deuda neta ajustada de 5.163 M. Con la prima del mercado (4,20 %) el objetivo sube a 187,98 USD; el objetivo medio de 24 analistas es 194,00 USD, a la baja [103, 104].</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r>
    </w:tbl>
    <w:p>
      <w:pPr>
        <w:spacing w:after="160" w:before="0"/>
      </w:pPr>
    </w:p>
    <w:p>
      <w:pPr>
        <w:spacing w:after="100"/>
      </w:pPr>
      <w:r>
        <w:rPr>
          <w:b/>
          <w:bCs/>
        </w:rPr>
        <w:t xml:space="preserve">Objetivo a 12 meses (ponderado):</w:t>
      </w:r>
      <w:r>
        <w:t xml:space="preserve"> 186,25 USD · rentabilidad +18,8 % (base +14,0 %) · señal Comprar.</w:t>
      </w:r>
    </w:p>
    <w:p>
      <w:pPr>
        <w:spacing w:after="100"/>
      </w:pPr>
      <w:r>
        <w:t xml:space="preserve">Para comparar, con la regla v2 (historia al cierre, mismo precio): 14,3x / 16,8x / 21,8x, 18,8 % Comprar; con el tope anterior del base (×1,3, 14-oct mediodía): 54,6 % Comprar; con la v3 sin el selector (tope ×1,1): 31,1 % Comprar. Decide la v2, elegida por el selector de método (desrateada: la mediana adelantada (33,3x) es 2 veces el PER de hoy (16,8x); la historia es de otro régimen y decide la v2; METODO-VIGENTE.md).</w:t>
      </w:r>
    </w:p>
    <w:p>
      <w:pPr>
        <w:keepNext/>
        <w:spacing w:after="100"/>
      </w:pPr>
      <w:r>
        <w:rPr>
          <w:b/>
          <w:bCs/>
        </w:rPr>
        <w:t xml:space="preserve">Frente al consenso (solo contraste).</w:t>
      </w:r>
    </w:p>
    <w:p>
      <w:pPr>
        <w:spacing w:after="100"/>
      </w:pPr>
      <w:r>
        <w:t xml:space="preserve">Nuestro BPA ajustado de 2027e (9,45 USD) queda un 4,1 % por debajo del consenso ajustado (9,85), que lleva 90 días bajando (desde 10,26) [105]: proyectamos un punto menos de crecimiento sin FICO por la hipoteca y el informe doble y no contamos recompras. Para 2028e no hay consenso ajustado gratuito; el contable de MarketScreener (9,82) no es comparable [102]. Nuestro objetivo base (178,58 USD) queda un 7,9 % por debajo del objetivo medio de los analistas (194,00) y el ponderado (186,25) un 4,0 %: la diferencia es sobre todo de múltiplo (nosotros mantenemos el PER de hoy, 16,8 veces; los analistas suponen una recuperación parcial) [103, 104].</w:t>
      </w:r>
    </w:p>
    <w:p>
      <w:pPr>
        <w:keepNext/>
        <w:spacing w:after="100"/>
      </w:pPr>
      <w:r>
        <w:rPr>
          <w:b/>
          <w:bCs/>
        </w:rPr>
        <w:t xml:space="preserve">Del valor intrínseco al objetivo a 12 meses.</w:t>
      </w:r>
    </w:p>
    <w:p>
      <w:pPr>
        <w:spacing w:after="100"/>
      </w:pPr>
      <w:r>
        <w:t xml:space="preserve">El objetivo a 12 meses (186,25 USD ponderado) queda un 16 % por encima del valor intrínseco (160,42) y un 26 % por encima del DCF (147,31). La distancia no sale de que la empresa valga más, sino de la regla: el base mantiene el PER de hoy (16,8 veces) sobre un BPA ajustado que crece un 11,6 % anual de 2025 a 2028e. Para que el precio llegue ahí en un año hace falta que el BPA de 2027 se cumpla y que el múltiplo no siga bajando, es decir, que la FHFA y la presión de precios no empeoren. El colchón es pequeño: con un BPA un 10 % peor la rentabilidad ponderada cae al 7,1 %, por debajo del 10 % que pide mantener.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la FHFA para aceptar dos informes de crédito en las hipotecas de Fannie Mae y Freddie Mac; Bloomberg la adelantó el 1-oct y no hay anuncio oficial [64, 69].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cifra el riesgo en unos 80 M de ingresos y 38 M de margen [29]; el calendario de aplicación importa tanto como la decisión.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Círculo de Crédito (México), 750 M de valor empresa, 12,1 veces el EBITDA ajustado [111].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hacia unos 5.760 M (≈2,7 veces el EBITDA) y un buró que crece al 31 % [28, 111].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 en vigor las verificaciones de los requisitos de trabajo de Medicaid [48].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nuevo para Gobierno en Workforce Solutions (unos 550 M de contratos firmados en 2026) [29].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el margen sin FICO sigue subiendo y cuánto pesa la hipoteca débil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prestamistas a VantageScore 4.0, que Equifax vende a 1 USD [29, 71].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reventa de FICO sin margen y algo más de margen propio.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de la CFPB y demanda antimonopolio sobre The Work Number [2, 72].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sanción con cambios de precio sería el riesgo más directo sobre el negocio más valioso.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doble (o único) en las hipotecas de Fannie Mae y Freddie Mac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empresa: ≈80 M de ingresos y 38 M de margen (≈−3 % del valor, estimación propia); con presión de precio, hacia el bajista (−38,4 %)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vende informes junto con The Work Number y VantageScore a 1 USD [29, 71].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la FHFA y su calendario; cuota de Equifax en los informes que eligen los originadores.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precio en The Work Number por la presión pública, la demanda antimonopolio y la verificación con permiso del consumidor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Hacia el bajista (−38,4 %) si el múltiplo de Workforce Solutions cae de 15 a 10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223 millones de registros activos; obligación de consulta en California [29, 73].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Workforce Solutions por debajo del 50 % (51,4 % en el 3T26) [28].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Hipoteca hundida más tiempo con el tipo a 30 años por encima del 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Entre el base y el bajista; la guía de 2026 ya baja 80 M por ello [28]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no proyecta recuperación del volumen.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Consultas hipotecarias que siguen cayendo (−9 % en el 3T26) [29].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beta de 1,21 y bono a 10 años del 5,15 %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−8,5 % (134,77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 1.104 M en 12 meses y rating BBB/Baa2 [28, 110].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de los bonos de Equifax sobre el Tesoro.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 se queda la puntuación hipotecaria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Poco valor: la reventa va a margen casi nulo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reventa sin margen ya está separada en el modelo; VantageScore como alternativa [29].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 licencia directa de FICO en los informes hipotecarios.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 alza antes de pagar Círculo de Crédito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recompras; sin efecto directo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 revolving ampliado a 2.000 M en abril [97].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3,0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por calidad de datos y otro incidente de ciberseguridad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acuerdo del error de 2022 costó 100 M (40 M netos) [2]; el ciberataque de 2017, unos 1.960 M [4, 5, 6, 7, 8, 9, 10, 11]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en la nube y gasto de seguridad desde 2018.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demandas colectivas FCRA o sanciones de la CFPB.</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consejero delegado y ventas de 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 y un 90 % de consejeros independientes [79].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sucesor o salida del director financiero; el consejero delegado vendió 32,06 M en 12 meses [100].</w:t>
            </w:r>
          </w:p>
        </w:tc>
      </w:tr>
    </w:tbl>
    <w:p>
      <w:pPr>
        <w:spacing w:after="160" w:before="0"/>
      </w:pPr>
    </w:p>
    <w:p>
      <w:pPr>
        <w:pStyle w:val="Heading2"/>
      </w:pPr>
      <w:r>
        <w:t xml:space="preserve">Pre-mortem</w:t>
      </w:r>
    </w:p>
    <w:p>
      <w:pPr>
        <w:spacing w:after="100"/>
      </w:pPr>
      <w:r>
        <w:t xml:space="preserve">Octubre de 2029: la acción vale unos 95 USD, un 40 % menos. A finales de 2026 la FHFA ordenó el informe doble y, un año después, permitió el único para los préstamos con verificación automatizada [64]. Los grandes originadores sacaron a concurso las agencias y Equifax perdió buena parte de sus informes hipotecarios; FICO terminó de pasar su puntuación a la venta directa [45]. El golpe fuerte llegó en Workforce Solutions: la demanda antimonopolio y la presión de los programas públicos acabaron en precios máximos para Medicaid y SNAP, y Fannie Mae aceptó la verificación por nómina con permiso del consumidor a mitad de precio [47, 72, 73]. El margen de Workforce Solutions bajó del 51 % al 45 % y su múltiplo, de 15 a 10 veces. Con el tipo hipotecario por encima del 7 % [62] las consultas no volvieron, y la deuda (Círculo de Crédito pagado con deuda) frenó las recompras. Las señales estaban a la vista: la orden de la FHFA, un margen de Workforce Solutions por debajo del 50 % en dos trimestres y contratos públicos ganados por otros proveedores.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 a +5 % a 3-5 años (entre el base y una variante con 1 punto menos de margen); el bajista (−38,4 %) recoge el caso malo</w:t>
      </w:r>
    </w:p>
    <w:p>
      <w:pPr>
        <w:spacing w:after="100"/>
      </w:pPr>
      <w:r>
        <w:t xml:space="preserve">La IA toca a Equifax por dos lados. A favor: la empresa usa sus datos propios no públicos (The Work Number, ficheros de crédito) para modelos y puntuaciones nuevas, y la IA rebaja costes: 150 M de ahorro en 2026-2028 que ya se ven en el margen sin FICO (+100 pb en 2026) [28, 29]; el índice de productos nuevos pasa del 17 % [28]. En contra: los agregadores con permiso del consumidor (Truv, Argyle, Plaid) y la banca abierta permiten verificar ingresos y decidir crédito con datos de la nómina o la cuenta bancaria sin pasar por la agencia, y la norma 1033 de la CFPB está en revisión [53, 54, 74]. Es la amenaza directa al negocio más valioso. Señal: contratos públicos o hipotecarios de verificación ganados por agregadores, o margen de Workforce Solutions por debajo del 50 %.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 (Equifax Reino Unido)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 (10 % mejor de las evaluadas), sube desde bronce [61]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Seguridad de los datos</w:t>
      </w:r>
      <w:r>
        <w:t xml:space="preserve">: el ciberataque de 2017 obligó a un fondo de restitución de 380,5 M USD, ampliable en 125 M USD, y a compromisos de seguridad vigilados por terceros [15]; la migración a la nube que siguió explica buena parte de la inversión de los últimos años [1]. </w:t>
      </w:r>
      <w:r>
        <w:rPr>
          <w:b/>
        </w:rPr>
        <w:t xml:space="preserve">Exactitud de los datos y reclamaciones</w:t>
      </w:r>
      <w:r>
        <w:t xml:space="preserve">: Equifax tramita unas 765.000 reclamaciones de consumidores al mes, y la CFPB la sancionó en 2025 por gestionarlas mal [55]; en 2025 registró además 30 M USD por un acuerdo sobre reclamaciones de consultas [4]. </w:t>
      </w:r>
      <w:r>
        <w:rPr>
          <w:b/>
        </w:rPr>
        <w:t xml:space="preserve">Precio y acceso en programas públicos</w:t>
      </w:r>
      <w:r>
        <w:t xml:space="preserve">: la verificación de ingresos para Medicaid y SNAP crece con la ley de 2025, pero también el escrutinio político sobre lo que pagan los estados [47, 48].</w:t>
      </w:r>
    </w:p>
    <w:p>
      <w:pPr>
        <w:pStyle w:val="Heading2"/>
      </w:pPr>
      <w:r>
        <w:t xml:space="preserve">Controversias</w:t>
      </w:r>
    </w:p>
    <w:p>
      <w:pPr>
        <w:spacing w:after="100"/>
      </w:pPr>
      <w:r>
        <w:t xml:space="preserve">En enero de 2025 la CFPB impuso a Equifax una multa de 15 M USD por la gestión de reclamaciones y por vender puntuaciones incorrectas en 2022 [55]. En 2025 dotó 30 M USD para cerrar cuatro demandas colectivas sobre reclamaciones de consultas, con acuerdo de principio en enero de 2026 [1, 4]. En la demanda colectiva antimonopolio sobre The Work Number (desde mayo de 2024), el juez rechazó en febrero de 2026 llevarla a arbitraje y obligó a Equifax a reescribir la cláusula y avisar a los clientes [72]. La CFPB investiga desde 2023 sus datos de empleo [1] y en febrero de 2026 tres senadores abrieron una investigación sobre sus precios a los estados [47].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doble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calcula el riesgo de 80 M de ingresos y 38 M de margen, y qué cuota espera retener si los originadores eligen dos agencias?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caso base y el bajista [29].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verificación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de Workforce Solutions es precio y cuánto registros y volumen, y qué compromisos de precio hay en los contratos públicos?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antimonopolio y los programas públicos apuntan al precio [47, 72]; el margen del 51,4 % sostiene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con permiso del consumidor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han ganado Truv, Argyle o Experian en verificación hipotecaria y pública,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directa al foso [53, 54, 73].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Hipoteca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supone la guía de 2027 para las originaciones con el tipo a 30 años por encima del 7 %?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ya baja 80 M por la hipoteca [28, 62].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pagar 12,1 veces el EBITDA por Círculo de Crédito con el ROIC del grupo por debajo del WACC, y cuál es el apalancamiento objetivo?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incremental de 2016-2025 es del 7 % [111].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flujo operativo de nueve meses está plano pese a un beneficio mayor?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circulante; en 9M26 los pagos al accionista (851 M) superan el flujo libre (763 M) [28].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calendario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 sin fecha de fin y ventas de 32,06 M en 12 meses [100].</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($EFX)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julio a septiembre domina el tono bajista («dinero muerto», «que la deslisten», llamadas a ponerse corto tras los mensajes del director de la FHFA contra los burós); desde la mínima de comienzos de octubre aparecen mensajes de capitulación técnica y compras, y hoy la primera reacción a los resultados es de alivio, con la rebaja de la guía de ingresos por hipotecas como contrapunto. Buena parte del flujo de octubre son anuncios de acuerdos colectivos (consultas indebidas y errores de puntuación de 2022), no debate de inversión [142].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de opinión desde el 2T26 son tibios o escépticos: «poca emoción por delante» tras el 2T, «la valoración ya descuenta la guía de 2026», «las señales están ahí, pero la revalorización no es inminente» y, antes de hoy, «demasiadas incógnitas sobre la perspectiva»; los titulares de septiembre y octubre giran en torno a VantageScore, el bi-merge y la rebaja de Oppenheimer [143].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(página de noticias de EFX)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de titulares de septiembre y octubre es mayoritariamente negativo: mínimos de 52 semanas, recortes de precio objetivo en cadena, una rebaja de recomendación y presión por la transición de puntuaciones hipotecarias; lo compensan los lanzamientos de producto hipotecario (Mortgage Ultimate, Mortgage Score Select) y piezas que la ven infravalorada [145].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(comunidad y narrativas, vía Yahoo Finanzas)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ven la acción barata frente a su valor razonable de consenso, pero advierten que el PER no deja tanto margen como sugiere el descuento; los valores razonables de la comunidad están muy dispersos, señal de que los particulares no se ponen de acuerdo. Los riesgos que repiten son la política hipotecaria (bi-merge o un solo buró), los litigios y la dependencia de The Work Number [146, 147, 148].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2T26, la caída se atribuye a una guía decepcionante pese a batir previsiones, y se plantea la bajada como oportunidad para el inversor que tolere volatilidad, porque gran parte de la preocupación ya estaría en precio [144].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FHFA: paso del tri-merge al bi-merge y ataque político a los precios de los burós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miedo que más mueve la conversación desde septiembre (mensajes del director de la FHFA acusando a los tres burós de cobrar de más y planes para relajar la exigencia de tres informes) [142, 143, 146]. Los datos aún no muestran el daño: en el 3T26 los ingresos hipotecarios de USIS crecieron con fuerza pese a un mercado más débil [28]. La gente no exagera el riesgo, porque la norma no está cerrada y quitaría un informe por préstamo, pero sí lo anticipa antes de que se vea en las cuentas; algunos analistas citados en el foro lo dan ya por descontado [142].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VantageScore frente a FICO: ¿ganan o pierden los burós?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parte del foro sostiene que la entrada de VantageScore (propiedad de los tres burós) perjudica a FICO y abre un producto nuevo a Equifax; otra señala que la cotización no lo ha confirmado y que el poder de fijar precios se traslada al regulador [142, 146]. Equifax ha respondido con un fichero hipotecario de doble puntuación y comunica una adopción acelerada de VantageScore 4.0 [143, 145]; el efecto neto en precio por informe no es todavía visible en los resultados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hipotecario débil y guía de ingresos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el foro castigó una guía del 3T por debajo de lo esperado [142, 144]; hoy la empresa rebaja la guía anual de ingresos por la debilidad hipotecaria de final del trimestre, pero apenas toca el BPA ajustado gracias a recortes de costes con IA, y la primera reacción en Stocktwits es de alivio [28, 142]. La preocupación es fundada en ingresos; en beneficio, la gente parece exagerar.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¿capitulación o trampa de valor?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Conviven mensajes de capitulación técnica (sobreventa extrema, compras en mínimos, «el pesimismo ya está en precio») con los que la llaman dinero muerto y critican la remuneración del consejero delegado frente al retorno para el accionista [142]. Las narrativas de Simply Wall St la ven barata frente a su valor razonable pero no frente al PER del sector [147]. Es la tensión que la sección de valoración del informe debe resolver con cifras propias.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ahorro de costes frente a erosión del foso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ahorros de productividad con IA se ve como el colchón del margen [142, 143]; a la vez, algunos mensajes argumentan que fintechs y bancos ya deciden créditos con datos alternativos sin tri-merge ni FICO, y que el antiguo monopolio «tiene fugas» [142]. Los resultados del 3T26 atribuyen a la IA la defensa del margen y un índice de vitalidad de productos nuevos alto [28]; el riesgo de sustitución no se ve aún en los ingresos.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Verificación de ingresos (The Work Number), litigios y desconfianza hacia los burós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habla poco de la verificación como tal: las narrativas la ven como el pilar que debe cargar con el beneficio si la hipoteca flojea, con el riesgo de litigio antimonopolio y de contratos públicos [146, 148]. En el foro aparecen sobre todo la desconfianza sobre el uso de datos personales y los acuerdos colectivos [142]. En el 3T26 Verification Services creció más que el grupo y los costes del litigio antimonopolio fueron pequeños [28]; el ruido legal pesa más en la conversación que en las cuentas.</w:t>
            </w:r>
          </w:p>
        </w:tc>
      </w:tr>
    </w:tbl>
    <w:p>
      <w:pPr>
        <w:spacing w:after="160" w:before="0"/>
      </w:pPr>
    </w:p>
    <w:p>
      <w:pPr>
        <w:spacing w:after="100"/>
      </w:pPr>
      <w:r>
        <w:t xml:space="preserve">El sentimiento de los particulares es dividido y ha empeorado mucho desde el 2T26: la conversación pasó de discutir una guía floja a temer un cambio regulatorio (bi-merge, ataque a los precios de los burós) que todavía no aparece en las cuentas. A comienzos de octubre hubo rasgos de capitulación (mínimos, sobreventa, compras «porque ya está en precio»), y hoy la primera reacción a los resultados es de alivio: la guía de ingresos baja por hipotecas, pero el BPA casi no se mueve. El foro no ve un riesgo nuevo; sí avisa de que el catalizador decisivo es político y binario (la decisión final de la FHFA). Va algo más pesimista que el consenso de analistas, que mantiene mayoría de compras aunque recorta precios objetivo, lo que encaja con una tesis contraria si las cifras sostienen el valor.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3 explicados. Fuentes: 148 (83 primarias); citas distintas en el texto: 147.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34,6 % en 2035e frente al 31,8 %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13,3 % real: genera una variación de circulante de 60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La muestra mezcla burós, FICO y empresas de índices y calificaciones; el crecimiento no explica el múltiplo (R² 0,02).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12,6x a 14,9x según qué comparable se quite (201,23 a 246,17 por acción): la muestra es frágil; explícalo y no le des mucho peso. Explicación: La mediana del EV/EBITDA se mueve entre 12,6x y 14,9x según qué empresa se quite; por eso los comparables pesan un 20 % y el comentario apoya la lectura en los burós y FICO (9,7-12,6x).</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(10,63) supone un 26,0 % anual desde 5,32 (2025): explícalo en valoracion.objetivo_12m.comentario o la confianza es baja. Explicación: El 26 % anual se mide desde el BPA contable de 2025 (5,32 USD), y el objetivo usa el ajustado: desde el ajustado de 2025 (7,65 USD) nuestro 10,63 de 2028e es un 11,6 % anual, con 2026 ya guiado en 8,45-8,55 [4, 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«Baja» (las reglas discrepan (absoluta Mantener, relativa Comprar))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148 fuentes (83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Modelo de 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de ingresos hipotecarios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2024: solo describen el crecimiento; 2) comunicados y resúmenes de conferencias: solo porcentajes de crecimiento; 3) presentación de febrero de 2026: mezcla de ingresos por vertical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10-K 2025, que no la publica; 2) presentación de julio de 2026, solo el próximo vencimiento; 3) calculada con el calendario de vencimientos y las fechas de cada bono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 de caja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mantenimiento frente a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sin desglose; 2) presentaciones de febrero y julio de 2026, sin desglose; 3) estimado con el capex sobre ventas anterior a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 de caja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anual de la transformación tecnológica desde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conciliaciones de los comunicados del 4T21 al 4T25: desde 2021 ya no se excluye; 2) 10-K 2022 y 2025, sin cifra anual; 3) presentación de febrero de 2026: solo la inversión global de unos 3.000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a 20-oct solo están la presentación y el comunicado, sin resumen de la conferencia; 2) Earnings Whispers: la transcripción del 3T26 aún no está publicada (sí la del 2T26, usada); 3) búsqueda de prensa del 20-oct sin crónicas de la conferencia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Línea disponible, ratio de covenant y autorización de recompra a 30-sep-26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3T26: no presentado a 20-oct (lista de presentaciones de EDGAR); 2) comunicado y presentación del 3T26, sin el dato; 3) calculado con la línea de 2.000 M menos la deuda a corto, y el programa de 3.000 M menos las recompras de 2025 y 9M26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IBISWorld: la previsión a cinco años está tras el muro de pago; 2) informes anuales de TransUnion y Experian: no publican tamaño de mercado; 3) derivarlo de las guías de las empresas mezclaría precio y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competitiva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The Work Number en ingresos de verificación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Equifax: solo registros; 2) Informe anual 2026 de Experian: solo registros de Experian Verify; 3) la carta de los senadores habla de casi monopolio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ISS y CDP del grupo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Equifax: no muestra la calificación sin registro; 2) búsqueda de la calificación de MSCI y de CDP: sin página original legible; 3) notas de prensa de Equifax: solo la de EcoVadis de la filial británica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competitiva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TransUnion en el tercer trimestre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de TransUnion: sin 8-K del tercer trimestre a 20-oct; 2) anuncio de fecha: publica el 27-oct-2026; 3) se usa su guía del tercer trimestre (11-12 %) del 28-jul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Previsión de originaciones de Fannie Mae de octubre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PDF housing-forecast-102026 de Fannie Mae: 403 con descargar.mjs, curl y WebFetch; 2) previsión de la MBA: web con 403; 3) se usan los tipos de FRED y la encuesta semanal de la MBA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Decisión oficial de la FHFA sobre el informe doble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sala de prensa de la FHFA: ninguna nota desde el 30-sep-2026; 2) prensa hipotecaria del 1 al 15 de octubre: solo la filtración de Bloomberg y la ausencia en la MBA; 3) 8-K de Equifax del 20-oct: no lo menciona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Fitch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la emisión de julio de 2026, que solo lista Moody's y S&amp;P; 2) búsqueda en la web de Fitch y en prensa sin resultados sobre Equifax; 3) informe anual 2025, que no publica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de rating en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julio de 2026 con Baa2 y BBB, ambas estables; 2) búsqueda de comunicados de Moody's y S&amp;P de 2025-2026 sin resultados; 3) informe anual 2025 sin detalle de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 directivo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los presidentes de International y de U.S. Information Solutions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que solo detalla consejeros y directivos con remuneración publicada; 2) Form 3 de David Smith; 3) Form 4 de los últimos doce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posteriores a los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y consenso (página al cierre del 19-oct, sin cambios del 20-oct); 2) MarketBeat y Stock Analysis (última revisión, Mizuho el 19-oct); 3) búsqueda de prensa del 20-oct sin notas de las casas publicadas a media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consenso es el previo a los resultados; las revisiones llegarán el 21-oct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(solo 2026 y 2027); 2) Stock Analysis (2027-2028 de pago); 3) MarketScreener (solo BPA contable)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del 4T26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Equifax y EDGAR (no anunciada); 2) MarketScreener (sin fecha futura); 3) calendario del año anterior: el 4T25 se publicó el 4-feb-2026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previsiblemente principios de febrero de 2027</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 NTM ajustado de Experian, S&amp;P Global y First Advantage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análisis (sin tabla para SPGI, FA y EXPN.L); 2) segundo intento en Yahoo para SPGI (sin tabla); 3) MarketScreener (base no homogénea)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Experian y S&amp;P Global con MarketScreener; First Advantage omitido (BPA casi nulo)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Litigios devengados y pensiones a 30-sep-2026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del 3T26 (sin desglose); 2) 10-Q del 3T26 (no presentado el 20-oct); 3) 10-Q del 2T26 y 10-K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mantienen los importes de 30-jun-2026 y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en asociadas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3T26 (dentro de otros activos, 357,5 M, sin desglose); 2) notas del 10-K 2025 (sin desglose); 3) 10-Q del 2T26, solo cualitativo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del dato de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estadísticas (sin fecha); 2) MarketScreener (sin el dato); 3) se toma el último dato quincenal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comentarios de lectores en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y Stocktwits web: 403 conocido (lecciones), no se reintentó; 2) artículos de Seeking Alpha abiertos directamente: 403, solo titulares del RSS; 3) Yahoo Finance EE. UU. bloqueado, sustituido por la edición del Reino Unido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https://www.sec.gov/Archives/edgar/data/33185/000003318526000010/efx-20251231.htm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https://www.sec.gov/Archives/edgar/data/33185/000003318526000028/efx-20260630.htm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datos XBRL de Equifax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https://data.sec.gov/api/xbrl/companyfacts/CIK0000033185.json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4T25 y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https://www.sec.gov/Archives/edgar/data/33185/000003318526000004/a2025q48-kexhibit991.htm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ejercicio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https://www.sec.gov/Archives/edgar/data/33185/000003318525000009/a2024q48-kexhibit991.htm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ejercicio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https://www.sec.gov/Archives/edgar/data/33185/000003318524000008/a2023q48-kexhibit991.htm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ejercicio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https://www.sec.gov/Archives/edgar/data/33185/000003318523000004/a2022q48-kexhibit991.htm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4T21 y ejercicio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https://www.sec.gov/Archives/edgar/data/33185/000003318522000006/a2021q48-kexhibit991.htm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4T20 y ejercicio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https://www.sec.gov/Archives/edgar/data/33185/000003318521000013/a2020q48-kexhibit991.htm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4T19 y ejercicio 2019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https://www.sec.gov/Archives/edgar/data/33185/000003318520000004/a2019q48-kexhibit991.htm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4T17 y ejercicio 2017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https://www.sec.gov/Archives/edgar/data/33185/000003318518000013/a2017q48-kexhibit991.htm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https://www.sec.gov/Archives/edgar/data/33185/000003318526000024/exhibit99120260630.htm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https://www.sec.gov/Archives/edgar/data/33185/000003318526000016/exhibit99120260331.htm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https://www.sec.gov/Archives/edgar/data/33185/000003318523000012/efx-20221231.htm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https://www.sec.gov/Archives/edgar/data/33185/000003318522000014/efx-20211231.htm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https://www.sec.gov/Archives/edgar/data/33185/000003318521000025/efx-20201231.htm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https://www.sec.gov/Archives/edgar/data/33185/000003318520000011/efx-20191231.htm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2T26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https://d1io3yog0oux5.cloudfront.net/_94308690ddf6ff96661c3f4d54734c1c/equifax/db/2011/19771/earnings_recap/2Q26+Earnings+Recap.pdf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1T26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https://d1io3yog0oux5.cloudfront.net/_94308690ddf6ff96661c3f4d54734c1c/equifax/db/2011/19577/earnings_recap/Earnings+Recap.pdf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4T25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https://d1io3yog0oux5.cloudfront.net/_94308690ddf6ff96661c3f4d54734c1c/equifax/db/2011/19563/earnings_recap/4Q25+Earnings+Recap.pdf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https://d1io3yog0oux5.cloudfront.net/_94308690ddf6ff96661c3f4d54734c1c/equifax/db/2012/19778/file/July+2026+Investor+Relations+Presentation.pdf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febrero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https://d1io3yog0oux5.cloudfront.net/_94308690ddf6ff96661c3f4d54734c1c/equifax/db/2012/19568/file/February+2026+Investor+Relations+Presentation.pdf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https://www.sec.gov/Archives/edgar/data/33185/000003318525000061/exhibit99120250930.htm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https://www.sec.gov/Archives/edgar/data/33185/000003318525000049/exhibit99120250630.htm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https://www.sec.gov/Archives/edgar/data/33185/000003318525000035/exhibit99120250331.htm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https://www.sec.gov/Archives/edgar/data/33185/000003318524000055/exhibit99120240930.htm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https://www.sec.gov/Archives/edgar/data/33185/000003318525000025/efx-20241231.htm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https://www.sec.gov/Archives/edgar/data/33185/000003318526000037/exhibit99120260930.htm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3T26 (3Q26 Earnings Review)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https://d1io3yog0oux5.cloudfront.net/_f0de1d3c593f7f8b8ec2aa873a7df5b5/equifax/db/2012/19790/file/3Q26+Earnings+Presentation+v2.pdf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emisión (424B2): bonos al 5,000 % 2029 y al 5,650 %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https://www.sec.gov/Archives/edgar/data/33185/000119312526314770/d119080d424b2.htm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historial de resultados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https://www.marketbeat.com/stocks/NYSE/EFX/earnings/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EFX: consenso del trimestre a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https://beta.earningswhispers.com/go/w/EFX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reports Q3 adjusted EPS $1.85, consensus $1.83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Fly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https://www.tipranks.com/news/the-fly/equifax-reports-q3-adjusted-eps-1-85-consensus-1-83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2T26 de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https://earningswhispers.com/transcript/EFX/Q22026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VantageScore 4.0 Implementation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https://www.fhfa.gov/document/vantagescore-4.0-implementation-faq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 'cartel-like' bureaus should cut costs, eyes bi-merge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Mortgage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https://www.nationalmortgagenews.com/news/pulte-cartel-like-bureaus-should-cut-costs-eyes-bi-merge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FHFA's Pulte expected to announce move to bi-merge credit checks at MBA event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Professional America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https://www.mpamag.com/us/mortgage-industry/industry-trends/fhfas-pulte-expected-to-announce-move-to-bi-merge-credit-checks-at-mba-event/592106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&amp; Rating Agencies in the US - Market Size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https://www.ibisworld.com/united-states/market-size/credit-bureaus-rating-agencies/1475/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https://www.sec.gov/Archives/edgar/data/1552033/000155203326000012/tru-20251231.htm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https://www.sec.gov/Archives/edgar/data/1552033/000155203326000047/tru-20260630.htm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10-K del ejercicio a 30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https://www.sec.gov/Archives/edgar/data/814547/000081454725000030/fico-20250930.htm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10-Q del trimestre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https://www.sec.gov/Archives/edgar/data/814547/000081454726000030/fico-20260630.htm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Annual Report 2026 (ejercicio a 31 de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https://www.experianplc.com/content/dam/marketing/global/plc/en/assets/documents/reports/2026/experian-annual-report-2026.pdf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https://www.sec.gov/Archives/edgar/data/1210677/000119312526076740/fa-20251231.htm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sink as FICO launches a direct program for FICO scores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Sherwood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https://www.sherwood.news/markets/credit-bureaus-sink-as-fico-launches-a-direct-program-for-fico-scores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counters FICO direct license program with bold pricing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Scotsman 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https://www.scotsmanguide.com/news/equifax-counters-fico-direct-license-program-with-bold-pricing-plan/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Warren, Wyden, Sanders announce new investigation into Equifax's plan to profit from work requirements in Medicaid, SNAP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Senado de EE. UU. (oficina de la senadora Warren), vía Capitol Releases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https://capitolreleases.com/releases/2dc0feed-e3a9-4d7d-bde2-a9f9e2ecd7c4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Community Engagement Requirements in Medicaid (presentación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MACPAC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https://www.macpac.gov/wp-content/uploads/2026/09/01_September-Slides-Community-Engagement-Requirements-in-Medicaid.pdf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https://www.sec.gov/Archives/edgar/data/33185/000003318524000017/efx-20231231.htm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represents Truv in $25 million Series A financing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&amp; West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https://www.fenwick.com/insights/experience/fenwick-represents-truv-in-25-million-series-a-financing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Argyle raises $30 million to expand automated income, employment verification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PYMNTS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https://www.pymnts.com/authentication/2024/argyle-raises-30-million-to-expand-automated-income-employment-verification/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In the Matter of Equifax Inc., 2025-CFPB-0002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CFPB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https://files.consumerfinance.gov/f/documents/cfpb_equifax-inc-consent-order_2025-01.pdf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code issue (error en el cálculo de puntuaciones de marzo-abril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https://www.theregister.com/2022/08/03/equifax_code_issue/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experts since 1899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https://www.equifax.co.uk/resources/what-we-do/credit-experts-since-1899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Georgia Encyclopedia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https://www.georgiaencyclopedia.org/articles/business-economy/equifax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completes acquisition of TALX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2007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https://investor.equifax.com/sec-filings/all-sec-filings/content/0001104659-07-040215/a07-14325_1ex99d1.htm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agrees to operational changes in its data-breach settlement with eight states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https://www.digitaltransactions.net/equifax-agrees-to-operational-changes-in-its-data-breach-settlement-with-eight-states/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and TDX achieve EcoVadis Silver status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https://www.equifax.co.uk/about-equifax/press-releases/-/intlpress/equifax-and-tdx-achieve-ecovadis-silver-status-demonstrating-enhanced-esg-leadership-1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30-Year Fixed Rate Mortgage Average in the United States (MORTGAGE30US, Freddie Mac PMMS)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https://fred.stlouisfed.org/series/MORTGAGE30US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Applications Decrease in Latest MBA Weekly Survey (semana al 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Bankers Association (MBA NewsLink)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https://newslink.mba.org/mba-newslinks/2026/october/__trashed-2/mortgage-applications-decrease-in-latest-mba-weekly-survey/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 set to order Fannie, Freddie to accept two-bureau credit reports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https://www.housingwire.com/articles/fhfa-bi-merge-credit-reports-fannie-freddie/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Pulte's FHFA to ease credit data rule for Fannie, Freddie (Bloomberg News)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Banker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https://www.americanbanker.com/articles/pultes-fhfa-to-ease-credit-data-rule-for-fannie-freddie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 bows out of hotly anticipated MBA Annual appearance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Scotsman 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https://www.scotsmanguide.com/?p=127649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industry reacts to Pulte's absence at MBA Annual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https://www.housingwire.com/articles/pulte-mba-annual-reacts/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Homebuying Advances into New Era of Credit Score Competition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https://www.fhfa.gov/news/news-release/homebuying-advances-into-new-era-of-credit-score-competition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 sala de prensa: notas publicadas (consultada el 20-oct-2026; la última, del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https://www.fhfa.gov/news/news-release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resultados del segundo trimestre de 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https://www.sec.gov/Archives/edgar/data/1552033/000155203326000043/exhibit99106302026.htm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Reiterates Support for U.S. Federal Housing Finance Agency's Commitment to Mortgage Affordability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https://investor.equifax.com/news-events/press-releases/detail/1398/equifax-reiterates-support-for-u-s-federal-housing-finance-agency-s-commitment-to-mortgage-affordability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Court says Equifax VOIE terms must be rewritten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Mortgage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https://www.nationalmortgagenews.com/news/court-says-equifax-voie-terms-must-be-rewritten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Use Of Income, Employment, and Work Hour Verification Tools: The Work Number And Truv (resumen de la ACL 26-37 del CDSS de California)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 Services of Northern California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https://wordpress.lsnc.net/?p=9544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CFPB sends new Section 1033 open banking proposal to OIRA for review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Ballard Spahr, Consumer Finance Monitor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https://www.consumerfinancemonitor.com/2026/08/06/cfpb-sends-new-section-1033-open-banking-proposal-to-oira-for-review/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(ítem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https://www.sec.gov/Archives/edgar/data/33185/000119312526220328/d20400d8k.htm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(ítem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https://www.sec.gov/Archives/edgar/data/33185/000119312525116440/d30678d8k.htm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consejera y resultados de la junta de 2024 (ítems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https://www.sec.gov/Archives/edgar/data/33185/000119312524132582/d786897d8k.htm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Writing Prospectus, emisión de bonos senior 2029 y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https://www.sec.gov/Archives/edgar/data/0000033185/000119312526312561/d175110dfwp.htm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junta del 7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https://www.sec.gov/Archives/edgar/data/33185/000119312526127556/d947238ddef14a.htm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 junta del 8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https://www.sec.gov/Archives/edgar/data/33185/000110465925029348/tm2423995d11_def14a.htm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del presidente de U.S. Information Solutions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https://www.sec.gov/Archives/edgar/data/33185/000119312525132263/d26782d8k.htm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modificación del contrato del consejero delegado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https://www.sec.gov/Archives/edgar/data/33185/000119312524254158/d888422d8k.htm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del director de tecnología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https://www.sec.gov/Archives/edgar/data/33185/000119312524039457/d771920d8k.htm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jubilación del presidente de Workforce Solutions y sucesor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https://www.sec.gov/Archives/edgar/data/33185/000119312524131985/d793546d8k.htm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reforma de estatutos: junta extraordinaria a petición del 25 % (ítem 5.03)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https://www.sec.gov/Archives/edgar/data/33185/000119312526272759/d52077d8k.htm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segundo trimestre de 2026, certificación del director financiero (anexo 31.2)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https://www.sec.gov/Archives/edgar/data/33185/000003318526000028/exhibit312-20260630.htm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Equifax, 20-oct-2025 a 20-oct-2026 (55 formularios, 103 operaciones)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https://www.sec.gov/cgi-bin/browse-edgar?action=getcompany&amp;CIK=0000033185&amp;type=4&amp;dateb=&amp;owner=include&amp;count=100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https://www.sec.gov/Archives/edgar/data/33185/000010290925000163/xslSCHEDULE_13G_X01/primary_doc.xml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https://www.sec.gov/Archives/edgar/data/33185/000210011926000405/xslSCHEDULE_13G_X02/primary_doc.xml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https://www.sec.gov/Archives/edgar/data/33185/000201238325001280/xslSCHEDULE_13G_X01/primary_doc.xml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Harris Associates L.P.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https://www.sec.gov/Archives/edgar/data/33185/000081391726000014/xslSCHEDULE_13G_X01/primary_doc.xml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International Investors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https://www.sec.gov/Archives/edgar/data/33185/000156223026000087/xslSCHEDULE_13G_X02/primary_doc.xml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 Rowe Price Associates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https://www.sec.gov/Archives/edgar/data/33185/000008025525000553/xslSCHEDULE_13G_X01/primary_doc.xml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de la CFPB contra Equifax Inc. y Equifax Information Services LLC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Financial Protection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https://www.consumerfinance.gov/enforcement/actions/equifax-inc-and-equifax-information-services-llc/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3 de David J. Smith, presidente de U.S. Information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https://www.sec.gov/Archives/edgar/data/33185/000122520826003755/xslF345X02/doc3.xml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15) de The Vanguard Group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https://www.sec.gov/Archives/edgar/data/33185/000010290926001213/xslSCHEDULE_13G_X02/primary_doc.xml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cuarta modificación del crédito revolving (ítems 1.01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https://www.sec.gov/Archives/edgar/data/33185/000119312526177620/d50537d8k.htm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bonos senior 2029 y 2033 (ítem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https://www.sec.gov/Archives/edgar/data/33185/000119312526323760/d125882d8k.htm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presentaciones de Equifax en EDGAR (submissions, CIK 33185)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https://data.sec.gov/submissions/CIK0000033185.json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Mark W. Begor, ventas del 27-oct-2025 (directas y del GRAT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https://www.sec.gov/Archives/edgar/data/33185/000122520825008793/0001225208-25-008793.txt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EFX, SPY y XLI (cierre ajustado), hasta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https://finance.yahoo.com/quote/EFX/history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consenso y cambios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stock forecast: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analysis: estimaciones de BPA ajustado, tendencia y 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https://finance.yahoo.com/quote/EFX/analysis/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https://www.marketbeat.com/stocks/NYSE/EFX/forecast/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 (betas.xls)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al 5,000 % 2029 y 5,650 % 2033 (Free Writing Prospectus)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https://www.sec.gov/Archives/edgar/data/33185/000119312526312561/d175110dfwp.htm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Announces Definitive Agreement to Acquire Círculo de Crédito in Mexico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https://investor.equifax.com/news-events/press-releases/detail/1411/equifax-announces-definitive-agreement-to-acquire-crculo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Capital Group to Acquire Dun &amp; Bradstreet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(DNB):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https://stockanalysis.com/stocks/dnb/financials/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to Acquire Sterling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https://www.sec.gov/Archives/edgar/data/1210677/000095017024022621/fa-ex99_1.htm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to Acquire Neustar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https://www.sec.gov/Archives/edgar/data/1552033/000119312521270765/d188220dex991.htm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to Acquire Appriss Insights for $1.825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https://www.equifax.com/newsroom/all-news/-/story/equifax-to-acquire-appriss-insights-for-1-825-billion/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agosto de 2021 (emisión de bonos para la compra de Appriss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https://www.sec.gov/Archives/edgar/data/33185/000119312521247741/d218347d8k.htm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statistics: capitalización, valor empresa, ROIC y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https://www.marketscreener.com/quote/stock/TRANSUNION-22619502/finances/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https://www.marketscreener.com/quote/stock/EXPERIAN-PLC-9590128/finances/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https://www.marketscreener.com/quote/stock/FAIR-ISAAC-CORPORATION-5523345/finances/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https://www.marketscreener.com/quote/stock/FIRST-ADVANTAGE-CORPORATI-123915569/finances/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(TRU):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(LON:EXPN):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(FICO):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(FA):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(TRU) analysis: estimaciones de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https://finance.yahoo.com/quote/TRU/analysis/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(FICO) analysis: estimaciones de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https://finance.yahoo.com/quote/FICO/analysis/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analysis: estimaciones de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https://finance.yahoo.com/quote/VRSK/analysis/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analysis: estimaciones de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analysis: estimaciones de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https://finance.yahoo.com/quote/MSCI/analysis/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$EFX (julio-octubre de 2026, unos 120 mensajes leídos)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https://api.stocktwits.com/api/2/streams/symbol/EFX.json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de opinión y titulares sobre EFX (RSS combinado, junio-octubre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https://seekingalpha.com/api/sa/combined/EFX.xml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Equifax Stock Is Tumbling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https://www.fool.com/investing/2026/07/21/why-equifax-stock-is-tumbling-today/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EFX News Today: titulares y sentimiento de noticias de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https://www.marketbeat.com/stocks/NYSE/EFX/news/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Is Equifax (EFX) Facing New Pressure In Mortgage Credit Scores?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Yahoo Finance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https://uk.finance.yahoo.com/news/why-equifax-efx-facing-pressure-090853648.html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Could Be 28% Undervalued On Its Mortgage Push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Yahoo Finance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https://uk.finance.yahoo.com/news/equifax-efx-could-28-undervalued-011214527.html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Open Banking Expansion Altering The Investment Case For Equifax (EFX)?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Yahoo Finance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https://uk.finance.yahoo.com/news/open-banking-expansion-altering-investment-141105604.html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92,4 %</w:t>
      </w:r>
      <w:r>
        <w:t xml:space="preserve"> · Secciones con menos del 60 % de campos cubiertos: </w:t>
      </w:r>
      <w:r>
        <w:rPr>
          <w:b/>
          <w:bCs/>
        </w:rPr>
        <w:t xml:space="preserve">ninguna</w:t>
      </w:r>
      <w:r>
        <w:t xml:space="preserve"> · Generado el 20 oct 2026.</w:t>
      </w:r>
    </w:p>
    <w:p>
      <w:pPr>
        <w:pStyle w:val="Nota"/>
        <w:spacing w:after="100"/>
      </w:pPr>
      <w:r>
        <w:t xml:space="preserve">Una sola línea cotizada (NYSE: EFX), en dólares, como las cuentas (US GAAP). El precio es el cierre del 19-oct-2026 (158,57 USD): los resultados del 3T26 salieron el 20-oct antes de la apertura y la sesión del 20 no había cerrado al escribir [28, 101]. Las acciones (117,9 M diluidas) son las 117,1 M en circulación a 30-sep más la dilución del 3T26, y el puente es del 30-sep-2026 del comunicado de resultados; pensiones y acuerdos judiciales devengados salen del 10-K y del 10-Q del 2T26, porque el 10-Q del 3T26 no estaba presentado [1, 2, 28]. </w:t>
      </w:r>
      <w:r>
        <w:rPr>
          <w:b/>
        </w:rPr>
        <w:t xml:space="preserve">El EBITDA de todo el informe es el contable más las partidas no recurrentes que la empresa excluye</w:t>
      </w:r>
      <w:r>
        <w:t xml:space="preserve"> (reestructuración, integración, litigios): coincide con su EBITDA ajustado (2.097,6 M en los 12 meses a septiembre frente a 2.097,9 publicado) [28]. </w:t>
      </w:r>
      <w:r>
        <w:rPr>
          <w:b/>
        </w:rPr>
        <w:t xml:space="preserve">El BPA del objetivo a 12 meses es el ajustado</w:t>
      </w:r>
      <w:r>
        <w:t xml:space="preserve">, el de la guía (8,45-8,55 USD en 2026), sin amortización de intangibles adquiridos; el del consenso de MarketScreener es el contable, y el ajustado del consenso sale de Yahoo Finance [102, 105]. </w:t>
      </w:r>
      <w:r>
        <w:rPr>
          <w:b/>
        </w:rPr>
        <w:t xml:space="preserve">Desde 2026 los ingresos incluyen la reventa de la puntuación hipotecaria de FICO a margen casi nulo</w:t>
      </w:r>
      <w:r>
        <w:t xml:space="preserve"> (unos 375 M en 2026): infla el crecimiento unos 3 puntos y resta unos 2 al margen; la proyección separa esa línea [29]. Los arrendamientos operativos no van a la deuda ni al puente (US GAAP). Círculo de Crédito (750 M, cierre en el 4T26) no está ni en la proyección ni en el puente [111]. No hay aún transcripción de la conferencia del 3T26: lo de la dirección sale del comunicado y de la presentación [28, 29].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Equifax Inc. (EFX)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158,57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(137,01 – 238,94)</c:v>
                </c:pt>
                <c:pt idx="1">
                  <c:v>Precio objetivo de los analistas (148,00 – 245,00)</c:v>
                </c:pt>
                <c:pt idx="2">
                  <c:v>Comparables: EV/EBITDA NTM (165,08 – 293,07)</c:v>
                </c:pt>
                <c:pt idx="3">
                  <c:v>Comparables: PER NTM (138,03 – 196,69)</c:v>
                </c:pt>
                <c:pt idx="4">
                  <c:v>Transacciones precedentes (EV/ventas) (196,00 – 262,25)</c:v>
                </c:pt>
                <c:pt idx="5">
                  <c:v>DCF (WACC y g ± 0,5) (128,59 – 171,84)</c:v>
                </c:pt>
                <c:pt idx="6">
                  <c:v>Escenarios (bajista – alcista) (97,66 – 184,90)</c:v>
                </c:pt>
                <c:pt idx="7">
                  <c:v>Suma de partes (149,66 – 218,36)</c:v>
                </c:pt>
                <c:pt idx="8">
                  <c:v>DCF con la prima implícita del mercado (4,2 %)</c:v>
                </c:pt>
                <c:pt idx="9">
                  <c:v>Precio actual (158,57)</c:v>
                </c:pt>
              </c:strCache>
            </c:strRef>
          </c:cat>
          <c:val>
            <c:numRef>
              <c:f>Hoja1!$B$2:$B$11</c:f>
              <c:numCache>
                <c:formatCode>#,##0</c:formatCode>
                <c:ptCount val="10"/>
                <c:pt idx="0">
                  <c:v>137.01</c:v>
                </c:pt>
                <c:pt idx="1">
                  <c:v>148</c:v>
                </c:pt>
                <c:pt idx="2">
                  <c:v>165.08</c:v>
                </c:pt>
                <c:pt idx="3">
                  <c:v>138.03</c:v>
                </c:pt>
                <c:pt idx="4">
                  <c:v>196</c:v>
                </c:pt>
                <c:pt idx="5">
                  <c:v>128.59</c:v>
                </c:pt>
                <c:pt idx="6">
                  <c:v>97.66</c:v>
                </c:pt>
                <c:pt idx="7">
                  <c:v>149.66</c:v>
                </c:pt>
                <c:pt idx="8">
                  <c:v>169.12</c:v>
                </c:pt>
                <c:pt idx="9">
                  <c:v>157.78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(137,01 – 238,94)</c:v>
                </c:pt>
                <c:pt idx="1">
                  <c:v>Precio objetivo de los analistas (148,00 – 245,00)</c:v>
                </c:pt>
                <c:pt idx="2">
                  <c:v>Comparables: EV/EBITDA NTM (165,08 – 293,07)</c:v>
                </c:pt>
                <c:pt idx="3">
                  <c:v>Comparables: PER NTM (138,03 – 196,69)</c:v>
                </c:pt>
                <c:pt idx="4">
                  <c:v>Transacciones precedentes (EV/ventas) (196,00 – 262,25)</c:v>
                </c:pt>
                <c:pt idx="5">
                  <c:v>DCF (WACC y g ± 0,5) (128,59 – 171,84)</c:v>
                </c:pt>
                <c:pt idx="6">
                  <c:v>Escenarios (bajista – alcista) (97,66 – 184,90)</c:v>
                </c:pt>
                <c:pt idx="7">
                  <c:v>Suma de partes (149,66 – 218,36)</c:v>
                </c:pt>
                <c:pt idx="8">
                  <c:v>DCF con la prima implícita del mercado (4,2 %)</c:v>
                </c:pt>
                <c:pt idx="9">
                  <c:v>Precio actual (158,57)</c:v>
                </c:pt>
              </c:strCache>
            </c:strRef>
          </c:cat>
          <c:val>
            <c:numRef>
              <c:f>Hoja1!$C$2:$C$11</c:f>
              <c:numCache>
                <c:formatCode>#,##0</c:formatCode>
                <c:ptCount val="10"/>
                <c:pt idx="0">
                  <c:v>101.93</c:v>
                </c:pt>
                <c:pt idx="1">
                  <c:v>97</c:v>
                </c:pt>
                <c:pt idx="2">
                  <c:v>127.98999999999998</c:v>
                </c:pt>
                <c:pt idx="3">
                  <c:v>58.66</c:v>
                </c:pt>
                <c:pt idx="4">
                  <c:v>66.25</c:v>
                </c:pt>
                <c:pt idx="5">
                  <c:v>43.25</c:v>
                </c:pt>
                <c:pt idx="6">
                  <c:v>87.24000000000001</c:v>
                </c:pt>
                <c:pt idx="7">
                  <c:v>68.70000000000002</c:v>
                </c:pt>
                <c:pt idx="8">
                  <c:v>39.359999999999985</c:v>
                </c:pt>
                <c:pt idx="9">
                  <c:v>1.5800000000000125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Workforce Solutions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971.1</c:v>
                </c:pt>
                <c:pt idx="1">
                  <c:v>1461.7</c:v>
                </c:pt>
                <c:pt idx="2">
                  <c:v>2035.4</c:v>
                </c:pt>
                <c:pt idx="3">
                  <c:v>2325.4</c:v>
                </c:pt>
                <c:pt idx="4">
                  <c:v>2315.8</c:v>
                </c:pt>
                <c:pt idx="5">
                  <c:v>2433.8</c:v>
                </c:pt>
                <c:pt idx="6">
                  <c:v>2582.3</c:v>
                </c:pt>
              </c:numCache>
            </c:numRef>
          </c:val>
        </c:ser>
        <c:ser>
          <c:idx val="1"/>
          <c:order val="1"/>
          <c:tx>
            <c:strRef>
              <c:f>Hoja1!$C$1</c:f>
              <c:strCache>
                <c:ptCount val="1"/>
                <c:pt idx="0">
                  <c:v>U.S. Information Solutions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1531.2</c:v>
                </c:pt>
                <c:pt idx="1">
                  <c:v>1711.2</c:v>
                </c:pt>
                <c:pt idx="2">
                  <c:v>1786.7</c:v>
                </c:pt>
                <c:pt idx="3">
                  <c:v>1657.7</c:v>
                </c:pt>
                <c:pt idx="4">
                  <c:v>1720.4</c:v>
                </c:pt>
                <c:pt idx="5">
                  <c:v>1893</c:v>
                </c:pt>
                <c:pt idx="6">
                  <c:v>2078.5</c:v>
                </c:pt>
              </c:numCache>
            </c:numRef>
          </c:val>
        </c:ser>
        <c:ser>
          <c:idx val="2"/>
          <c:order val="2"/>
          <c:tx>
            <c:strRef>
              <c:f>Hoja1!$D$1</c:f>
              <c:strCache>
                <c:ptCount val="1"/>
                <c:pt idx="0">
                  <c:v>International</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1005.3</c:v>
                </c:pt>
                <c:pt idx="1">
                  <c:v>954.6</c:v>
                </c:pt>
                <c:pt idx="2">
                  <c:v>1101.8</c:v>
                </c:pt>
                <c:pt idx="3">
                  <c:v>1139.1</c:v>
                </c:pt>
                <c:pt idx="4">
                  <c:v>1229</c:v>
                </c:pt>
                <c:pt idx="5">
                  <c:v>1354.3</c:v>
                </c:pt>
                <c:pt idx="6">
                  <c:v>1413.7</c:v>
                </c:pt>
              </c:numCache>
            </c:numRef>
          </c:val>
        </c:ser>
        <c:ser>
          <c:idx val="3"/>
          <c:order val="3"/>
          <c:tx>
            <c:strRef>
              <c:f>Hoja1!$E$1</c:f>
              <c:strCache>
                <c:ptCount val="1"/>
                <c:pt idx="0">
                  <c:v>Corporativo</c:v>
                </c:pt>
              </c:strCache>
            </c:strRef>
          </c:tx>
          <c:spPr>
            <a:solidFill>
              <a:srgbClr val="EDA100"/>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0</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Workforce Solutions</c:v>
                </c:pt>
                <c:pt idx="1">
                  <c:v>U.S. Information Solutions</c:v>
                </c:pt>
                <c:pt idx="2">
                  <c:v>International</c:v>
                </c:pt>
                <c:pt idx="3">
                  <c:v>Corporativo</c:v>
                </c:pt>
              </c:strCache>
            </c:strRef>
          </c:cat>
          <c:val>
            <c:numRef>
              <c:f>Hoja1!$B$2:$B$5</c:f>
              <c:numCache>
                <c:formatCode>General</c:formatCode>
                <c:ptCount val="4"/>
                <c:pt idx="0">
                  <c:v>42.5</c:v>
                </c:pt>
                <c:pt idx="1">
                  <c:v>34.2</c:v>
                </c:pt>
                <c:pt idx="2">
                  <c:v>23.3</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Reino Unido</c:v>
                </c:pt>
                <c:pt idx="2">
                  <c:v>Australia</c:v>
                </c:pt>
                <c:pt idx="3">
                  <c:v>Canadá</c:v>
                </c:pt>
                <c:pt idx="4">
                  <c:v>Otros</c:v>
                </c:pt>
              </c:strCache>
            </c:strRef>
          </c:cat>
          <c:val>
            <c:numRef>
              <c:f>Hoja1!$B$2:$B$6</c:f>
              <c:numCache>
                <c:formatCode>0"%"</c:formatCode>
                <c:ptCount val="5"/>
                <c:pt idx="0">
                  <c:v>76.73</c:v>
                </c:pt>
                <c:pt idx="1">
                  <c:v>5.37</c:v>
                </c:pt>
                <c:pt idx="2">
                  <c:v>5.24</c:v>
                </c:pt>
                <c:pt idx="3">
                  <c:v>4.47</c:v>
                </c:pt>
                <c:pt idx="4">
                  <c:v>8.19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en EE. UU. de Equifax USIS y TransUnion U.S. Markets,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c:formatCode>
                <c:ptCount val="3"/>
                <c:pt idx="0">
                  <c:v>4713.2</c:v>
                </c:pt>
                <c:pt idx="1">
                  <c:v>5130.9</c:v>
                </c:pt>
                <c:pt idx="2">
                  <c:v>5657.2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Equifax</c:v>
                </c:pt>
                <c:pt idx="1">
                  <c:v>Experian</c:v>
                </c:pt>
                <c:pt idx="2">
                  <c:v>TransUnion</c:v>
                </c:pt>
                <c:pt idx="3">
                  <c:v>Fair Isaac (FICO)</c:v>
                </c:pt>
                <c:pt idx="4">
                  <c:v>First Advantage</c:v>
                </c:pt>
                <c:pt idx="5">
                  <c:v>Truv</c:v>
                </c:pt>
                <c:pt idx="6">
                  <c:v>Argyle</c:v>
                </c:pt>
              </c:strCache>
            </c:strRef>
          </c:cat>
          <c:val>
            <c:numRef>
              <c:f>Hoja1!$B$2:$B$8</c:f>
              <c:numCache>
                <c:formatCode>0.0"%"</c:formatCode>
                <c:ptCount val="7"/>
                <c:pt idx="0">
                  <c:v>20</c:v>
                </c:pt>
                <c:pt idx="1">
                  <c:v>24.2</c:v>
                </c:pt>
                <c:pt idx="2">
                  <c:v>18.7</c:v>
                </c:pt>
                <c:pt idx="3">
                  <c:v>46.5</c:v>
                </c:pt>
                <c:pt idx="4">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3144.9</c:v>
                </c:pt>
                <c:pt idx="1">
                  <c:v>3362.2</c:v>
                </c:pt>
                <c:pt idx="2">
                  <c:v>3412.1</c:v>
                </c:pt>
                <c:pt idx="3">
                  <c:v>3507.6</c:v>
                </c:pt>
                <c:pt idx="4">
                  <c:v>4127.5</c:v>
                </c:pt>
                <c:pt idx="5">
                  <c:v>4923.9</c:v>
                </c:pt>
                <c:pt idx="6">
                  <c:v>5122.2</c:v>
                </c:pt>
                <c:pt idx="7">
                  <c:v>5265.2</c:v>
                </c:pt>
                <c:pt idx="8">
                  <c:v>5681.1</c:v>
                </c:pt>
                <c:pt idx="9">
                  <c:v>6074.5</c:v>
                </c:pt>
                <c:pt idx="10">
                  <c:v>6661</c:v>
                </c:pt>
                <c:pt idx="11">
                  <c:v>7054</c:v>
                </c:pt>
                <c:pt idx="12">
                  <c:v>7490</c:v>
                </c:pt>
                <c:pt idx="13">
                  <c:v>7959</c:v>
                </c:pt>
                <c:pt idx="14">
                  <c:v>8465</c:v>
                </c:pt>
                <c:pt idx="15">
                  <c:v>8963</c:v>
                </c:pt>
                <c:pt idx="16">
                  <c:v>9447</c:v>
                </c:pt>
                <c:pt idx="17">
                  <c:v>9913</c:v>
                </c:pt>
                <c:pt idx="18">
                  <c:v>10353</c:v>
                </c:pt>
                <c:pt idx="19">
                  <c:v>10763</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1132.8</c:v>
                </c:pt>
                <c:pt idx="1">
                  <c:v>1245.2</c:v>
                </c:pt>
                <c:pt idx="2">
                  <c:v>1147</c:v>
                </c:pt>
                <c:pt idx="3">
                  <c:v>1171.7</c:v>
                </c:pt>
                <c:pt idx="4">
                  <c:v>1464.3</c:v>
                </c:pt>
                <c:pt idx="5">
                  <c:v>1639.5</c:v>
                </c:pt>
                <c:pt idx="6">
                  <c:v>1709.8</c:v>
                </c:pt>
                <c:pt idx="7">
                  <c:v>1699</c:v>
                </c:pt>
                <c:pt idx="8">
                  <c:v>1843.6000000000001</c:v>
                </c:pt>
                <c:pt idx="9">
                  <c:v>1936</c:v>
                </c:pt>
                <c:pt idx="10">
                  <c:v>2125</c:v>
                </c:pt>
                <c:pt idx="11">
                  <c:v>2285</c:v>
                </c:pt>
                <c:pt idx="12">
                  <c:v>2482</c:v>
                </c:pt>
                <c:pt idx="13">
                  <c:v>2685</c:v>
                </c:pt>
                <c:pt idx="14">
                  <c:v>2884</c:v>
                </c:pt>
                <c:pt idx="15">
                  <c:v>3083</c:v>
                </c:pt>
                <c:pt idx="16">
                  <c:v>3272</c:v>
                </c:pt>
                <c:pt idx="17">
                  <c:v>3435</c:v>
                </c:pt>
                <c:pt idx="18">
                  <c:v>3589</c:v>
                </c:pt>
                <c:pt idx="19">
                  <c:v>3734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64.6</c:v>
                </c:pt>
                <c:pt idx="1">
                  <c:v>64</c:v>
                </c:pt>
                <c:pt idx="2">
                  <c:v>57.8</c:v>
                </c:pt>
                <c:pt idx="3">
                  <c:v>56.6</c:v>
                </c:pt>
                <c:pt idx="4">
                  <c:v>57.9</c:v>
                </c:pt>
                <c:pt idx="5">
                  <c:v>59.8</c:v>
                </c:pt>
                <c:pt idx="6">
                  <c:v>57.5</c:v>
                </c:pt>
                <c:pt idx="7">
                  <c:v>55.7</c:v>
                </c:pt>
                <c:pt idx="8">
                  <c:v>55.7</c:v>
                </c:pt>
                <c:pt idx="9">
                  <c:v>56.4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36</c:v>
                </c:pt>
                <c:pt idx="1">
                  <c:v>37</c:v>
                </c:pt>
                <c:pt idx="2">
                  <c:v>33.6</c:v>
                </c:pt>
                <c:pt idx="3">
                  <c:v>33.4</c:v>
                </c:pt>
                <c:pt idx="4">
                  <c:v>35.5</c:v>
                </c:pt>
                <c:pt idx="5">
                  <c:v>33.3</c:v>
                </c:pt>
                <c:pt idx="6">
                  <c:v>33.4</c:v>
                </c:pt>
                <c:pt idx="7">
                  <c:v>32.3</c:v>
                </c:pt>
                <c:pt idx="8">
                  <c:v>32.5</c:v>
                </c:pt>
                <c:pt idx="9">
                  <c:v>31.9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27.6</c:v>
                </c:pt>
                <c:pt idx="1">
                  <c:v>28.5</c:v>
                </c:pt>
                <c:pt idx="2">
                  <c:v>24.5</c:v>
                </c:pt>
                <c:pt idx="3">
                  <c:v>24</c:v>
                </c:pt>
                <c:pt idx="4">
                  <c:v>26</c:v>
                </c:pt>
                <c:pt idx="5">
                  <c:v>23.5</c:v>
                </c:pt>
                <c:pt idx="6">
                  <c:v>22.4</c:v>
                </c:pt>
                <c:pt idx="7">
                  <c:v>20.7</c:v>
                </c:pt>
                <c:pt idx="8">
                  <c:v>20.7</c:v>
                </c:pt>
                <c:pt idx="9">
                  <c:v>20</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15.5</c:v>
                </c:pt>
                <c:pt idx="1">
                  <c:v>17.5</c:v>
                </c:pt>
                <c:pt idx="2">
                  <c:v>9.1</c:v>
                </c:pt>
                <c:pt idx="3">
                  <c:v>-11</c:v>
                </c:pt>
                <c:pt idx="4">
                  <c:v>12.6</c:v>
                </c:pt>
                <c:pt idx="5">
                  <c:v>15.1</c:v>
                </c:pt>
                <c:pt idx="6">
                  <c:v>13.6</c:v>
                </c:pt>
                <c:pt idx="7">
                  <c:v>10.4</c:v>
                </c:pt>
                <c:pt idx="8">
                  <c:v>10.6</c:v>
                </c:pt>
                <c:pt idx="9">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7</c:v>
                </c:pt>
                <c:pt idx="1">
                  <c:v>4</c:v>
                </c:pt>
                <c:pt idx="2">
                  <c:v>7</c:v>
                </c:pt>
                <c:pt idx="3">
                  <c:v>7</c:v>
                </c:pt>
                <c:pt idx="4">
                  <c:v>9</c:v>
                </c:pt>
                <c:pt idx="5">
                  <c:v>14</c:v>
                </c:pt>
                <c:pt idx="6">
                  <c:v>11</c:v>
                </c:pt>
                <c:pt idx="7">
                  <c:v>10</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9</c:v>
                </c:pt>
                <c:pt idx="1">
                  <c:v>5</c:v>
                </c:pt>
                <c:pt idx="2">
                  <c:v>8</c:v>
                </c:pt>
                <c:pt idx="3">
                  <c:v>7</c:v>
                </c:pt>
                <c:pt idx="4">
                  <c:v>9</c:v>
                </c:pt>
                <c:pt idx="5">
                  <c:v>13</c:v>
                </c:pt>
                <c:pt idx="6">
                  <c:v>10</c:v>
                </c:pt>
                <c:pt idx="7">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50</c:v>
                </c:pt>
                <c:pt idx="1">
                  <c:v>48</c:v>
                </c:pt>
                <c:pt idx="2">
                  <c:v>50</c:v>
                </c:pt>
                <c:pt idx="3">
                  <c:v>55</c:v>
                </c:pt>
                <c:pt idx="4">
                  <c:v>56</c:v>
                </c:pt>
                <c:pt idx="5">
                  <c:v>54</c:v>
                </c:pt>
                <c:pt idx="6">
                  <c:v>61</c:v>
                </c:pt>
                <c:pt idx="7">
                  <c:v>63</c:v>
                </c:pt>
                <c:pt idx="8">
                  <c:v>62</c:v>
                </c:pt>
                <c:pt idx="9">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c:v>
                </c:pt>
                <c:pt idx="1">
                  <c:v>33</c:v>
                </c:pt>
                <c:pt idx="2">
                  <c:v>45</c:v>
                </c:pt>
                <c:pt idx="3">
                  <c:v>36</c:v>
                </c:pt>
                <c:pt idx="4">
                  <c:v>33</c:v>
                </c:pt>
                <c:pt idx="5">
                  <c:v>39</c:v>
                </c:pt>
                <c:pt idx="6">
                  <c:v>42</c:v>
                </c:pt>
                <c:pt idx="7">
                  <c:v>31</c:v>
                </c:pt>
                <c:pt idx="8">
                  <c:v>20</c:v>
                </c:pt>
                <c:pt idx="9">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649.5</c:v>
                </c:pt>
                <c:pt idx="1">
                  <c:v>597.8</c:v>
                </c:pt>
                <c:pt idx="2">
                  <c:v>350.30000000000007</c:v>
                </c:pt>
                <c:pt idx="3">
                  <c:v>-85.80000000000001</c:v>
                </c:pt>
                <c:pt idx="4">
                  <c:v>524.9000000000001</c:v>
                </c:pt>
                <c:pt idx="5">
                  <c:v>865.8</c:v>
                </c:pt>
                <c:pt idx="6">
                  <c:v>132.60000000000002</c:v>
                </c:pt>
                <c:pt idx="7">
                  <c:v>515.5</c:v>
                </c:pt>
                <c:pt idx="8">
                  <c:v>813</c:v>
                </c:pt>
                <c:pt idx="9">
                  <c:v>1134.3000000000002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488.8</c:v>
                </c:pt>
                <c:pt idx="1">
                  <c:v>587.3</c:v>
                </c:pt>
                <c:pt idx="2">
                  <c:v>310.5</c:v>
                </c:pt>
                <c:pt idx="3">
                  <c:v>-384.1</c:v>
                </c:pt>
                <c:pt idx="4">
                  <c:v>520.1</c:v>
                </c:pt>
                <c:pt idx="5">
                  <c:v>744.2</c:v>
                </c:pt>
                <c:pt idx="6">
                  <c:v>696.2</c:v>
                </c:pt>
                <c:pt idx="7">
                  <c:v>545.3</c:v>
                </c:pt>
                <c:pt idx="8">
                  <c:v>604.1</c:v>
                </c:pt>
                <c:pt idx="9">
                  <c:v>660.3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11.2</c:v>
                </c:pt>
                <c:pt idx="1">
                  <c:v>14.1</c:v>
                </c:pt>
                <c:pt idx="2">
                  <c:v>12.8</c:v>
                </c:pt>
                <c:pt idx="3">
                  <c:v>11.3</c:v>
                </c:pt>
                <c:pt idx="4">
                  <c:v>14.3</c:v>
                </c:pt>
                <c:pt idx="5">
                  <c:v>12.5</c:v>
                </c:pt>
                <c:pt idx="6">
                  <c:v>9.5</c:v>
                </c:pt>
                <c:pt idx="7">
                  <c:v>8.5</c:v>
                </c:pt>
                <c:pt idx="8">
                  <c:v>8.8</c:v>
                </c:pt>
                <c:pt idx="9">
                  <c:v>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10.2</c:v>
                </c:pt>
                <c:pt idx="1">
                  <c:v>10.2</c:v>
                </c:pt>
                <c:pt idx="2">
                  <c:v>10.2</c:v>
                </c:pt>
                <c:pt idx="3">
                  <c:v>10.2</c:v>
                </c:pt>
                <c:pt idx="4">
                  <c:v>10.2</c:v>
                </c:pt>
                <c:pt idx="5">
                  <c:v>10.2</c:v>
                </c:pt>
                <c:pt idx="6">
                  <c:v>10.2</c:v>
                </c:pt>
                <c:pt idx="7">
                  <c:v>10.2</c:v>
                </c:pt>
                <c:pt idx="8">
                  <c:v>10.2</c:v>
                </c:pt>
                <c:pt idx="9">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18.4</c:v>
                </c:pt>
                <c:pt idx="1">
                  <c:v>20.1</c:v>
                </c:pt>
                <c:pt idx="2">
                  <c:v>9.9</c:v>
                </c:pt>
                <c:pt idx="3">
                  <c:v>-13.5</c:v>
                </c:pt>
                <c:pt idx="4">
                  <c:v>18.1</c:v>
                </c:pt>
                <c:pt idx="5">
                  <c:v>22</c:v>
                </c:pt>
                <c:pt idx="6">
                  <c:v>18.5</c:v>
                </c:pt>
                <c:pt idx="7">
                  <c:v>12.8</c:v>
                </c:pt>
                <c:pt idx="8">
                  <c:v>12.9</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2.24</c:v>
                </c:pt>
                <c:pt idx="1">
                  <c:v>1.9</c:v>
                </c:pt>
                <c:pt idx="2">
                  <c:v>2.1</c:v>
                </c:pt>
                <c:pt idx="3">
                  <c:v>2.54</c:v>
                </c:pt>
                <c:pt idx="4">
                  <c:v>1.84</c:v>
                </c:pt>
                <c:pt idx="5">
                  <c:v>3.09</c:v>
                </c:pt>
                <c:pt idx="6">
                  <c:v>3.22</c:v>
                </c:pt>
                <c:pt idx="7">
                  <c:v>3.23</c:v>
                </c:pt>
                <c:pt idx="8">
                  <c:v>2.63</c:v>
                </c:pt>
                <c:pt idx="9">
                  <c:v>2.54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157.7</c:v>
                </c:pt>
                <c:pt idx="1">
                  <c:v>750</c:v>
                </c:pt>
                <c:pt idx="2">
                  <c:v>825</c:v>
                </c:pt>
                <c:pt idx="3">
                  <c:v>1150</c:v>
                </c:pt>
                <c:pt idx="4">
                  <c:v>600</c:v>
                </c:pt>
                <c:pt idx="5">
                  <c:v>1750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1791.6</c:v>
                </c:pt>
                <c:pt idx="1">
                  <c:v>139.9</c:v>
                </c:pt>
                <c:pt idx="2">
                  <c:v>138.3</c:v>
                </c:pt>
                <c:pt idx="3">
                  <c:v>272.9</c:v>
                </c:pt>
                <c:pt idx="4">
                  <c:v>61.4</c:v>
                </c:pt>
                <c:pt idx="5">
                  <c:v>2935.6</c:v>
                </c:pt>
                <c:pt idx="6">
                  <c:v>433.8</c:v>
                </c:pt>
                <c:pt idx="7">
                  <c:v>283.8</c:v>
                </c:pt>
                <c:pt idx="8">
                  <c:v>0</c:v>
                </c:pt>
                <c:pt idx="9">
                  <c:v>74.1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157.6</c:v>
                </c:pt>
                <c:pt idx="1">
                  <c:v>187.4</c:v>
                </c:pt>
                <c:pt idx="2">
                  <c:v>187.9</c:v>
                </c:pt>
                <c:pt idx="3">
                  <c:v>188.7</c:v>
                </c:pt>
                <c:pt idx="4">
                  <c:v>189.5</c:v>
                </c:pt>
                <c:pt idx="5">
                  <c:v>190</c:v>
                </c:pt>
                <c:pt idx="6">
                  <c:v>191.1</c:v>
                </c:pt>
                <c:pt idx="7">
                  <c:v>191.8</c:v>
                </c:pt>
                <c:pt idx="8">
                  <c:v>193.2</c:v>
                </c:pt>
                <c:pt idx="9">
                  <c:v>232.8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77.1</c:v>
                </c:pt>
                <c:pt idx="2">
                  <c:v>0</c:v>
                </c:pt>
                <c:pt idx="3">
                  <c:v>0</c:v>
                </c:pt>
                <c:pt idx="4">
                  <c:v>0</c:v>
                </c:pt>
                <c:pt idx="5">
                  <c:v>69.9</c:v>
                </c:pt>
                <c:pt idx="6">
                  <c:v>0</c:v>
                </c:pt>
                <c:pt idx="7">
                  <c:v>0</c:v>
                </c:pt>
                <c:pt idx="8">
                  <c:v>0</c:v>
                </c:pt>
                <c:pt idx="9">
                  <c:v>927.5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The Vanguard Group</c:v>
                </c:pt>
                <c:pt idx="1">
                  <c:v>BlackRock, Inc.</c:v>
                </c:pt>
                <c:pt idx="2">
                  <c:v>Harris Associates L.P.</c:v>
                </c:pt>
                <c:pt idx="3">
                  <c:v>Capital International Investors</c:v>
                </c:pt>
                <c:pt idx="4">
                  <c:v>T. Rowe Price Associates</c:v>
                </c:pt>
                <c:pt idx="5">
                  <c:v>Consejeros y directivos (22 personas)</c:v>
                </c:pt>
                <c:pt idx="6">
                  <c:v>Autocartera</c:v>
                </c:pt>
              </c:strCache>
            </c:strRef>
          </c:cat>
          <c:val>
            <c:numRef>
              <c:f>Hoja1!$B$2:$B$8</c:f>
              <c:numCache>
                <c:formatCode>0.0"%"</c:formatCode>
                <c:ptCount val="7"/>
                <c:pt idx="0">
                  <c:v>12.7</c:v>
                </c:pt>
                <c:pt idx="1">
                  <c:v>7.1</c:v>
                </c:pt>
                <c:pt idx="2">
                  <c:v>6.3</c:v>
                </c:pt>
                <c:pt idx="3">
                  <c:v>3.2</c:v>
                </c:pt>
                <c:pt idx="4">
                  <c:v>4.7</c:v>
                </c:pt>
                <c:pt idx="5">
                  <c:v>1.7</c:v>
                </c:pt>
                <c:pt idx="6">
                  <c:v>36.1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7.3</c:v>
                </c:pt>
                <c:pt idx="1">
                  <c:v>1</c:v>
                </c:pt>
                <c:pt idx="2">
                  <c:v>-20</c:v>
                </c:pt>
                <c:pt idx="3">
                  <c:v>52.3</c:v>
                </c:pt>
                <c:pt idx="4">
                  <c:v>39</c:v>
                </c:pt>
                <c:pt idx="5">
                  <c:v>52.8</c:v>
                </c:pt>
                <c:pt idx="6">
                  <c:v>-33.1</c:v>
                </c:pt>
                <c:pt idx="7">
                  <c:v>28.2</c:v>
                </c:pt>
                <c:pt idx="8">
                  <c:v>3.7</c:v>
                </c:pt>
                <c:pt idx="9">
                  <c:v>-14.2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14.9</c:v>
                </c:pt>
                <c:pt idx="1">
                  <c:v>13.5</c:v>
                </c:pt>
                <c:pt idx="2">
                  <c:v>12</c:v>
                </c:pt>
                <c:pt idx="3">
                  <c:v>17.2</c:v>
                </c:pt>
                <c:pt idx="4">
                  <c:v>18</c:v>
                </c:pt>
                <c:pt idx="5">
                  <c:v>25.2</c:v>
                </c:pt>
                <c:pt idx="6">
                  <c:v>17.2</c:v>
                </c:pt>
                <c:pt idx="7">
                  <c:v>21.4</c:v>
                </c:pt>
                <c:pt idx="8">
                  <c:v>20</c:v>
                </c:pt>
                <c:pt idx="9">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17.2</c:v>
                </c:pt>
                <c:pt idx="1">
                  <c:v>17.2</c:v>
                </c:pt>
                <c:pt idx="2">
                  <c:v>17.2</c:v>
                </c:pt>
                <c:pt idx="3">
                  <c:v>17.2</c:v>
                </c:pt>
                <c:pt idx="4">
                  <c:v>17.2</c:v>
                </c:pt>
                <c:pt idx="5">
                  <c:v>17.2</c:v>
                </c:pt>
                <c:pt idx="6">
                  <c:v>17.2</c:v>
                </c:pt>
                <c:pt idx="7">
                  <c:v>17.2</c:v>
                </c:pt>
                <c:pt idx="8">
                  <c:v>17.2</c:v>
                </c:pt>
                <c:pt idx="9">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Equifax</c:v>
                </c:pt>
                <c:pt idx="1">
                  <c:v>TransUnion</c:v>
                </c:pt>
                <c:pt idx="2">
                  <c:v>Experian</c:v>
                </c:pt>
                <c:pt idx="3">
                  <c:v>Fair Isaac (FICO)</c:v>
                </c:pt>
                <c:pt idx="4">
                  <c:v>Verisk Analytics</c:v>
                </c:pt>
                <c:pt idx="5">
                  <c:v>Moody's</c:v>
                </c:pt>
                <c:pt idx="6">
                  <c:v>S&amp;P Global</c:v>
                </c:pt>
                <c:pt idx="7">
                  <c:v>MSCI</c:v>
                </c:pt>
                <c:pt idx="8">
                  <c:v>First Advantage</c:v>
                </c:pt>
              </c:strCache>
            </c:strRef>
          </c:cat>
          <c:val>
            <c:numRef>
              <c:f>Hoja1!$B$2:$B$10</c:f>
              <c:numCache>
                <c:formatCode>0.0"x"</c:formatCode>
                <c:ptCount val="9"/>
                <c:pt idx="0">
                  <c:v>10.4</c:v>
                </c:pt>
                <c:pt idx="1">
                  <c:v>9.7</c:v>
                </c:pt>
                <c:pt idx="2">
                  <c:v>11.1</c:v>
                </c:pt>
                <c:pt idx="3">
                  <c:v>12.6</c:v>
                </c:pt>
                <c:pt idx="4">
                  <c:v>14.9</c:v>
                </c:pt>
                <c:pt idx="5">
                  <c:v>19.1</c:v>
                </c:pt>
                <c:pt idx="6">
                  <c:v>16.7</c:v>
                </c:pt>
                <c:pt idx="7">
                  <c:v>20.3</c:v>
                </c:pt>
                <c:pt idx="8">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Equifax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10.4</c:v>
                </c:pt>
              </c:numCache>
            </c:numRef>
          </c:yVal>
          <c:smooth val="0"/>
        </c:ser>
        <c:ser>
          <c:idx val="1"/>
          <c:order val="1"/>
          <c:tx>
            <c:strRef>
              <c:f>Hoja1!$A$3</c:f>
              <c:strCache>
                <c:ptCount val="1"/>
                <c:pt idx="0">
                  <c:v>TransUnion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8.1</c:v>
                </c:pt>
              </c:numCache>
            </c:numRef>
          </c:xVal>
          <c:yVal>
            <c:numRef>
              <c:f>Hoja1!$C$3</c:f>
              <c:numCache>
                <c:formatCode>0.0"x"</c:formatCode>
                <c:ptCount val="1"/>
                <c:pt idx="0">
                  <c:v>9.7</c:v>
                </c:pt>
              </c:numCache>
            </c:numRef>
          </c:yVal>
          <c:smooth val="0"/>
        </c:ser>
        <c:ser>
          <c:idx val="2"/>
          <c:order val="2"/>
          <c:tx>
            <c:strRef>
              <c:f>Hoja1!$A$4</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7.9</c:v>
                </c:pt>
              </c:numCache>
            </c:numRef>
          </c:xVal>
          <c:yVal>
            <c:numRef>
              <c:f>Hoja1!$C$4</c:f>
              <c:numCache>
                <c:formatCode>0.0"x"</c:formatCode>
                <c:ptCount val="1"/>
                <c:pt idx="0">
                  <c:v>11.1</c:v>
                </c:pt>
              </c:numCache>
            </c:numRef>
          </c:yVal>
          <c:smooth val="0"/>
        </c:ser>
        <c:ser>
          <c:idx val="3"/>
          <c:order val="3"/>
          <c:tx>
            <c:strRef>
              <c:f>Hoja1!$A$5</c:f>
              <c:strCache>
                <c:ptCount val="1"/>
                <c:pt idx="0">
                  <c:v>Fair Isaac (FICO)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9.3</c:v>
                </c:pt>
              </c:numCache>
            </c:numRef>
          </c:xVal>
          <c:yVal>
            <c:numRef>
              <c:f>Hoja1!$C$5</c:f>
              <c:numCache>
                <c:formatCode>0.0"x"</c:formatCode>
                <c:ptCount val="1"/>
                <c:pt idx="0">
                  <c:v>12.6</c:v>
                </c:pt>
              </c:numCache>
            </c:numRef>
          </c:yVal>
          <c:smooth val="0"/>
        </c:ser>
        <c:ser>
          <c:idx val="4"/>
          <c:order val="4"/>
          <c:tx>
            <c:strRef>
              <c:f>Hoja1!$A$6</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6.3</c:v>
                </c:pt>
              </c:numCache>
            </c:numRef>
          </c:xVal>
          <c:yVal>
            <c:numRef>
              <c:f>Hoja1!$C$6</c:f>
              <c:numCache>
                <c:formatCode>0.0"x"</c:formatCode>
                <c:ptCount val="1"/>
                <c:pt idx="0">
                  <c:v>14.9</c:v>
                </c:pt>
              </c:numCache>
            </c:numRef>
          </c:yVal>
          <c:smooth val="0"/>
        </c:ser>
        <c:ser>
          <c:idx val="5"/>
          <c:order val="5"/>
          <c:tx>
            <c:strRef>
              <c:f>Hoja1!$A$7</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c:v>
                </c:pt>
              </c:numCache>
            </c:numRef>
          </c:xVal>
          <c:yVal>
            <c:numRef>
              <c:f>Hoja1!$C$7</c:f>
              <c:numCache>
                <c:formatCode>0.0"x"</c:formatCode>
                <c:ptCount val="1"/>
                <c:pt idx="0">
                  <c:v>19.1</c:v>
                </c:pt>
              </c:numCache>
            </c:numRef>
          </c:yVal>
          <c:smooth val="0"/>
        </c:ser>
        <c:ser>
          <c:idx val="6"/>
          <c:order val="6"/>
          <c:tx>
            <c:strRef>
              <c:f>Hoja1!$A$8</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2.9</c:v>
                </c:pt>
              </c:numCache>
            </c:numRef>
          </c:xVal>
          <c:yVal>
            <c:numRef>
              <c:f>Hoja1!$C$8</c:f>
              <c:numCache>
                <c:formatCode>0.0"x"</c:formatCode>
                <c:ptCount val="1"/>
                <c:pt idx="0">
                  <c:v>16.7</c:v>
                </c:pt>
              </c:numCache>
            </c:numRef>
          </c:yVal>
          <c:smooth val="0"/>
        </c:ser>
        <c:ser>
          <c:idx val="7"/>
          <c:order val="7"/>
          <c:tx>
            <c:strRef>
              <c:f>Hoja1!$A$9</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9.5</c:v>
                </c:pt>
              </c:numCache>
            </c:numRef>
          </c:xVal>
          <c:yVal>
            <c:numRef>
              <c:f>Hoja1!$C$9</c:f>
              <c:numCache>
                <c:formatCode>0.0"x"</c:formatCode>
                <c:ptCount val="1"/>
                <c:pt idx="0">
                  <c:v>20.3</c:v>
                </c:pt>
              </c:numCache>
            </c:numRef>
          </c:yVal>
          <c:smooth val="0"/>
        </c:ser>
        <c:ser>
          <c:idx val="8"/>
          <c:order val="8"/>
          <c:tx>
            <c:strRef>
              <c:f>Hoja1!$A$10</c:f>
              <c:strCache>
                <c:ptCount val="1"/>
                <c:pt idx="0">
                  <c:v>First Advantage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7.1</c:v>
                </c:pt>
              </c:numCache>
            </c:numRef>
          </c:xVal>
          <c:yVal>
            <c:numRef>
              <c:f>Hoja1!$C$10</c:f>
              <c:numCache>
                <c:formatCode>0.0"x"</c:formatCode>
                <c:ptCount val="1"/>
                <c:pt idx="0">
                  <c:v>9.7</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Círculo de Crédito (buró de crédito, México)</c:v>
                </c:pt>
                <c:pt idx="1">
                  <c:v>Dun &amp; Bradstreet</c:v>
                </c:pt>
                <c:pt idx="2">
                  <c:v>Sterling Check</c:v>
                </c:pt>
                <c:pt idx="3">
                  <c:v>Neustar</c:v>
                </c:pt>
                <c:pt idx="4">
                  <c:v>Appriss Insights</c:v>
                </c:pt>
              </c:strCache>
            </c:strRef>
          </c:cat>
          <c:val>
            <c:numRef>
              <c:f>Hoja1!$B$2:$B$6</c:f>
              <c:numCache>
                <c:formatCode>0.0"x"</c:formatCode>
                <c:ptCount val="5"/>
                <c:pt idx="0">
                  <c:v>12.1</c:v>
                </c:pt>
                <c:pt idx="3">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1197</c:v>
                </c:pt>
                <c:pt idx="1">
                  <c:v>1325</c:v>
                </c:pt>
                <c:pt idx="2">
                  <c:v>1441</c:v>
                </c:pt>
                <c:pt idx="3">
                  <c:v>1562</c:v>
                </c:pt>
                <c:pt idx="4">
                  <c:v>1676</c:v>
                </c:pt>
                <c:pt idx="5">
                  <c:v>1788</c:v>
                </c:pt>
                <c:pt idx="6">
                  <c:v>1893</c:v>
                </c:pt>
                <c:pt idx="7">
                  <c:v>1983</c:v>
                </c:pt>
                <c:pt idx="8">
                  <c:v>2071</c:v>
                </c:pt>
                <c:pt idx="9">
                  <c:v>2152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10203</c:v>
                </c:pt>
                <c:pt idx="1">
                  <c:v>12469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158,57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97.66</c:v>
                </c:pt>
                <c:pt idx="1">
                  <c:v>147.31</c:v>
                </c:pt>
                <c:pt idx="2">
                  <c:v>184.9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158,57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(137,01 – 238,94)</c:v>
                </c:pt>
                <c:pt idx="1">
                  <c:v>Precio objetivo de los analistas (148,00 – 245,00)</c:v>
                </c:pt>
                <c:pt idx="2">
                  <c:v>Comparables: EV/EBITDA NTM (165,08 – 293,07)</c:v>
                </c:pt>
                <c:pt idx="3">
                  <c:v>Comparables: PER NTM (138,03 – 196,69)</c:v>
                </c:pt>
                <c:pt idx="4">
                  <c:v>Transacciones precedentes (EV/ventas) (196,00 – 262,25)</c:v>
                </c:pt>
                <c:pt idx="5">
                  <c:v>DCF (WACC y g ± 0,5) (128,59 – 171,84)</c:v>
                </c:pt>
                <c:pt idx="6">
                  <c:v>Escenarios (bajista – alcista) (97,66 – 184,90)</c:v>
                </c:pt>
                <c:pt idx="7">
                  <c:v>Suma de partes (149,66 – 218,36)</c:v>
                </c:pt>
                <c:pt idx="8">
                  <c:v>DCF con la prima implícita del mercado (4,2 %)</c:v>
                </c:pt>
                <c:pt idx="9">
                  <c:v>Precio actual (158,57)</c:v>
                </c:pt>
              </c:strCache>
            </c:strRef>
          </c:cat>
          <c:val>
            <c:numRef>
              <c:f>Hoja1!$B$2:$B$11</c:f>
              <c:numCache>
                <c:formatCode>#,##0</c:formatCode>
                <c:ptCount val="10"/>
                <c:pt idx="0">
                  <c:v>137.01</c:v>
                </c:pt>
                <c:pt idx="1">
                  <c:v>148</c:v>
                </c:pt>
                <c:pt idx="2">
                  <c:v>165.08</c:v>
                </c:pt>
                <c:pt idx="3">
                  <c:v>138.03</c:v>
                </c:pt>
                <c:pt idx="4">
                  <c:v>196</c:v>
                </c:pt>
                <c:pt idx="5">
                  <c:v>128.59</c:v>
                </c:pt>
                <c:pt idx="6">
                  <c:v>97.66</c:v>
                </c:pt>
                <c:pt idx="7">
                  <c:v>149.66</c:v>
                </c:pt>
                <c:pt idx="8">
                  <c:v>169.12</c:v>
                </c:pt>
                <c:pt idx="9">
                  <c:v>157.78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(137,01 – 238,94)</c:v>
                </c:pt>
                <c:pt idx="1">
                  <c:v>Precio objetivo de los analistas (148,00 – 245,00)</c:v>
                </c:pt>
                <c:pt idx="2">
                  <c:v>Comparables: EV/EBITDA NTM (165,08 – 293,07)</c:v>
                </c:pt>
                <c:pt idx="3">
                  <c:v>Comparables: PER NTM (138,03 – 196,69)</c:v>
                </c:pt>
                <c:pt idx="4">
                  <c:v>Transacciones precedentes (EV/ventas) (196,00 – 262,25)</c:v>
                </c:pt>
                <c:pt idx="5">
                  <c:v>DCF (WACC y g ± 0,5) (128,59 – 171,84)</c:v>
                </c:pt>
                <c:pt idx="6">
                  <c:v>Escenarios (bajista – alcista) (97,66 – 184,90)</c:v>
                </c:pt>
                <c:pt idx="7">
                  <c:v>Suma de partes (149,66 – 218,36)</c:v>
                </c:pt>
                <c:pt idx="8">
                  <c:v>DCF con la prima implícita del mercado (4,2 %)</c:v>
                </c:pt>
                <c:pt idx="9">
                  <c:v>Precio actual (158,57)</c:v>
                </c:pt>
              </c:strCache>
            </c:strRef>
          </c:cat>
          <c:val>
            <c:numRef>
              <c:f>Hoja1!$C$2:$C$11</c:f>
              <c:numCache>
                <c:formatCode>#,##0</c:formatCode>
                <c:ptCount val="10"/>
                <c:pt idx="0">
                  <c:v>101.93</c:v>
                </c:pt>
                <c:pt idx="1">
                  <c:v>97</c:v>
                </c:pt>
                <c:pt idx="2">
                  <c:v>127.98999999999998</c:v>
                </c:pt>
                <c:pt idx="3">
                  <c:v>58.66</c:v>
                </c:pt>
                <c:pt idx="4">
                  <c:v>66.25</c:v>
                </c:pt>
                <c:pt idx="5">
                  <c:v>43.25</c:v>
                </c:pt>
                <c:pt idx="6">
                  <c:v>87.24000000000001</c:v>
                </c:pt>
                <c:pt idx="7">
                  <c:v>68.70000000000002</c:v>
                </c:pt>
                <c:pt idx="8">
                  <c:v>39.359999999999985</c:v>
                </c:pt>
                <c:pt idx="9">
                  <c:v>1.5800000000000125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