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Computacenter plc</w:t>
      </w:r>
    </w:p>
    <w:p>
      <w:pPr>
        <w:spacing w:after="60"/>
        <w:rPr>
          <w:color w:val="52514E"/>
          <w:sz w:val="22"/>
          <w:szCs w:val="22"/>
        </w:rPr>
      </w:pPr>
      <w:r>
        <w:rPr>
          <w:color w:val="52514E"/>
          <w:sz w:val="22"/>
          <w:szCs w:val="22"/>
        </w:rPr>
        <w:t xml:space="preserve">CCC · London Stock Exchange (Main Market) · ISIN GB00BV9FP302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50,25 GBP (5.025,00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41,69 GBP (4.169,00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-15,5 % (base -3,5 %)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31,36 GBP (3.136,00 GBp) · mercado 33,98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5.296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Computacenter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CCC / GB00BV9FP302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Servicios de TI / distribución de tecnología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Hatfield (Reino Unido) · 1981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https://www.computacenter.com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50,25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26,02 – 60,45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5.296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5.392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16.1 M GBP/día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41,69 GBP (4.169,00 GBp)</w:t>
      </w:r>
      <w:r>
        <w:t xml:space="preserve"> frente a 50,25 (5.025,00 GBp) · Rentabilidad a 12 meses </w:t>
      </w:r>
      <w:r>
        <w:rPr>
          <w:b/>
          <w:bCs/>
        </w:rPr>
        <w:t xml:space="preserve">-15,5 % (base -3,5 %)</w:t>
      </w:r>
      <w:r>
        <w:t xml:space="preserve"> · Valor intrínseco 31,36 GBP (3.136,00 GBp) · con la prima implícita del mercado: 33,98 (3.398,00 GBp) (-32,4 %) · Alcista / bajista -28,8 % / -59,4 %</w:t>
      </w:r>
    </w:p>
    <w:p>
      <w:pPr>
        <w:spacing w:after="100"/>
      </w:pPr>
      <w:r>
        <w:rPr>
          <w:b/>
        </w:rPr>
        <w:t xml:space="preserve">La recomendación y por qué.</w:t>
      </w:r>
      <w:r>
        <w:t xml:space="preserve"> Vender, con convicción media. El objetivo a 12 meses ponderado da un −15,5 % de rentabilidad con el dividendo y el caso base un −3,5 %: la regla común lleva el PER de hoy (18,5 veces el BPA ajustado de los próximos 12 meses) hacia su mediana de cinco años (12,1), con el tope de ÷1,1, y ni el alcista llega al precio. El valor intrínseco (31,36 GBP) queda un 38 % por debajo del cierre del 19-oct (50,25 GBP). El negocio va muy bien; lo que no cuadra es el precio frente a un beneficio de pico de ciclo.</w:t>
      </w:r>
    </w:p>
    <w:p>
      <w:pPr>
        <w:spacing w:after="100"/>
      </w:pPr>
      <w:r>
        <w:rPr>
          <w:b/>
        </w:rPr>
        <w:t xml:space="preserve">El negocio.</w:t>
      </w:r>
      <w:r>
        <w:t xml:space="preserve"> Computacenter compra, configura, instala y mantiene equipos informáticos para grandes empresas y Administraciones en Reino Unido, Alemania, Francia y EE. UU. [1]. El 86 % de las ventas es reventa de hardware y software (Technology Sourcing), con un margen bruto del 9,6 % en el 1S26; el resto, servicios profesionales (despliegues) y gestionados (soporte y operación) [5]. En dos años se ha convertido en proveedor de centros de datos de IA para clientes de hiperescala de EE. UU.: el mayor compró 2.731 M en 2025, el 30 % de las ventas [1].</w:t>
      </w:r>
    </w:p>
    <w:p>
      <w:pPr>
        <w:spacing w:after="100"/>
      </w:pPr>
      <w:r>
        <w:rPr>
          <w:b/>
        </w:rPr>
        <w:t xml:space="preserve">Finanzas.</w:t>
      </w:r>
      <w:r>
        <w:t xml:space="preserve"> Ventas de 9.194 M en 2025 (+32 %) y de 6.845 M en el 1S26 (+71,6 %); el resultado operativo ajustado del semestre sube un 87 % y la empresa guía un beneficio antes de impuestos ajustado de al menos 380 M en 2026 (275 M en 2025) [1, 5]. La cartera de pedidos es de 9.300 M. Caja neta de deuda financiera, ROIC por encima del 30 % y dividendo creciente; el circulante se mueve mucho entre junio y diciembre y hay 184 M de financiación de facturas sin recurso que tratamos como deuda [5].</w:t>
      </w:r>
    </w:p>
    <w:p>
      <w:pPr>
        <w:spacing w:after="100"/>
      </w:pPr>
      <w:r>
        <w:rPr>
          <w:b/>
        </w:rPr>
        <w:t xml:space="preserve">Equipo y gobierno.</w:t>
      </w:r>
      <w:r>
        <w:t xml:space="preserve"> Mike Norris lleva 32 años de consejero delegado y los fundadores conservan ≈ 37 % con sus vinculados: alineamiento alto [1]. En contra, tres directores financieros en tres años, una política de remuneración aprobada solo con el 77,7 % y ninguna sucesión anunciada [1].</w:t>
      </w:r>
    </w:p>
    <w:p>
      <w:pPr>
        <w:spacing w:after="100"/>
      </w:pPr>
      <w:r>
        <w:rPr>
          <w:b/>
        </w:rPr>
        <w:t xml:space="preserve">Valoración.</w:t>
      </w:r>
      <w:r>
        <w:t xml:space="preserve"> El DCF da 30,51 GBP (−39 %) con un WACC del 10,6 % y el DCF inverso dice que el precio descuenta un 12 % de crecimiento anual frente al 3,9 % de nuestro base después de 2026. Coincidimos con el consenso en el BPA (2,61 GBP en 2026e), no en el múltiplo: los analistas aplican ≈ 22 veces para llegar a 62 GBP.</w:t>
      </w:r>
    </w:p>
    <w:p>
      <w:pPr>
        <w:spacing w:after="100"/>
      </w:pPr>
      <w:r>
        <w:rPr>
          <w:b/>
        </w:rPr>
        <w:t xml:space="preserve">Riesgos y catalizadores.</w:t>
      </w:r>
      <w:r>
        <w:t xml:space="preserve"> El mayor riesgo es un frenazo del cliente de hiperescala: ventas de 2027 un 6 % menores y el PER de vuelta a 11 veces, como en 2022, darían −50 %. La IA juega en las dos direcciones: impulsa la reventa de centros de datos y amenaza los servicios gestionados (−4,5 %) [5]. Próximos hitos: avance del tercer trimestre (finales de octubre) y resultados de marzo.</w:t>
      </w:r>
    </w:p>
    <w:p>
      <w:pPr>
        <w:spacing w:after="100"/>
      </w:pPr>
      <w:r>
        <w:rPr>
          <w:b/>
        </w:rPr>
        <w:t xml:space="preserve">Por qué convicción media.</w:t>
      </w:r>
      <w:r>
        <w:t xml:space="preserve"> Los criterios fijos sugieren alta (las dos reglas dan Vender y el precio pide 8 puntos más de crecimiento que nuestro base), pero nos quedamos en media por tres cosas que las cifras no recogen: el base a 12 meses solo pierde un 3,5 %, las estimaciones suben con cada publicación (+19 % en 90 días) y el avance del tercer trimestre llega en días con una cartera que puede volver a sorprender. La subiría una cartera de Norteamérica a la baja o una rebaja de estimaciones de 2027; la bajaría una guía de 2027 muy por encima del consenso.</w:t>
      </w:r>
    </w:p>
    <w:p>
      <w:pPr>
        <w:spacing w:after="100"/>
      </w:pPr>
      <w:r>
        <w:rPr>
          <w:b/>
        </w:rPr>
        <w:t xml:space="preserve">Qué cambiaría la decisión.</w:t>
      </w:r>
      <w:r>
        <w:t xml:space="preserve"> Comprar exigiría un precio por debajo de 31,36 GBP (ahí se cumplen a la vez la rentabilidad a 12 meses y el valor intrínseco); entre 31,36 y 47,19 GBP, Mantener; por encima de 47,19 GBP la regla da Vender. Una cartera que siga creciendo en 2027 con más clientes (menor peso del mayor) o una guía de 2027 muy por encima de 2,9 GBP de BPA subirían el base; una caída de la cartera de Norteamérica reforzaría la venta.</w:t>
      </w:r>
    </w:p>
    <w:p>
      <w:r>
        <w:br w:type="page"/>
      </w:r>
    </w:p>
    <w:p>
      <w:pPr>
        <w:pStyle w:val="Heading1"/>
      </w:pPr>
      <w:r>
        <w:t xml:space="preserve">Resumen ejecutivo</w:t>
      </w:r>
    </w:p>
    <w:p>
      <w:pPr>
        <w:spacing w:after="100"/>
      </w:pPr>
      <w:r>
        <w:rPr>
          <w:b/>
          <w:bCs/>
        </w:rPr>
        <w:t xml:space="preserve">Recomendación: Vender</w:t>
      </w:r>
      <w:r>
        <w:t xml:space="preserve"> · Convicción: Media · Horizonte: 12 meses · Objetivo a 12 meses: </w:t>
      </w:r>
      <w:r>
        <w:rPr>
          <w:b/>
          <w:bCs/>
        </w:rPr>
        <w:t xml:space="preserve">41,69 GBP (4.169,00 GBp)</w:t>
      </w:r>
      <w:r>
        <w:t xml:space="preserve"> (rentabilidad -15,5 % (base -3,5 %)) · Valor intrínseco: 31,36 GBP (3.136,00 GBp) (-37,6 % sobre 50,25) · con la prima implícita del mercado: 33,98 (3.398,00 GBp) (-32,4 %)</w:t>
      </w:r>
    </w:p>
    <w:p>
      <w:pPr>
        <w:spacing w:after="100"/>
      </w:pPr>
      <w:r>
        <w:t xml:space="preserve">Computacenter es un buen negocio en el mejor momento de su ciclo: revende y monta hardware de centros de datos para la IA con un ROIC alto, caja neta y fundadores dentro, y su beneficio sube un 49 % en 2026. Pero el precio ya paga 18,5 veces un beneficio de pico que depende en un 30 % de un solo cliente y deja un margen bruto del 9,6 %. Con la regla común, el objetivo a 12 meses (41,69 GBP) queda un 17 % por debajo del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41,69 GBP (4.169,00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2,27 = 24,74 · 16,8x × 2,84 = 47,71 · 16,8x × 3,10 = 52,08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 /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62,37 (nuestro base -23,5 %)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31,36 GBP (3.136,00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0,0100 GBP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50,25 GBP (5.025,00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 / -59,4 %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10,6 %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 GBP (3.398,00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-36,0 % (-30,8 % con la prima del mercado) y el precio pide 8,1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31,36 (3.136,00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31,36 y 47,19 (3.136,00 y 4.719,00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47,19 (4.719,00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31,36 GBP: Comprar (ponderada ≥ 15 %, base ≥ 12 % y valor intrínseco por encima; el límite lo pone el valor intrínseco).</w:t>
      </w:r>
    </w:p>
    <w:p>
      <w:pPr>
        <w:pStyle w:val="ListParagraph"/>
        <w:numPr>
          <w:ilvl w:val="0"/>
          <w:numId w:val="2"/>
        </w:numPr>
        <w:spacing w:after="60"/>
      </w:pPr>
      <w:r>
        <w:t xml:space="preserve">Precio entre 31,36 y 47,19 GBP: Mantener.</w:t>
      </w:r>
    </w:p>
    <w:p>
      <w:pPr>
        <w:pStyle w:val="ListParagraph"/>
        <w:numPr>
          <w:ilvl w:val="0"/>
          <w:numId w:val="2"/>
        </w:numPr>
        <w:spacing w:after="60"/>
      </w:pPr>
      <w:r>
        <w:t xml:space="preserve">Guía de 2027 con BPA ajustado por encima de 3,2 GBP y el mayor cliente por debajo del 20 % de las ventas: revisar al alza.</w:t>
      </w:r>
    </w:p>
    <w:p>
      <w:pPr>
        <w:pStyle w:val="ListParagraph"/>
        <w:numPr>
          <w:ilvl w:val="0"/>
          <w:numId w:val="2"/>
        </w:numPr>
        <w:spacing w:after="60"/>
      </w:pPr>
      <w:r>
        <w:t xml:space="preserve">Cartera de pedidos de Norteamérica que baja dos trimestres seguidos: reforzar Vender.</w:t>
      </w:r>
    </w:p>
    <w:p>
      <w:pPr>
        <w:pStyle w:val="ListParagraph"/>
        <w:numPr>
          <w:ilvl w:val="0"/>
          <w:numId w:val="2"/>
        </w:numPr>
        <w:spacing w:after="60"/>
      </w:pPr>
      <w:r>
        <w:t xml:space="preserve">Pérdida de un contrato grande de servicios gestionados atribuida a la automatización: reforzar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centros de datos de IA dura años, que Computacenter mantiene al cliente de hiperescala y que el BPA sigue al 8-10 % anual después de 2026; los analistas esperan ≈ 62 GBP, un 24 % sobre el precio.</w:t>
      </w:r>
    </w:p>
    <w:p>
      <w:pPr>
        <w:keepNext/>
        <w:spacing w:after="100"/>
      </w:pPr>
      <w:r>
        <w:rPr>
          <w:b/>
          <w:bCs/>
        </w:rPr>
        <w:t xml:space="preserve">Lo que creemos nosotros.</w:t>
      </w:r>
    </w:p>
    <w:p>
      <w:pPr>
        <w:spacing w:after="100"/>
      </w:pPr>
      <w:r>
        <w:t xml:space="preserve">Coincidimos en el beneficio de 2026-2027 y discrepamos en el múltiplo: un revendedor con un 3 % de margen operativo y un cliente del 30 % no debería cotizar en el máximo de diez años de su historia justo en el pico del ciclo.</w:t>
      </w:r>
    </w:p>
    <w:p>
      <w:pPr>
        <w:keepNext/>
        <w:spacing w:after="100"/>
      </w:pPr>
      <w:r>
        <w:rPr>
          <w:b/>
          <w:bCs/>
        </w:rPr>
        <w:t xml:space="preserve">Por qué podemos tener razón.</w:t>
      </w:r>
    </w:p>
    <w:p>
      <w:pPr>
        <w:spacing w:after="100"/>
      </w:pPr>
      <w:r>
        <w:t xml:space="preserve">La historia adelantada muestra que Computacenter cotizó a 10,9-17,5 veces entre 2017 y 2025 y cayó a 10,9 en 2022, cuando la demanda de la pandemia se agotó. La mezcla actual es más cíclica, no menos.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5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con pedidos</w:t>
      </w:r>
      <w:r>
        <w:t xml:space="preserve">: ventas del 1S26 +71,6 % y cartera de 9.300 M.</w:t>
      </w:r>
    </w:p>
    <w:p>
      <w:pPr>
        <w:pStyle w:val="ListParagraph"/>
        <w:numPr>
          <w:ilvl w:val="0"/>
          <w:numId w:val="2"/>
        </w:numPr>
        <w:spacing w:after="60"/>
      </w:pPr>
      <w:r>
        <w:rPr>
          <w:b/>
        </w:rPr>
        <w:t xml:space="preserve">Guía al alza</w:t>
      </w:r>
      <w:r>
        <w:t xml:space="preserve">: beneficio ajustado ≥ 380 M en 2026 (+38 %), por encima del consenso.</w:t>
      </w:r>
    </w:p>
    <w:p>
      <w:pPr>
        <w:pStyle w:val="ListParagraph"/>
        <w:numPr>
          <w:ilvl w:val="0"/>
          <w:numId w:val="2"/>
        </w:numPr>
        <w:spacing w:after="60"/>
      </w:pPr>
      <w:r>
        <w:rPr>
          <w:b/>
        </w:rPr>
        <w:t xml:space="preserve">ROIC alto y caja neta</w:t>
      </w:r>
      <w:r>
        <w:t xml:space="preserve">: más de 30 % sobre el capital, sin deuda financiera.</w:t>
      </w:r>
    </w:p>
    <w:p>
      <w:pPr>
        <w:pStyle w:val="ListParagraph"/>
        <w:numPr>
          <w:ilvl w:val="0"/>
          <w:numId w:val="2"/>
        </w:numPr>
        <w:spacing w:after="60"/>
      </w:pPr>
      <w:r>
        <w:rPr>
          <w:b/>
        </w:rPr>
        <w:t xml:space="preserve">Fundadores dentro</w:t>
      </w:r>
      <w:r>
        <w:t xml:space="preserve">: ≈ 37 % del capital y el mismo consejero delegado desde 1994.</w:t>
      </w:r>
    </w:p>
    <w:p>
      <w:pPr>
        <w:pStyle w:val="ListParagraph"/>
        <w:numPr>
          <w:ilvl w:val="0"/>
          <w:numId w:val="2"/>
        </w:numPr>
        <w:spacing w:after="60"/>
      </w:pPr>
      <w:r>
        <w:rPr>
          <w:b/>
        </w:rPr>
        <w:t xml:space="preserve">Servicios profesionales</w:t>
      </w:r>
      <w:r>
        <w:t xml:space="preserve">: +23,9 % orgánico con el despliegue de centros de datos.</w:t>
      </w:r>
    </w:p>
    <w:p>
      <w:pPr>
        <w:pStyle w:val="Heading2"/>
      </w:pPr>
      <w:r>
        <w:t xml:space="preserve">En contra</w:t>
      </w:r>
    </w:p>
    <w:p>
      <w:pPr>
        <w:pStyle w:val="ListParagraph"/>
        <w:numPr>
          <w:ilvl w:val="0"/>
          <w:numId w:val="2"/>
        </w:numPr>
        <w:spacing w:after="60"/>
      </w:pPr>
      <w:r>
        <w:rPr>
          <w:b/>
        </w:rPr>
        <w:t xml:space="preserve">Caro frente a su historia</w:t>
      </w:r>
      <w:r>
        <w:t xml:space="preserve">: 18,5 veces el BPA adelantado frente a una mediana de 12,1.</w:t>
      </w:r>
    </w:p>
    <w:p>
      <w:pPr>
        <w:pStyle w:val="ListParagraph"/>
        <w:numPr>
          <w:ilvl w:val="0"/>
          <w:numId w:val="2"/>
        </w:numPr>
        <w:spacing w:after="60"/>
      </w:pPr>
      <w:r>
        <w:rPr>
          <w:b/>
        </w:rPr>
        <w:t xml:space="preserve">Un cliente del 30 %</w:t>
      </w:r>
      <w:r>
        <w:t xml:space="preserve">: 2.731 M de ventas a un comprador de hiperescala.</w:t>
      </w:r>
    </w:p>
    <w:p>
      <w:pPr>
        <w:pStyle w:val="ListParagraph"/>
        <w:numPr>
          <w:ilvl w:val="0"/>
          <w:numId w:val="2"/>
        </w:numPr>
        <w:spacing w:after="60"/>
      </w:pPr>
      <w:r>
        <w:rPr>
          <w:b/>
        </w:rPr>
        <w:t xml:space="preserve">Margen bajo</w:t>
      </w:r>
      <w:r>
        <w:t xml:space="preserve">: margen bruto del 9,6 % en el 1S26 (14,9 % en 2024).</w:t>
      </w:r>
    </w:p>
    <w:p>
      <w:pPr>
        <w:pStyle w:val="ListParagraph"/>
        <w:numPr>
          <w:ilvl w:val="0"/>
          <w:numId w:val="2"/>
        </w:numPr>
        <w:spacing w:after="60"/>
      </w:pPr>
      <w:r>
        <w:rPr>
          <w:b/>
        </w:rPr>
        <w:t xml:space="preserve">IA contra los servicios gestionados</w:t>
      </w:r>
      <w:r>
        <w:t xml:space="preserve">: −4,5 % orgánico y margen de servicios a la baja.</w:t>
      </w:r>
    </w:p>
    <w:p>
      <w:pPr>
        <w:pStyle w:val="ListParagraph"/>
        <w:numPr>
          <w:ilvl w:val="0"/>
          <w:numId w:val="2"/>
        </w:numPr>
        <w:spacing w:after="60"/>
      </w:pPr>
      <w:r>
        <w:rPr>
          <w:b/>
        </w:rPr>
        <w:t xml:space="preserve">Pico de ciclo</w:t>
      </w:r>
      <w:r>
        <w:t xml:space="preserve">: el bajista (frenazo de hiperescala) ya ocurrió en 2022.</w:t>
      </w:r>
    </w:p>
    <w:p>
      <w:pPr>
        <w:pStyle w:val="Heading2"/>
      </w:pPr>
      <w:r>
        <w:t xml:space="preserve">Qué tiene que pasar para que la tesis funcione</w:t>
      </w:r>
    </w:p>
    <w:p>
      <w:pPr>
        <w:spacing w:after="100"/>
      </w:pPr>
      <w:r>
        <w:t xml:space="preserve">La tesis de venta depende de que el ciclo de hiperescala no se alargue lo bastante para justificar el múltiplo. La señal en contra sería una cartera de pedidos que siga subiendo en 2027 con el mayor cliente pesando menos, o una guía de 2027 muy por encima del consenso. La señal a favor de la venta, una cartera de Norteamérica que baja o un mayor cliente que reduce pedidos.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 producto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mayor cliente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y riesgo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ajustado antes de impuestos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 380 M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2026e.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mezcla de reventa de bajo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gestionados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 la automatización por 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 / 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25,9x / 18,1x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Philip Hulme y Peter Ogden fundan Computacenter en 1981 en Londres para vender ordenadores personales a grandes empresas; Mike Norris, en la casa desde 1984, es consejero delegado desde 1994 y sigue en el cargo [1]. Tras salir a bolsa en Londres, la empresa se convirtió en el mayor revendedor con servicios de Reino Unido y Alemania y en 2018 entró en EE. UU. con FusionStorm, a la que siguieron Pivot (2020) y BITS (2022) [3, 4]. Los fundadores conservan cerca del 37 % con sus vinculados y su fundación [1, 12]. El giro de los últimos dos años es la reventa de hardware de centros de datos para clientes de hiperescala y «neoclouds» en Norteamérica: el mayor cliente pasó a ser el 30 % de las ventas en 2025, la cartera de pedidos se cuadruplicó y la empresa entró en el FTSE 100 en junio de 2026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Hulme y Peter Ogden fundan Computacenter para revender ordenadores a grandes empresas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Norris, consejero delegado (sigue en 2026)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FusionStorm: entrada en EE. UU.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Pivot Technology Solutions (EE. UU. y Canadá)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BITS y cambio del criterio de ingresos a agente para software y servicios de terceros (ventas de 2021 de 6.726 a 5.035 M)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 M GBP (5 M de acciones); beneficio ajustado −8,6 % por un primer semestre flojo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+32 % a 9.194 M con un cliente de hiperescala de EE. UU. que compra 2.731 M (30 %); deterioro de Francia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AgreeYa y GAI; ventas del 1S26 +71,6 %, cartera de pedidos de 9.300 M, entrada en el FTSE 100 y guía de beneficio ajustado ≥ 380 M [5].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Computacenter es un revendedor de tecnología con servicios, fundado en 1981 por Philip Hulme y Peter Ogden, con sede en Hatfield (Reino Unido) y unos 21.000 empleados. Tiene tres líneas: Technology Sourcing (compra, configura y entrega hardware y software de terceros: servidores y redes para centros de datos, portátiles, licencias), el 82 % de las ventas en 2025; Professional Services (proyectos de instalación, migración y despliegue, como el montaje y cableado de racks de IA); y Managed Services (soporte técnico, centros de atención y gestión de puestos de trabajo y centros de datos con contratos de varios años) [1, 5]. Vende a grandes empresas y Administraciones de EE. UU. (53 % de las ventas), Alemania (23 %), Reino Unido (15 %) y Francia, Bélgica, Países Bajos y Suiza (8,5 %) [1].</w:t>
      </w:r>
    </w:p>
    <w:p>
      <w:pPr>
        <w:pStyle w:val="Heading2"/>
      </w:pPr>
      <w:r>
        <w:t xml:space="preserve">Cómo gana dinero</w:t>
      </w:r>
    </w:p>
    <w:p>
      <w:pPr>
        <w:spacing w:after="100"/>
      </w:pPr>
      <w:r>
        <w:t xml:space="preserve">Gana un margen pequeño sobre lo que revende (margen bruto de Technology Sourcing de un solo dígito en hiperescala, más alto en empresas) y uno mayor en servicios, cobrado por horas o por contrato [5]. La facturación bruta de 2025 fue de 12.988 M GBP y el beneficio bruto de 1.144 M: el negocio es de volumen. El resultado depende de la mezcla (los grandes proyectos de IA suben ventas y bajan el margen porcentual), de la productividad de la plantilla de servicios y del apalancamiento operativo sobre los gastos de estructura (869 M en 2025): en el 1S26 el beneficio bruto subió un 30,5 % y el operativo ajustado un 86,5 % [1, 5]. Solo los servicios gestionados son recurrentes (≈ 9 % de las ventas). Estacionalidad: segundos semestres más fuertes en beneficio y en caja.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Occidental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Occidental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Grandes empresas y Administraciones públicas de Reino Unido, Alemania, Francia, Benelux y EE. UU., más, desde 2024, clientes de hiperescala y «neoclouds» que construyen centros de datos de IA. La concentración ha cambiado de escala: el mayor cliente, en Norteamérica, compró 2.731 M GBP en 2025 (30 % de las ventas; 1.096 M en 2024) [1]. En Servicios Gestionados los contratos son de 3-5 años y se pierden con la renovación (un cliente farmacéutico en EE. UU. y contratos en Francia en el 1S26) [5]. El poder de precios es bajo en la reventa (el margen bruto de Technology Sourcing cae cuando crecen los grandes clientes) y la ventaja está en la escala logística, los centros de integración y la relación de décadas con 216 clientes de más de 1 M GBP de beneficio bruto anual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bruta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12.988,3 (2025); 8.927,5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 +57,6 %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 de gestión: incluye el software revendido como agente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 producto comprometida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en seis meses; +323 %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6.936 M de Norteamérica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con más de 1 M GBP de beneficio bruto al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(8 por compras)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estratégico de la empresa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al mayor cliente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de Norteamérica, el 30 % de las ventas del grupo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(2025); 9,6 %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y −303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hardware de gran volumen para hiperescala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Servicios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1.690,8 (2025); 935,1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+9,0 % orgánico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Profesionales +23,9 % orgánico, Gestionados −4,5 %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infraestructura de TI de grandes empresas y Administraciones que se compra a través de revendedores con servicios (VAR): sistemas de centros de datos (servidores, almacenamiento, redes), dispositivos de puesto de trabajo y los servicios de infraestructura asociados, en EE. UU., Reino Unido y Europa continental. Gartner no publica ese perímetro: usamos su gasto mundial en sistemas de centros de datos y dispositivos (1.644.000 M USD en 2026) como techo y el gasto en servicios de TI (1.870.000 M USD) como referencia de servicios [8, 9]. La cuota de Computacenter sobre el hardware mundial es inferior al 1 %; la prueba de cuota se hace sobre ese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1.644.000 M USD en 2026 (centros de datos 787.990 + dispositivos 856.189; ≈ 1.231.000 M GBP) según Gartner, abril de 2026 [8]; la versión de mayo confirma 6,31 billones de gasto total y +55,8 % en centros de datos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Gartner: centros de datos + dispositiv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hiperescala y «neoclouds» en centros de datos para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en sistemas de centros de datos +51,6 % en 2025 y +55,8 % en 2026 (787.990 M USD) [8]; cartera de Computacenter en Norteamérica de 6.936 M GBP, +414 % interanual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puestos de trabajo y redes en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Dispositivos +8,2 % en 2026 (856.189 M USD), frenados por el encarecimiento de la memoria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y escasez de componentes por la demanda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precio facturado pero hace que algunos clientes reprioricen su gasto [5]; Barclays rebajó a Dell el 14-oct-2026 por la normalización esperada de los precios de la memoria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servicios gestionados y automatización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Gestionados de Computacenter −4,5 % en el 1S26; servicios de TI mundiales +9,0 % en 2026, impulsados por la nube y no por el soporte tradicional [5,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público en digitalización (Alemania, Reino Unido, EE. UU. federal)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 con la Administración pública «contenida» en 2026; compra de GAI para el mercado federal de EE. UU.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con rivales grandes (CDW 23.500 M USD de ventas, Insight, Bechtle, SHI y WWT sin cotizar) y margen operativo del 2-7 % sobre ventas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de hiperescala compró el 30 % de las ventas de Computacenter en 2025 y los grandes proyectos se licitan: el margen bruto de Technology Sourcing cae al crecer esos clientes [1,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fabricantes (Nvidia, Dell, HPE, Cisco) controlan la oferta y la asignación de producto en escasez; los incentivos de los fabricantes pesan en el margen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escala logística, centros de integración, crédito de los fabricantes y capacidad de financiar circulante de miles de millones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directa al fabricante o al mayorista (TD SYNNEX/Hyve) en hiperescala; nube pública frente a infraestructura propia; IA en soporte técnico [5, 8].</w:t>
            </w:r>
          </w:p>
        </w:tc>
      </w:tr>
    </w:tbl>
    <w:p>
      <w:pPr>
        <w:spacing w:after="160" w:before="0"/>
      </w:pPr>
    </w:p>
    <w:p>
      <w:pPr>
        <w:pStyle w:val="Heading2"/>
      </w:pPr>
      <w:r>
        <w:t xml:space="preserve">Ciclo</w:t>
      </w:r>
    </w:p>
    <w:p>
      <w:pPr>
        <w:spacing w:after="100"/>
      </w:pPr>
      <w:r>
        <w:t xml:space="preserve">El gasto en centros de datos crece por encima del 50 % dos años seguidos [8], la cartera de Computacenter está en máximos (9.300 M GBP) y los márgenes brutos bajan por mezcla, no por precio: es una fase alta del ciclo de inversión en IA. La reventa de TI es cíclica: en 2009 y 2020 las ventas de hardware cayeron con la inversión empresarial, y en 2024, tras el auge de 2023, el resultado operativo ajustado de Computacenter cayó un 31,6 % en el primer semestre y un 9 % en el año [1]. La rebaja de Dell del 14-oct-2026 muestra que el mercado ya descuenta un techo [11].</w:t>
      </w:r>
    </w:p>
    <w:p>
      <w:pPr>
        <w:pStyle w:val="Heading2"/>
      </w:pPr>
      <w:r>
        <w:t xml:space="preserve">Regulación</w:t>
      </w:r>
    </w:p>
    <w:p>
      <w:pPr>
        <w:spacing w:after="100"/>
      </w:pPr>
      <w:r>
        <w:t xml:space="preserve">Pocas normas afectan a los ingresos. Las que pesan: compras públicas (marcos de contratación del Reino Unido y Alemania, que deciden la cuota en la Administración), aranceles de EE. UU. sobre hardware importado (se repercuten al cliente, pero encarecen proyectos), controles a la exportación de chips de IA a determinados países (afectan a proyectos fuera de EE. UU. y Europa) y la ciberseguridad (NIS2 en la UE desde 2024), que genera demanda de servicios [1].</w:t>
      </w:r>
    </w:p>
    <w:p>
      <w:pPr>
        <w:pStyle w:val="Heading2"/>
      </w:pPr>
      <w:r>
        <w:t xml:space="preserve">Tendencias y disrupción</w:t>
      </w:r>
    </w:p>
    <w:p>
      <w:pPr>
        <w:spacing w:after="100"/>
      </w:pPr>
      <w:r>
        <w:t xml:space="preserve">La IA cambia el negocio en dos direcciones. Gana el hardware: la construcción de centros de datos de IA ha triplicado la cartera y ha puesto a Computacenter en el FTSE 100 [5]. Pierde el trabajo repetible: el soporte técnico y los servicios gestionados (44 % de los ingresos de Servicios) son lo que la IA generativa y los agentes automatizan antes, y Servicios Gestionados ya cae [5]. Los fabricantes venden cada vez más directo a hiperescala, y los «neoclouds» dependen de financiación cara, lo que añade riesgo de crédito y de cancelación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revendedores independientes con servicios de Europa (1.º-2.º en Reino Unido y Alemania con Softcat y Bechtle) y top 5 en EE. UU. tras CDW, WWT, SHI e Insight; cuota inferior al 1 % del gasto mundial en hardware [8,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CDW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revendedor de TI de EE. UU. y Reino Unido (CDW UK); competidor directo en grandes cuentas y sector público. Ventas de los últimos 12 meses y margen operativo de Yahoo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 Enterprises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NSIT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Revendedor y servicios en EE. UU. y Europa; más software y nube, menos centros de datos de IA. Ventas de los últimos 12 meses y margen operativo de Yahoo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Bechtle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BC8.DE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competidor en Alemania (sistema de casas de sistemas y comercio electrónico); fuerte en Administración pública. Ventas de los últimos 12 meses y margen operativo de Yahoo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ATEA.OL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nórdico en infraestructura y reventa; modelo similar al de Computacenter. Ventas de los últimos 12 meses y margen operativo de Yahoo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COK.DE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Revendedor y servicios gestionados en Alemania, Austria y Reino Unido; margen más bajo. Ventas de los últimos 12 meses y margen operativo de Yahoo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Softcat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SCT.L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el Reino Unido, sobre todo en medianas empresas y software; ventas netas (agente) que inflan su margen sobre ventas. Ventas de los últimos 12 meses y margen operativo de Yahoo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TD SYNNEX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Mayorista: proveedor y a veces competidor en grandes despliegues de hiperescala (Hyve). Ventas de los últimos 12 meses y margen operativo de Yahoo [10].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cada cliente compra por su cuenta.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gestionados de varios años y relaciones de décadas: 216 clientes de más de 1 M GBP de beneficio bruto; pero los proyectos de hardware se licitan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de los fabricantes (socio de Nvidia, Cisco, Dell…) que tienen también los rivales.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integración propios y sistemas comunes (26,6 M de inversión en el 1S26); margen operativo del 2,1 % sobre ventas, por debajo de CDW (7,3 %) [4,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financiar y entregar proyectos de miles de millones a la velocidad que pide la hiperescala; pocos rivales independientes pueden en Europa [4].</w:t>
            </w:r>
          </w:p>
        </w:tc>
      </w:tr>
    </w:tbl>
    <w:p>
      <w:pPr>
        <w:spacing w:after="160" w:before="0"/>
      </w:pPr>
    </w:p>
    <w:p>
      <w:pPr>
        <w:pStyle w:val="Heading2"/>
      </w:pPr>
      <w:r>
        <w:t xml:space="preserve">Amenazas</w:t>
      </w:r>
    </w:p>
    <w:p>
      <w:pPr>
        <w:spacing w:after="100"/>
      </w:pPr>
      <w:r>
        <w:t xml:space="preserve">La mayor amenaza es la compra directa: los clientes de hiperescala pueden comprar al fabricante o al ensamblador (Dell, Supermicro, Hyve) y dejar al revendedor solo el montaje, como ya hacen con parte de su gasto. Probabilidad media en 3-5 años. Segunda: que el ciclo de inversión en IA se frene con la normalización de los precios de la memoria y la financiación cara de los «neoclouds» (rebaja de Dell del 14-oct-2026), lo que dejaría capacidad ociosa y presión de precios [11]. Tercera: la IA en el soporte técnico, que abarata lo que Computacenter cobra por persona en Servicios Gestionados [5, 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2021-2025: ingresos </w:t>
      </w:r>
      <w:r>
        <w:rPr>
          <w:b/>
          <w:bCs/>
        </w:rPr>
        <w:t xml:space="preserve">16,2 %</w:t>
      </w:r>
      <w:r>
        <w:t xml:space="preserve">, EBITDA </w:t>
      </w:r>
      <w:r>
        <w:rPr>
          <w:b/>
          <w:bCs/>
        </w:rPr>
        <w:t xml:space="preserve">0,5 %</w:t>
      </w:r>
      <w:r>
        <w:t xml:space="preserve">, BPA </w:t>
      </w:r>
      <w:r>
        <w:rPr>
          <w:b/>
          <w:bCs/>
        </w:rPr>
        <w:t xml:space="preserve">-2,5 %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NIIF pasan de 5.034,5 M GBP en 2021 a 9.193,9 M en 2025 (+16,3 % anual) y a 12.050 M en los doce meses a junio de 2026, pero la cifra engaña: desde 2022 el software y los servicios de terceros revendidos se contabilizan solo por su margen (agente), y la facturación bruta, la medida de gestión, fue de 12.988 M en 2025 [1, 4]. El beneficio bruto, que no depende de ese criterio, creció del 867,8 M de 2021 al 1.144,1 M de 2025 (+7,2 % anual) y el margen bruto sobre ventas cayó del 17,2 % al 12,4 % por la mezcla: crecen los grandes proyectos de hardware para centros de datos de clientes de hiperescala en Norteamérica, de margen bajo [1]. El resultado operativo ajustado estuvo plano en 2021-2025 (262,8 → 274,7 M) y se dispara en 2026: 153,1 M en el 1S26 (+87 %) con ventas +71,6 % y margen bruto del 9,6 % (−303 puntos básicos) [5]. Norteamérica pasa del 44 % al 62 % del resultado de los segmentos; Francia arrastra pérdidas (deterioro de 20,2 M en 2025) [1, 5].</w:t>
      </w:r>
    </w:p>
    <w:p>
      <w:pPr>
        <w:pStyle w:val="Heading2"/>
      </w:pPr>
      <w:r>
        <w:t xml:space="preserve">Ajustes y partidas no recurrentes</w:t>
      </w:r>
    </w:p>
    <w:p>
      <w:pPr>
        <w:spacing w:after="100"/>
      </w:pPr>
      <w:r>
        <w:t xml:space="preserve">La empresa publica medidas ajustadas que excluyen la amortización de intangibles comprados (10,1 M en 2025; 8,8 M solo en el 1S26 por AgreeYa) y las partidas excepcionales: en 2025, deterioro de Francia y del fondo de comercio de Europa Occidental (20,2 M) y gastos de una compra fallida (3,2 M); en 2024, una ganancia de 1,8 M por la liberación de un pago aplazado de BITS; en 2023, ganancias de 8,1 M ligadas a compras; en 2022, 1,8 M de gastos de compra [1, 2, 4]. Esas partidas se tratan como no recurrentes en el EBITDA; la amortización de lo comprado se repite y no se trata como no recurrente en el EBITDA (está en las amortizaciones). El BPA ajustado diluido (175,1 peniques en 2025 frente a 145,5 publicado) es la base del consenso y de la guía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marzo de 2026 la dirección cerró 2025 con una cartera de pedidos de producto de 7.100 M GBP (+200 % interanual) y solo prometió «progreso» en 2026, prudente por la escasez de componentes [6]. Seis meses después el discurso es otro: 1S26 «récord», cartera de 9.300 M (+323 %) y guía de beneficio antes de impuestos ajustado de al menos 380 M, un 11 % sobre el consenso que la propia empresa había recopilado (340,9 M; rango 332-354) [5]. El motor es Norteamérica: clientes de hiperescala y «neocloud» que construyen centros de datos para IA, con un 62 % del resultado de los segmentos. La dirección reconoce tres cosas que el mercado vigila: el margen bruto baja por la mezcla (9,6 % sobre ventas), la inflación de componentes por la demanda de IA hace que algunos clientes «reprioricen» su gasto, y Servicios Gestionados cae un 4,5 % con provisiones de contratos que suben de 14,8 a 24,8 M [5]. Alemania pierde beneficio (−13 %) por costes de eficiencia y la Administración pública no despega. Lo que la dirección no cuantifica es el peso del mayor cliente en 2026 (en 2025, 2.731 M GBP de ventas, el 30 % del grupo [1]) ni cuánto de la cartera es de unos pocos proyectos.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AgreeYa Solutions (servicios profesionales en EE. UU. e India; valor empresa 120 M USD, ≈ 120 M USD de ventas y 14 M USD de EBITDA ajustado en 2025), consolidada desde enero de 2026, y GAI (revendedor para la Administración federal de EE. UU.; hasta 92 M USD; ≈ 390 M USD de facturación bruta), desde junio de 2026: 124,2 M GBP pagados en el 1S26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(existencias + clientes − proveedores, con activos y pasivos de contrato) es negativo al cierre de cada año desde 2023 (−250 M en 2025) porque proveedores y anticipos financian el inventario de los grandes proyectos; en junio vuelve a casi cero (−31 M en 2026) [1, 5]. La caja neta sin arrendamientos («adjusted net funds») fue de 606 M a diciembre de 2025 y de 308,7 M a junio de 2026, tras pagar 124,2 M por AgreeYa y GAI y 38 M en acciones para los planes de empleados [5]. El riesgo del balance no es la deuda sino el tamaño del circulante bruto: 3.999 M de existencias y clientes frente a 4.030 M de proveedores e ingresos diferidos a junio, con el mayor cliente pesando un 30 % de las ventas: un impago o un retraso de un gran proyecto se notaría en la caja antes que en la cuenta.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1.148</w:t>
      </w:r>
      <w:r>
        <w:t xml:space="preserve">, conversión </w:t>
      </w:r>
      <w:r>
        <w:rPr>
          <w:b/>
          <w:bCs/>
        </w:rPr>
        <w:t xml:space="preserve">129 %</w:t>
      </w:r>
      <w:r>
        <w:t xml:space="preserve"> del beneficio neto; adquisiciones 71, dividendos 374, recompras 343.</w:t>
      </w:r>
    </w:p>
    <w:p>
      <w:pPr>
        <w:spacing w:after="100"/>
      </w:pPr>
      <w:r>
        <w:t xml:space="preserve">El flujo operativo de 2021-2025 suma 1.588 M GBP frente a un beneficio neto de 890 M: la conversión es alta porque el circulante es negativo y crece con el negocio, pero es volátil (410,6 M en 2023 y 417,1 M en 2024 frente a 293,6 M en 2025) y estacional: los primeros semestres consumen caja (−82,6 M de flujo operativo en el 1S26) y los segundos la devuelven [1, 5]. La inversión es pequeña: 36 M en 2025 (0,4 % de las ventas), que sube a unos 70-75 M en 2026 por el nuevo centro de integración de Atlanta y el diseño del nuevo ERP; con los pagos de arrendamientos (43,4 M de principal y 9,3 M de intereses) la inversión de mantenimiento ronda 80-90 M al año (estimación propia) [1, 5]. En 2024 se recompraron 200 M con una recompra en bolsa (5 M de acciones amortizadas) y en 2021-2025 se pagaron 374 M de dividendos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Grant Thornton UK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revisión limitada sin salvedades del 1S26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sin salvedades de Grant Thornton, auditor desde el ejercicio 2023 (antes KPMG) [1, 5]. Tres puntos de juicio. Primero, el reconocimiento de ingresos como agente o principal: el cambio de 2022 sacó de las ventas 2.582 M de facturación (2022) y hace que el margen sobre ventas suba o baje con la mezcla sin que cambie el beneficio [4]. Segundo, la caja de cierre depende de cobros anticipados, de la venta de cuentas a cobrar (43,4 M) y del «invoice financing» (140,5 M a junio), que crece rápido con los proyectos grandes [5]. Tercero, las medidas ajustadas excluyen la amortización de lo comprado (que crece con AgreeYa) y las excepcionales, que en 2023-2024 fueron ganancias y en 2025 un deterioro: no hay sesgo sistemático a favor del ajustado [1, 2]. La remuneración en acciones es pequeña (9,0 M en 2025, un 4 % del beneficio ajustado) [1]. Lectura de los indicadores del motor: Altman alto por la rotación del activo, Piotroski y Beneish sin señales (ver tabla), aunque el Beneish es poco útil con ventas que cambian de criterio.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circulante fuera de la deuda creciendo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«Invoice financing» sin recurso de 38,8 a 140,5 M en el 1S26 más 43,4 M de venta de cuentas a cobrar: se tratan como deuda asimilada en el puente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un cliente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aportó 2.731 M GBP de ventas en 2025 (30 %; 1.096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Provisiones de contratos de servicios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14,8 a 24,8 M en el 1S26 por unos pocos contratos de Servicios Gestionados por debajo de lo previsto [5].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157 M en 2025 (el 35 % del capital invertido medio); ha subido más de un 5 % en 1 de 4 años: compras pequeñas. ROIC publicado 37,2 %; sin fondo de comercio, 57,4 %.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10,6 %.</w:t>
      </w:r>
    </w:p>
    <w:p>
      <w:pPr>
        <w:spacing w:after="100"/>
      </w:pPr>
      <w:r>
        <w:t xml:space="preserve">Computacenter rinde mucho sobre poco capital: el ROIC del motor es del 37,2 % en 2025 (27-31 % en 2021-2024), porque el inmovilizado es pequeño (86 M de material, 157 M de fondo de comercio a diciembre de 2025) y el circulante comercial es casi nulo o negativo a fin de año: los clientes pagan por adelantado y los fabricantes dan plazo [1]. Esa cifra cambia con la estación: en junio el circulante sube (existencias de 1.260 M por los pedidos de hiperescala y 245 M de salida de caja en el semestre) y con él el capital [5]. Aun así, el ROIC no bajó del 27 % en ningún año de 2021-2025, más de 16 puntos sobre el WACC del 10,6 %, y sin el fondo de comercio pasa del 35 %. Lo que hay que vigilar es el margen: el bruto cayó del 14,9 % de 2024 al 9,6 % del 1S26 con la mezcla de hiperescala, y el beneficio sube solo porque el volumen sube más [5].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333,4 M GBP a 30-jun-2026 (628,5 M al cierre de 2025) y una línea de crédito multidivisa no dispuesta de 200 M GBP con vencimiento el 8-dic-2029; deuda bancaria de 24,7 M (financiación de un cliente en Norteamérica, la sede de Kerpen e India)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caja de cierre de año está inflada por cobros anticipados de clientes que se deshacen en el primer semestre (salida de circulante de 245 M en el 1S26 y de 251 M en el 1S25) [5]. Hay dos financiaciones de clientes fuera de la deuda: venta de cuentas a cobrar sin recurso a petición de clientes que piden plazos largos (43,4 M a junio de 2026; 50,4 M a diciembre de 2025) y un programa de «invoice financing» sin recurso para proyectos concretos que sube de 38,8 a 140,5 M en seis meses [1, 5]. Inventario de 1.260 M a junio (482,8 M en diciembre), casi todo de pedidos comprometidos y en parte pagado por adelantado (ingresos diferidos de 1.109 M) [5]. Obligación por pensiones de 21,2 M, provisiones de 37,1 M (de ellas 24,8 M de contratos de servicios deficitarios) y arrendamientos de 175,7 M [5]. Sin covenants relevantes ni pagos aplazados de compras pendientes conocidos.</w:t>
      </w:r>
    </w:p>
    <w:p>
      <w:pPr>
        <w:pStyle w:val="Heading1"/>
      </w:pPr>
      <w:r>
        <w:t xml:space="preserve">12. Asignación de capital</w:t>
      </w:r>
    </w:p>
    <w:p>
      <w:pPr>
        <w:pStyle w:val="Confianza"/>
        <w:spacing w:after="100"/>
      </w:pPr>
      <w:r>
        <w:t xml:space="preserve">Confianza: Alta</w:t>
      </w:r>
    </w:p>
    <w:p>
      <w:pPr>
        <w:spacing w:after="100"/>
      </w:pPr>
      <w:r>
        <w:t xml:space="preserve">Dividendo con cobertura de 2 a 2,5 veces el BPA ajustado diluido; el a cuenta suele ser un tercio del total del año anterior, pero en 2026 se subió un 14,8 % (27,1 peniques) por el semestre [1, 5]. La caja sobrante se devuelve cuando se acumula: recompra de 200 M en 2024 (5 M de acciones) y, antes, ofertas de recompra y devoluciones especiales; desde la salida a bolsa ha devuelto 1.350 M GBP [1, 5]. Las prioridades declaradas son invertir en sistemas (26,6 M de gasto en el 1S26 y 70-75 M de inversión en 2026), compras selectivas que amplíen el mercado (Norteamérica) y devolver el excedente [5]. El fondo de los empleados compra acciones en bolsa para los planes (38 M en el 1S26), de modo que la dilución es casi nula.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GAI (Government Acquisitions Inc., revendedor para la Administración federal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junio de 2026: hasta 92 M USD por ≈ 8 M USD de EBITDA ajustado y ≈ 390 M USD de facturación bruta; abre el mercado federal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AgreeYa Solutions (servicios profesionales, EE. UU. e India)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enero de 2026: 120 M USD por ≈ 14 M USD de EBITDA ajustado; la dirección dice que va según lo previsto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BITS (Business IT Source,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pagos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aplazados liquidados en 2023-2024 (17,4 y 18,7 M) con una liberación de 2,2 M a favor en 2024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no cerrada (sin nombre publicado)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M de gastos llevados a resultados como excepcionales [1].</w:t>
            </w:r>
          </w:p>
        </w:tc>
      </w:tr>
    </w:tbl>
    <w:p>
      <w:pPr>
        <w:spacing w:after="160" w:before="0"/>
      </w:pPr>
    </w:p>
    <w:p>
      <w:pPr>
        <w:spacing w:after="100"/>
      </w:pPr>
      <w:r>
        <w:t xml:space="preserve">La asignación de capital es conservadora y ha funcionado: 1.588 M de flujo operativo en 2021-2025 frente a 168 M de inversión, 70 M de compras, 374 M de dividendos y 343 M de recompras, sin deuda [1]. Las compras en EE. UU. (FusionStorm en 2018, Pivot en 2021, BITS en 2022) construyeron el negocio que hoy da el 62 % del beneficio de los segmentos, y las de 2026 se pagan a 8,6 y 11,5 veces el EBITDA, por debajo de las 18 veces que cotiza el grupo [5]. El punto débil es Francia: deterioro de 20,2 M en 2025 tras años de pérdidas [1]. La recompra de 2024 se hizo a 26-29 GBP por acción, la mitad del precio de hoy.</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Norris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Computacenter desde 1984 y primer ejecutivo desde 1994: llevó la empresa de revendedor británico a grupo con 13.000 M GBP de facturación y el 53 % de las ventas en EE. UU.; 1.079.214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Mortimer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1-sep-2025, tras la salida de Chris Jehle (junio de 2023-diciembre de 2024) y la jubilación de Tony Conophy en 2023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Pauline Campbell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agosto de 2021, presidió la comisión de auditoría y preside el consejo desde el 14-may-2024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 Hulme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fundador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tras su última donación a The Hadley Trust (de la que es patrono) conserva 8.041.695 acciones (7,57 %), y la fundación 7,21 %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Ogden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fundador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1981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participación con personas vinculadas del 22,3 % (26.240.461 acciones en la tabla de consejeros)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«progreso estratégico y financiero» orgánico más AgreeYa [6]; septiembre: beneficio antes de impuestos ajustado ≥ 380 M GBP, «muy por encima» del consenso de 340,9 M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152,4 M en el 1S26 (+87 %)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«Progreso» en 2025, con el BPA ayudado por la recompra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diluido +9,5 % (175,1 peniques); beneficio ajustado antes de impuestos +7,1 %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de pedidos al alza y mejor segundo semestre tras un primero flojo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ajustado antes de impuestos −8,6 % pese al récord del segundo semestre (165,6 M de resultado operativo ajustado)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tiene una continuidad rara: el consejero delegado lleva 32 años en el cargo y los fundadores siguen en el consejo con cerca del 37 % entre ambos con sus vinculados [1]. Lo que resta es la rotación de la dirección financiera: tres directores financieros en tres años (Conophy, Jehle, que salió «de mutuo acuerdo» en diciembre de 2024, y Mortimer desde septiembre de 2025) [1]. La guía es prudente y se ha batido en 2025 y 2026. El plan de sucesión del consejero delegado no está publicado y es la principal pregunta de gobierno: Mike Norris tiene más de 60 años y la política de 2025 se aprobó con un 77,7 % precisamente para retenerlo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Pauline Campbell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Norris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Keith Mortimer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Adam Walker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René Carayol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Kelly Kuhn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Simon McNamara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Ljiljana Mitic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(presidenta), 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 Hulme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Ogden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1981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revisión limitada sin salvedades del 1S26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Ogden y personas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comunicados en 12 meses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 Hulme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Donaciones a The Hadley Trust: 125.000 acciones el 24-jul-2026 [12]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Hadley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benéfica vinculada a Philip Hulme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Recibe las donaciones de Hulme [12]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(11.444.039 acciones a 31-dic-2025; sin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 de acciones amortizadas en 2025 tras la recompra de 2024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Hulme (consejero fundador)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1,75 M GBP en 2025: 0,77 M de fijo y 0,97 M de bonus, sin acciones de largo plazo que consolidaran [1]. La política de 2025 subió su salario un 13,4 % y añadió un plan de acciones restringidas con condición mínima para retenerlo; se aprobó con el 77,71 % de los votos, por debajo del 80 % del Código, y el consejo escribió a accionistas con más del 18 % del capital que votaron en contra [1]. El plan de acciones por resultados mide el BPA ajustado diluido, no el ROIC ni la rentabilidad para el accionista, y el bonus mide el beneficio antes de impuestos ajustado (50 %) y la contribución de Servicios [1]: premia crecer el beneficio, y el BPA ajustado excluye la amortización de lo comprado. La ratio con el empleado mediano del Reino Unido es de 30 a 1 [1].</w:t>
      </w:r>
    </w:p>
    <w:p>
      <w:pPr>
        <w:pStyle w:val="Heading2"/>
      </w:pPr>
      <w:r>
        <w:t xml:space="preserve">Operaciones vinculadas, estructura de control y defensas</w:t>
      </w:r>
    </w:p>
    <w:p>
      <w:pPr>
        <w:spacing w:after="100"/>
      </w:pPr>
      <w:r>
        <w:t xml:space="preserve">No hay accionista de control: los dos fundadores suman cerca del 37 % con sus vinculados y la fundación de Hulme, pero no actúan concertados ni nombran al presidente, y el consejo los declara no independientes y fuera de las comisiones [1]. Una acción, un voto; sin blindajes. El peso de los fundadores protege frente a una opa hostil y alinea a largo plazo, pero también es un «overhang» potencial: Hulme transfiere acciones a su fundación cada año (125.000 en julio de 2026, 260.000 en julio de 2025) [12]. No hay operaciones vinculadas relevantes.</w:t>
      </w:r>
    </w:p>
    <w:p>
      <w:pPr>
        <w:pStyle w:val="Heading2"/>
      </w:pPr>
      <w:r>
        <w:t xml:space="preserve">Señales de alerta</w:t>
      </w:r>
    </w:p>
    <w:p>
      <w:pPr>
        <w:pStyle w:val="ListParagraph"/>
        <w:numPr>
          <w:ilvl w:val="0"/>
          <w:numId w:val="2"/>
        </w:numPr>
        <w:spacing w:after="60"/>
      </w:pPr>
      <w:r>
        <w:t xml:space="preserve">Tres directores financieros en tres años (Conophy hasta 2023, Jehle de junio de 2023 a diciembre de 2024, Mortimer desde septiembre de 2025) [1].</w:t>
      </w:r>
    </w:p>
    <w:p>
      <w:pPr>
        <w:pStyle w:val="ListParagraph"/>
        <w:numPr>
          <w:ilvl w:val="0"/>
          <w:numId w:val="2"/>
        </w:numPr>
        <w:spacing w:after="60"/>
      </w:pPr>
      <w:r>
        <w:t xml:space="preserve">Política de remuneración aprobada con el 77,71 % en 2025, por debajo del 80 % del Código [1].</w:t>
      </w:r>
    </w:p>
    <w:p>
      <w:pPr>
        <w:pStyle w:val="ListParagraph"/>
        <w:numPr>
          <w:ilvl w:val="0"/>
          <w:numId w:val="2"/>
        </w:numPr>
        <w:spacing w:after="60"/>
      </w:pPr>
      <w:r>
        <w:t xml:space="preserve">Sucesión del consejero delegado, en el cargo desde 1994, sin plan publicado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8-sep-2026 la empresa elevó su previsión de 2026: beneficio antes de impuestos ajustado «muy por encima» del consenso que ella misma recopila (340,9 M GBP; rango 332-354) y no inferior a 380 M; tipo impositivo ajustado del 28,5-30,5 %, costes centrales de 75-80 M, inversión de 70-75 M y efecto divisa de −3 M en el resultado operativo [5]. En marzo solo prometía «progreso» [5]. No hay plan a medio plazo con cifras. El avance del tercer trimestre se publica a finales de octubre (sin fecha anunciada; el de 2025 fue el 30-oct).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 analistas [15]; BPA ajustado de Yahoo 2,61 (9 analistas) [14]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Yahoo 2,84 [14]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52,50 – 70,00</w:t>
            </w:r>
          </w:p>
        </w:tc>
      </w:tr>
    </w:tbl>
    <w:p>
      <w:pPr>
        <w:spacing w:after="160" w:before="0"/>
      </w:pPr>
    </w:p>
    <w:p>
      <w:pPr>
        <w:pStyle w:val="Heading2"/>
      </w:pPr>
      <w:r>
        <w:t xml:space="preserve">Revisiones de estimaciones</w:t>
      </w:r>
    </w:p>
    <w:p>
      <w:pPr>
        <w:spacing w:after="100"/>
      </w:pPr>
      <w:r>
        <w:t xml:space="preserve">Las estimaciones suben con cada publicación: el BPA de 2026 de Yahoo pasó de 2,19 a 2,61 GBP en 90 días (+19 %) y el de 2027 de 2,37 a 2,84 (+20 %) [14]. En el año, Stifel (julio), Berenberg (julio) y Peel Hunt (agosto) subieron a comprar; en octubre Berenberg elevó su objetivo a 65 GBP y Bank of America a 69,51 [18]. El consenso de 2028 (2,917) apenas crece un 3 % sobre 2027: los analistas ya suponen que el ciclo de centros de datos se aplana. El BPA de MarketScreener mezcla bases (2025 publicado, 1,455; las estimaciones parecen ajustadas): usamos el de Yahoo como contraste del ajustado.</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casi por dos en un año (+93,9 % en precio frente al +15,1 % del FTSE 100) y entró en el FTSE 100 en junio de 2026 [13, 18]. La subida tiene tres saltos con causa: el avance de enero (resultados de 2025 por encima de lo esperado), los resultados de marzo y el primer trimestre (cartera de 7.100 M y subida de abril del 35 % en un mes) y el avance del 9-jul (beneficio del semestre que se dobla) [18]. Desde el máximo de 60,45 GBP del 8-sep, el día de los resultados, cae un 17 %: la acción se dio la vuelta ese mismo día pese a la subida de la guía [19] y bajó otro 10 % en octubre con la rebaja de Dell por Barclays y la venta de valores de hardware para IA [11, 20]. La volatilidad (35 %) es la de un valor de crecimiento, no la de un revendedor.</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 +0,7 % / +41,7 % / +84,6 %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 +83,5 %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resultados de 2025 por encima de lo esperado (22-ene) y compra de AgreeYa (8-ene)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con cartera de 7.100 M GBP (12-mar) y avance del primer trimestre por encima de lo esperado (24-abr; mayor subida de un mes en seis, +35,4 %)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9-jul: beneficio del semestre que se dobla; subidas a comprar de Stifel y Berenberg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 resultados: abrió +6 % con la guía de ≥ 380 M y cerró en negativo; el mercado leyó margen bruto a la baja, demanda adelantada por la escasez de componentes y comparables más difíciles en el segundo semestre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 a 2026-10-20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valores de hardware para IA tras la rebaja de Dell por Barclays (normalización de precios de la memoria) y el IPC de EE. UU.: Dell −21 % y Super Micro −19 % del 13 al 16-oct, Softcat −10,7 % el 14-oct [11, 20]. No hay noticia propia de Computacenter.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2026-02-04 y 2026-06-09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Caídas de −5,0 % y −5,4 % en un día sin noticia propia localizada (tres búsquedas en noticias de 12 meses)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Bank of America eleva su objetivo a 69,51 GBP; Berenberg a 65 GBP el 13-oct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Barclays rebaja a Dell, HPE y NetApp por la valoración y la normalización esperada de los precios de la memoria; arrastra a los valores de infraestructura de IA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y guía de beneficio ajustado antes de impuestos ≥ 380 M GBP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Hulme dona 125.000 acciones a su fundación The Hadley Trust (sin precio); conserva el 7,57 %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Peel Hunt sube a comprar (objetivo de 44 a 60 GBP); Stifel (13-jul) y Berenberg (20-jul) ya habían subido a comprar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GAI (hasta 92 M USD), revendedor para la Administración federal de EE. UU.; cerrada en junio [5,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AgreeYa Solutions (120 M USD) [5,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Computacenter demanda a Broadcom y Dell en el pleito de Tesco por las licencias de VMware (Tesco reclama a Computacenter como revendedor)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del tercer trimestre previsto para finales de octubre (sin fecha anunciada; el 30-oct en 2025)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 un mes (−9,8 %) y de −14 % desde máximos no tiene una causa propia: coincide con la venta de valores de hardware para IA tras la rebaja de Dell del 14-oct [11, 20]. No hay colocaciones anunciadas, ampliaciones ni decisiones con fecha que puedan mover el precio más de un 5 % en contra; las donaciones de Hulme a su fundación son periódicas y pequeñas (0,1 % del capital) [12]. El avance del tercer trimestre de finales de octubre no retrasa una decisión (regla 11). Veredicto global: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ajustado del año siguiente, Computacenter cotizó entre 10,9 y 17,5 veces en 2021-2025 (mediana 12,1) y hoy cotiza a unas 18 veces el de los próximos doce meses: máximo de diez años, justo cuando el beneficio está en su pico de ciclo y la mezcla es de menor calidad (hardware de hiperescala con un cliente del 30 %). El mercado paga hoy un múltiplo de crecimiento por un negocio que siempre se valoró como cíclico; la prima solo se sostiene si el beneficio de 2026 es un escalón y no un pico.</w:t>
      </w:r>
    </w:p>
    <w:p>
      <w:pPr>
        <w:pStyle w:val="Heading1"/>
      </w:pPr>
      <w:r>
        <w:t xml:space="preserve">18. Comparables cotizados</w:t>
      </w:r>
    </w:p>
    <w:p>
      <w:pPr>
        <w:pStyle w:val="Confianza"/>
        <w:spacing w:after="100"/>
      </w:pPr>
      <w:r>
        <w:t xml:space="preserve">Confianza: Media</w:t>
      </w:r>
    </w:p>
    <w:p>
      <w:pPr>
        <w:spacing w:after="100"/>
      </w:pPr>
      <w:r>
        <w:t xml:space="preserve">Revendedores de TI con servicios de Europa (Bechtle, Cancom, Atea, Softcat, Bytes) y EE. UU. (CDW, Insight, ePlus), más dos mayoristas con exposición a centros de datos de IA (TD SYNNEX, Arrow) como referencia de margen bajo. Softcat y Bytes publican ventas casi netas (software como agente), por lo que su EV/ventas y su margen no son comparables; para el objetivo a 12 meses se usa solo el PER. Fuera SHI y WWT (no cotizan) y Dell o Super Micro (fabricantes).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Computacenter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Softcat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Bytes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Bechtle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 Enterprises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ePlus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TD SYNNEX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Arrow Electronics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11,9x / 13,9x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14,9x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 / 0,7x / 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Computacenter cotiza a unas 18 veces el BPA ajustado de los próximos doce meses frente a una mediana de 15 veces de los comparables: prima de en torno al 20 %, a pesar de un margen EBITDA (3,0 %) de los más bajos del grupo. La prima se explica por el crecimiento: las ventas de los próximos doce meses crecen más del 25 % frente a un dígito en Bechtle, CDW o Insight; solo TD SYNNEX y Arrow crecen parecido y cotizan a 9-10 veces. El mercado está pagando la cartera de IA. Como múltiplo usaríamos el PER (ventas no comparables por el criterio de agente): a la mediana de comparables, el precio sería un 15-20 % menor.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GAI (Government Acquisitions Inc.)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Computacenter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92 M USD por ≈ 8 M USD de EBITDA ajustado; ≈ 390 M USD de facturación bruta (0,24 veces)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AgreeYa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Computacenter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 M USD por ≈ 120 M USD de ventas y 14 M USD de EBITDA ajustado de servicios profesionales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Technology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H.I.G. Capital (con Mainline)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Revendedor y servicios de Canadá y EE. UU.: ≈ 1.300 M CAD, ≈ 7,4 veces el EBITDA ajustado; prima del 56 % [16]. Valor convertido a ≈ 1,79 CAD por GBP (estimación propia).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8,6x (8,0x – 10,1x)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31,27 – 39,52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transacciones del sector se pagan a 7-12 veces el EBITDA: la opa de H.I.G. sobre Converge (7,4 veces, con prima del 56 %) y las dos compras de Computacenter en 2026 (8,6 y 11,5 veces) [5, 16]. Computacenter cotiza a unas 14 veces el EBITDA de los últimos doce meses, por encima de cualquier precio de control reciente del sector. Con los fundadores en torno al 37 % y una capitalización de 5.300 M GBP, una opa es poco probable; el valor de las transacciones es una referencia de lo que paga un comprador por un revendedor «normal», sin el ciclo de 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(+50,6 %, 13.850 M): 6.845 M en el 1S26 y ≈ 7.000 M en el segundo semestre, con 9.300 M de cartera de pedidos de producto a junio y la guía de beneficio subida en septiembre; el consenso es de 13.827 M [5, 15]. 2027e +9 % (consenso +11,6 %): parte de la cartera se entrega en 2027, pero el cliente de hiperescala compra por proyectos y la empresa avisa de que no sabe el ritmo [5]. Después, 4 % en 2028e (consenso +4,3 %) y 3 % en 2029e-2031e, por debajo del 7,2 % anual del beneficio bruto en 2021-2025, y 2,5 % al final [1].</w:t>
      </w:r>
    </w:p>
    <w:p>
      <w:pPr>
        <w:keepNext/>
        <w:spacing w:after="100"/>
      </w:pPr>
      <w:r>
        <w:rPr>
          <w:b/>
          <w:bCs/>
        </w:rPr>
        <w:t xml:space="preserve">Márgenes.</w:t>
      </w:r>
    </w:p>
    <w:p>
      <w:pPr>
        <w:spacing w:after="100"/>
      </w:pPr>
      <w:r>
        <w:t xml:space="preserve">Margen EBITDA ajustado del 3,39 % en 2026e, calibrado con la guía de beneficio antes de impuestos ≥ 380 M [5] (el consenso de EBITDA, 482,9 M, es un 3,49 % [15]). Baja a 3,30 % desde 2027e porque la mezcla de hiperescala rebaja el margen bruto (9,6 % en el 1S26 frente al 14,9 % de 2024) y los servicios gestionados, el negocio de más margen, caen un 4,5 % orgánico [5]. No suponemos que el margen vuelva al 4,6-6,9 % de 2021-2023: aquel era otro negocio, con más servicios y menos hiperescala [1].</w:t>
      </w:r>
    </w:p>
    <w:p>
      <w:pPr>
        <w:keepNext/>
        <w:spacing w:after="100"/>
      </w:pPr>
      <w:r>
        <w:rPr>
          <w:b/>
          <w:bCs/>
        </w:rPr>
        <w:t xml:space="preserve">Inversión y circulante.</w:t>
      </w:r>
    </w:p>
    <w:p>
      <w:pPr>
        <w:spacing w:after="100"/>
      </w:pPr>
      <w:r>
        <w:t xml:space="preserve">Capex del 0,87 % de las ventas: 70-75 M de inversión en sistemas e inmovilizado guiados para 2026 [5] más ≈ 45 M de altas de derechos de uso (NIIF 16: los arrendamientos van al puente y su reposición, aquí). Amortización del 0,69 % (≈ 92 M en los doce meses a junio). Circulante comercial del −1,5 % de las ventas: a fin de año es negativo (−5,6 % en diciembre de 2025, cobros anticipados) y en junio positivo (≈ +2 %); usamos la media para no inflar la caja [1, 5].</w:t>
      </w:r>
    </w:p>
    <w:p>
      <w:pPr>
        <w:keepNext/>
        <w:spacing w:after="100"/>
      </w:pPr>
      <w:r>
        <w:rPr>
          <w:b/>
          <w:bCs/>
        </w:rPr>
        <w:t xml:space="preserve">Coste del capital.</w:t>
      </w:r>
    </w:p>
    <w:p>
      <w:pPr>
        <w:spacing w:after="100"/>
      </w:pPr>
      <w:r>
        <w:t xml:space="preserve">Gilt a 10 años del 5,31 % (Banco de Inglaterra, 15-oct-2026 [17]); beta de 1,0 (mensual a 5 años frente al FTSE [13]); prima de mercado del 5,0 % y 0,5 puntos adicionales por la concentración (un cliente es el 30 % de las ventas [1]). Deuda financiera casi nula: peso del 4 % con los arrendamientos al 6,5 %. WACC del 10,57 %. Con la prima implícita de Damodaran (4,2 %) el WACC baja al 9,8 % [23].</w:t>
      </w:r>
    </w:p>
    <w:p>
      <w:pPr>
        <w:keepNext/>
        <w:spacing w:after="100"/>
      </w:pPr>
      <w:r>
        <w:rPr>
          <w:b/>
          <w:bCs/>
        </w:rPr>
        <w:t xml:space="preserve">Valor terminal.</w:t>
      </w:r>
    </w:p>
    <w:p>
      <w:pPr>
        <w:spacing w:after="100"/>
      </w:pPr>
      <w:r>
        <w:t xml:space="preserve">Crecimiento a perpetuidad del 2,5 %, igual que la inflación esperada del Reino Unido más poco crecimiento real: el gasto en hardware y servicios de TI crece con el PIB nominal fuera de los ciclos de renovación. El múltiplo de salida implícito es de 6,5 veces el EBITDA, muy por debajo de las 12,7 veces que paga hoy el mercado por los últimos 12 meses: es la consecuencia de un WACC del 10,6 % con un gilt al 5,3 %, y la razón principal de que el DCF quede lejos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 (reinvierte el 46 %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 frente al 9,7 %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(hoy: 1,1 %)</w:t>
            </w:r>
          </w:p>
        </w:tc>
      </w:tr>
    </w:tbl>
    <w:p>
      <w:pPr>
        <w:spacing w:after="160" w:before="0"/>
      </w:pPr>
    </w:p>
    <w:p>
      <w:pPr>
        <w:spacing w:after="100"/>
      </w:pPr>
      <w:r>
        <w:t xml:space="preserve">La proyección apenas necesita inversión neta de la amortización (reinversión acumulada de 216 M, el 9 % del NOPAT, con un capex bruto medio del 0,9 % de las ventas). En un negocio de activos ligeros, el crecimiento medio del 9,7 % tiene que salir de subir precios y de ganar volumen sin capital nuevo, y la prueba es el poder de precios y la cuota (1,2 % del mercado en 2033e, frente al 1,1 %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hiperescala y «neoclouds» en Norteamérica y Reino Unido (+46 puntos; cartera de 6.936 M en Norteamérica a junio) y perímetro (AgreeYa y GAI, ≈ 4 puntos) [5]. Inflación de componentes no separada: va en volumen.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la cartera de pedidos y la parte de servicios profesionales de despliegue (6,5 puntos), precio de componentes (1 punto) y AgreeYa y GAI todo el año (1,5 puntos), frente al +11,6 % del consenso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mercado (3 puntos) y precio (1 punto), sin repetir el salto de hiperescala; consenso +4,3 %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2 % y precio del 1 %: el ritmo del gasto en TI de grandes empresas fuera de los ciclos.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2 % y precio del 1 %.</w:t>
            </w:r>
          </w:p>
        </w:tc>
      </w:tr>
    </w:tbl>
    <w:p>
      <w:pPr>
        <w:spacing w:after="160" w:before="0"/>
      </w:pPr>
    </w:p>
    <w:p>
      <w:pPr>
        <w:spacing w:after="100"/>
      </w:pPr>
      <w:r>
        <w:t xml:space="preserve">Fuera de 2026, que ya está casi cerrado (seis meses publicados y 9.300 M de cartera a junio [5]), el crecimiento proyectado es modesto: 9 % en 2027e, 4 % en 2028e y 2,5-3 % después, por debajo del consenso (+11,6 % y +4,3 % [15]), del beneficio bruto histórico (+7,2 % anual en 2021-2025 [1]) y del gasto en sistemas de centros de datos (+55,8 % en 2026 según Gartner [8]). La cuota implícita al final de la proyección (≈ 1,2 % del gasto mundial en hardware) apenas sube sobre la actual (1,13 % [B]). El margen del 3,3 % está por debajo del de 2021-2025 y no necesita mejoras. Lo que no se sostiene no es el crecimiento sino el nivel: si el cliente de hiperescala deja de comprar, 2027 baja en vez de subir; eso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(base: 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(WACC: 10,6 %)</w:t>
            </w:r>
          </w:p>
        </w:tc>
      </w:tr>
    </w:tbl>
    <w:p>
      <w:pPr>
        <w:spacing w:after="160" w:before="0"/>
      </w:pPr>
    </w:p>
    <w:p>
      <w:pPr>
        <w:spacing w:after="100"/>
      </w:pPr>
      <w:r>
        <w:t xml:space="preserve">El DCF da 30,51 GBP por acción, un 39 % bajo el precio, con un WACC del 10,57 % y un valor terminal que pesa el 57 %. El DCF inverso dice que el precio descuenta un crecimiento del 12 % anual durante la proyección con nuestro margen, frente al 3,9 % medio de nuestro caso base después de 2026: el mercado paga a Computacenter como si el ciclo de centros de datos de IA durara años. Con la prima del mercado (4,2 %, WACC del 9,8 %) el DCF sube a 33,72 GBP, todavía un 33 % bajo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de hiperescala (30 % de las ventas en 2025) frena su inversión en centros de datos o compra directamente al fabricante, como ya hizo la demanda de 2022 tras el exceso de pedidos de la pandemia (la acción cayó un 34 %): ventas de 2027 un 6 % menores, margen 0,3 puntos más bajo ese año y el resto del plan un punto menos de crecimiento [1, 13].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9.300 M se entrega en 2026-2027, el crecimiento vuelve después al 3-4 % y el margen EBITDA ajustado se queda en el 3,3 % con la mezcla de hiperescala; los servicios gestionados siguen planos.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de centros de datos de IA se alarga, los «neoclouds» europeos y la Administración federal de EE. UU. (GAI) suman clientes y los servicios profesionales de despliegue suben el margen: 4 puntos más de crecimiento en 2027 y 1,5 puntos más después, con 0,1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GBP) · precio actual 5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28,52 GBP (-43,2 %).</w:t>
      </w:r>
    </w:p>
    <w:p>
      <w:pPr>
        <w:spacing w:after="100"/>
      </w:pPr>
      <w:r>
        <w:t xml:space="preserve">La asimetría es desfavorable: el alcista vale 35,76 GBP (−29 % frente al precio) y el bajista 20,38 (−59 %). Ni el caso alcista justifica el precio con nuestro WACC: el mercado descuenta un ciclo de IA más largo y un múltiplo de crecimiento que el DCF no da a un negocio con un 3,3 % de margen. El valor terminal pesa el 57 %, menos que en la mayoría de los informes porque la caja se genera pronto.</w:t>
      </w:r>
    </w:p>
    <w:p>
      <w:pPr>
        <w:pStyle w:val="Heading1"/>
      </w:pPr>
      <w:r>
        <w:t xml:space="preserve">22. Suma de partes</w:t>
      </w:r>
    </w:p>
    <w:p>
      <w:pPr>
        <w:pStyle w:val="Confianza"/>
        <w:spacing w:after="100"/>
      </w:pPr>
      <w:r>
        <w:t xml:space="preserve">Confianza: Media</w:t>
      </w:r>
    </w:p>
    <w:p>
      <w:pPr>
        <w:spacing w:after="100"/>
      </w:pPr>
      <w:r>
        <w:t xml:space="preserve">No aplica: Computacenter es un solo negocio (reventa de tecnología con servicios profesionales y gestionados) repartido por países que comparten clientes, compras a fabricantes, centros de servicio y sistemas; los segmentos son geográficos y ninguno tendría un comprador natural por separado. Francia (en pérdidas) es pequeña: 779 M GBP de ventas y −7,8 M de resultado en Europa Occidental en 2025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GBP) · precio actual 5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31,36 GBP (-37,6 % sobre 50,25).</w:t>
      </w:r>
    </w:p>
    <w:p>
      <w:pPr>
        <w:spacing w:after="100"/>
      </w:pPr>
      <w:r>
        <w:t xml:space="preserve">Pesos: DCF 45 %, escenarios 40 % y comparables 15 %. El DCF es el método más fiable para un revendedor con poco capital y circulante a favor, aunque depende del WACC (gilt al 5,3 %). Los escenarios recogen la asimetría (el bajista de un frenazo de hiperescala ya ocurrió en 2022). Los comparables pesan poco porque mezclan revendedores europeos con márgenes de software (Softcat, Bytes) y distribuidores de EE. UU. de margen menor (TD SYNNEX, Arrow); las transacciones (AgreeYa a 8,6 veces y GAI a 11,5 veces el EBITDA) son pequeñas y se dan solo como referencia. Todos los métodos de valor intrínseco quedan por debajo del precio; los de mercado (múltiplos de comparables) lo superan porque el sector cotiza caro por la 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(18.5x) ÷ 1.1 (tope: la mediana de 5 años, 12.1x,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spacing w:after="100"/>
      </w:pPr>
      <w:r>
        <w:rPr>
          <w:b/>
          <w:bCs/>
        </w:rPr>
        <w:t xml:space="preserve">Objetivo a 12 meses (ponderado):</w:t>
      </w:r>
      <w:r>
        <w:t xml:space="preserve"> 41,69 GBP (4.169,00 GBp) · rentabilidad -15,5 % (base -3,5 %) · señal Vender.</w:t>
      </w:r>
    </w:p>
    <w:p>
      <w:pPr>
        <w:spacing w:after="100"/>
      </w:pPr>
      <w:r>
        <w:t xml:space="preserve">Para comparar, con la regla v2 (historia al cierre, mismo precio): 11,3x / 16,0x / 16,0x, -18,2 % Vender; con el tope anterior del base (×1,3, 14-oct mediodía): -22,8 %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(2,61 GBP) coincide con el consenso de Yahoo (2,61) y está un 2,6 % sobre el de MarketScreener (2,545); el de 2028e (2,84) queda un 2,6 % por debajo (2,917) porque suponemos un 2027 algo más lento (+9 % frente a +11,6 %) [14, 15]. La diferencia con el objetivo medio de los analistas (62,37 GBP) no está en el beneficio sino en el múltiplo: los analistas aplican ≈ 22 veces al BPA de 2027 y la regla común parte del PER de hoy (18,5 veces el de los próximos doce meses) y lo acerca a la historia (12,1 de mediana), con un tope de ÷1,1 que lo deja en 16,8.</w:t>
      </w:r>
    </w:p>
    <w:p>
      <w:pPr>
        <w:keepNext/>
        <w:spacing w:after="100"/>
      </w:pPr>
      <w:r>
        <w:rPr>
          <w:b/>
          <w:bCs/>
        </w:rPr>
        <w:t xml:space="preserve">Del valor intrínseco al objetivo a 12 meses.</w:t>
      </w:r>
    </w:p>
    <w:p>
      <w:pPr>
        <w:spacing w:after="100"/>
      </w:pPr>
      <w:r>
        <w:t xml:space="preserve">El objetivo a 12 meses (ponderado) queda un 17 % bajo el precio y el base (47,71 GBP, −3,5 % con dividendo) supone que el BPA ajustado crece un 17 % anual de 2025 a 2028e, casi todo ya ganado en 2026 (+49 %): el crecimiento que la regla exige ya está en el precio. Por eso la rentabilidad depende del múltiplo: 18,5 veces el BPA de los próximos 12 meses es el máximo de diez años de la historia adelantada (10,9-17,5 veces) y se paga sobre un beneficio de pico de ciclo con un cliente del 30 %. Un crecimiento de 2025 a 2028e por encima del 15 % anual pasa el control porque 2026 está casi cerrado con seis meses publicados y la guía subida.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del dividendo a cuenta (27,1 peniques, +14,8 %)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en precio (ya descontado)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tercer trimestre (el de 2025 fue el 30-oct)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la cartera de pedidos y confirmación de la guía de ≥ 380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año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2026 frente a la guía y primera lectura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perspectivas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mayor cliente, cartera de pedidos, margen de servicios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las nubes de hiperescala de EE. UU. y lectura de Dell, Super Micro y Nvidia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se mueve con el sentimiento del hardware de IA (−10 % en octubre tras la rebaja de Dell por Barclays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GAI y contratos federales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 clientes en Norteamérica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Devolución de caja (recompra o especial) cuando se normalice el circulante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 de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o pausa del ciclo de centros de datos de IA en el mayor cliente (2.731 M de ventas, 30 %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a −50 % (BPA −20 % y PER a 11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9.300 M a junio; pedidos comprometidos; el resultado del cliente es de margen bajo, el beneficio bruto cae menos que las ventas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de Norteamérica que baja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18,5 veces el BPA de los próximos 12 meses frente a una mediana adelantada de cinco años de 12,1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−35 % si el PER vuelve a 12-15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sube rápido: con el de 2027e el PER baja a 18,3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estimaciones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Reventa de margen bajo: el margen bruto pasa del 14,9 % (2024) al 9,6 % (1S26)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bruto sube un 30 % y los costes de estructura crecen menos (+19,6 %)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por debajo del 2 %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contra los servicios gestionados y el soporte (centros de servicio, soporte de puesto de trabajo)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gestionados son ≈ 6 % de las ventas y bajan ya (−4,5 % orgánico); los profesionales crecen un 23,9 %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con precio menor o pérdida de contratos grandes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y financiación fuera de balance: existencias de 1.260 M y «invoice financing» de 140,5 M en junio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deuda financiera; pedidos comprometidos detrás de las existencias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cierre de año por debajo de 300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componentes (memoria, almacenamiento) y retrasos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repercute en precio; la empresa dice que algunos clientes repriorizan gasto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volumen de puestos de trabajo en Europa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 y Europa Occidental en pérdidas; Alemania pública floja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Pesa un 8,5 % de las ventas; deterioro ya reconocido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deterioros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consejero delegado desde 1994 y tres directores financieros en tres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Fundadores con ≈ 37 % del capital y consejo mayoritariamente independiente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relevo sin candidato interno</w:t>
            </w:r>
          </w:p>
        </w:tc>
      </w:tr>
    </w:tbl>
    <w:p>
      <w:pPr>
        <w:spacing w:after="160" w:before="0"/>
      </w:pPr>
    </w:p>
    <w:p>
      <w:pPr>
        <w:pStyle w:val="Heading2"/>
      </w:pPr>
      <w:r>
        <w:t xml:space="preserve">Pre-mortem</w:t>
      </w:r>
    </w:p>
    <w:p>
      <w:pPr>
        <w:spacing w:after="100"/>
      </w:pPr>
      <w:r>
        <w:t xml:space="preserve">Octubre de 2027: la acción ha perdido un 45 %. El cliente de hiperescala que compró 2.731 M en 2025 terminó su fase de construcción de centros de datos y pasó a comprar directamente a los fabricantes de servidores a medida; la cartera de pedidos de Norteamérica bajó dos trimestres seguidos y la guía de 2027 apuntó a un beneficio plano. El mercado dejó de pagar 18 veces por un revendedor con un 9 % de margen bruto y volvió a las 11-12 veces de 2022 y 2024. Mientras, los servicios gestionados siguieron cayendo con la automatización del soporte y Francia volvió a perder dinero. Nada de eso era imprevisible: la concentración, el margen y el múltiplo de pico estaban a la vista.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−15 a +10 % a 1-3 años</w:t>
      </w:r>
    </w:p>
    <w:p>
      <w:pPr>
        <w:spacing w:after="100"/>
      </w:pPr>
      <w:r>
        <w:t xml:space="preserve">La IA es hoy el motor de Computacenter y también su mayor riesgo. A favor: el gasto mundial en sistemas de centros de datos sube un 55,8 % en 2026 (787.990 M USD según Gartner [8]) y Computacenter monta y entrega ese hardware para hiperescala y «neoclouds»: la cartera de pedidos se cuadruplicó a 9.300 M y Norteamérica ya da más del 60 % del resultado operativo [5]; la renovación de puestos de trabajo y redes de las empresas añade volumen. En contra, por dos vías. Primera, el ciclo: la demanda de IA se concentra en muy pocos compradores (uno es el 30 % de las ventas), puede pararse o pasar a compra directa (las ventas directas de los fabricantes a medida crecían un 152 % en el 3T25 según IDC [25]), y la acción ya cayó un 10 % en octubre con la rebaja de Dell por dudas sobre los centros de datos [1, 11]. Segunda, la automatización: los servicios gestionados (soporte de puesto de trabajo, centros de servicio, ≈ 825 M al año) son el negocio que los agentes de IA pueden abaratar más; ya caen un 4,5 % orgánico y el margen de servicios bajó 107 puntos básicos en el 1S26 [5]. Los servicios profesionales de despliegue (montaje de racks, cableado) son trabajo físico difícil de automatizar y crecen un 23,9 %. Neto: la IA sube el beneficio de 2026-2027, pero lo hace más cíclico y más concentrado; no merece un múltiplo mayor.</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seguridad de la información de los clientes (gestiona puestos de trabajo, redes y centros de datos de grandes empresas y Administraciones), el reciclaje y la reutilización de equipos («circular services»: más de un millón de dispositivos recuperados en 2025 [1]), las emisiones de la cadena de suministro de hardware y la gestión de una plantilla de ≈ 21.000 personas con centros de servicio en India, Sudáfrica, Polonia, Hungría, España, México y Malasia [1].</w:t>
      </w:r>
    </w:p>
    <w:p>
      <w:pPr>
        <w:pStyle w:val="Heading2"/>
      </w:pPr>
      <w:r>
        <w:t xml:space="preserve">Controversias</w:t>
      </w:r>
    </w:p>
    <w:p>
      <w:pPr>
        <w:spacing w:after="100"/>
      </w:pPr>
      <w:r>
        <w:t xml:space="preserve">Sin controversias graves localizadas en 12 meses de noticias [18]. El voto de la política de remuneración (77,71 %) quedó por debajo del umbral del 80 % del Código de Gobierno británico y obligó al consejo a escribir a los accionistas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 cliente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9.300 M es del mayor cliente, con qué plazos de entrega, y qué pasa con el margen si compra directamente al fabricante?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30 % de las ventas y decide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hiperescala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deja la venta a hiperescala frente a la de empresas, una vez cargados los costes de despliegue?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ese dato no se sabe si el beneficio crece por volumen o por mezcla.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gestionados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contratos están por debajo de lo previsto y cómo afecta la IA al precio de las renovaciones del soporte de puesto de trabajo?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más expuesto a la automatización y el de mayor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«invoice financing» (140,5 M) y de la venta de cuentas a cobrar (43,4 M) se mantiene a fin de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caja neta y el ROIC.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 de relevo para el consejero delegado, en el cargo desde 1994?</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continuidad del equipo es parte de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Devolución de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recompra o dividendo especial en 2027 si el circulante se normaliza?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Añadiría BPA no incluido en nuestros casos.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(comentario «ii view»)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récord y guía al alza, pero la acción «no es obviamente barata» (PER por encima de su media de 3 y 10 años), con margen de Technology Sourcing a la baja y demanda quizá adelantada por la escasez de componentes [19].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Kalkine Media (notas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Tratan a Computacenter como «ganador silencioso» del gasto en IA tras entrar en el FTSE 100; la del 18-oct se pregunta por qué cae tras una mejora de recomendación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Titulares de prensa financiera (This is Money, Proactive, Sharecast, IT Channel Oxygen)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y «boom de la IA» dominan; Proactive y Pluang destacan que la acción cayó pese a las subidas de previsiones; IT Channel Oxygen recoge la pugna por cuota con Softcat en el Reino Unido [18].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centros de datos para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cartera de 9.300 M GBP y 62 % del beneficio de los segmentos en Norteamérica [5]. Lo que los comentarios no recogen es que el mayor cliente es el 30 % de las ventas [1].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unas 18 veces el BPA de los próximos doce meses frente a una mediana histórica de 12,1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demanda adelantada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baja (9,6 % en el 1S26) pero el beneficio bruto sube un 30 % [5]; la demanda adelantada por la escasez de componentes es una hipótesis razonable que la empresa no cuantifica.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Contagio del hardware de IA (Dell, Super Micro)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 octubre coincide con la de Dell tras la rebaja de Barclays; el negocio de Computacenter no ha cambiado desde el 8-sep [11].</w:t>
            </w:r>
          </w:p>
        </w:tc>
      </w:tr>
    </w:tbl>
    <w:p>
      <w:pPr>
        <w:spacing w:after="160" w:before="0"/>
      </w:pPr>
    </w:p>
    <w:p>
      <w:pPr>
        <w:spacing w:after="100"/>
      </w:pPr>
      <w:r>
        <w:t xml:space="preserve">El sentimiento es positivo sobre el negocio y dividido sobre el precio, y empeora desde los resultados: la acción no ha subido con ninguna buena noticia desde el 8-sep. No hay euforia en foros de particulares (casi no hay debate abierto), sino en la prensa de mercados. El riesgo que la conversación no recoge es la concentración en un cliente de hiperescala; el que sí recoge, la valoración, coincide con nuestro análisis. No contradice al consenso de analistas (8 de 11 en comprar), pero sugiere que el mercado ya duda de que 2026 se repita.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25 (11 primarias); citas distintas en el texto: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1,2 % en 2033e frente al 1,1 %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-1,5 % frente a -2,7 % real: genera una variación de circulante de 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-36,0 % (-30,8 % con la prima del mercado) y el precio pide 8,1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1S25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Semestral de 2025 y de 2024 en la web de inversores (bloqueada por antibot, HTTP 403); 2) NSM de la FCA (sin buscador accesible; solo los RNS anuales de 2024 y 2025) y Investegate/LSE (403); 3) prensa: cifras del 1S24 solo en resúmenes de buscador, no válidos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Gartner solo publica 2025-2026 en sus notas de prensa; 2) IDC y Canalys sin cifras gratuitas del perímetro VAR; 3) cuota de los cinco primeros: no hay fuente que sume CDW, WWT, SHI, Insight y Computacenter sobre el mismo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del 19-may-2026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(403); 2) NSM de la FCA sin buscador accesible; 3) prensa: sin resultado de votaciones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(LSE Chat, Stocktwits,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símbolo no encontrado (404); 2) LSE Chat y Reddit: 403; 3) Motley Fool UK: redirige a otro dominio; Investors Chronicle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(ESEF): cuentas consolidadas, notas de segmentos (4), intangibles y deterioro (16-17), flujos, caja neta, factoring y principal cliente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Computacenter plc (repositorio ESEF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https://filings.xbrl.org/549300XSXUZ1I19DB105/2025-12-31/ESEF/GB/0/549300XSXUZ1I19DB105-2025-12-31/reports/549300XSXUZ1I19DB105-2025-12-31-T01.xhtml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2024 (ESEF): cuentas, segmentos 2023-2024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Computacenter plc (repositorio ESEF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https://filings.xbrl.org/549300XSXUZ1I19DB105/2024-12-31/ESEF/GB/0/549300XSXUZ1I19DB105-2024-12-31/reports/549300XSXUZ1I19DB105-2024-12-31-T01.xhtml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2023 (ESEF): balance reexpresado 2022, flujos y fondo de comercio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plc (repositorio ESEF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https://filings.xbrl.org/549300XSXUZ1I19DB105/2023-12-31/ESEF/GB/0/549300XSXUZ1I19DB105-2023-12-31/reports/549300XSXUZ1I19DB105-2023-12-31-T01.xhtml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2022 (ESEF): conciliación de medidas ajustadas 2021-2022, historial 2018-2022 y cambio de criterio de ingresos (agente/principal)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plc (repositorio ESEF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https://filings.xbrl.org/549300XSXUZ1I19DB105/2022-12-31/ESEF/GB/0/549300XSXUZ1I19DB105-2022-12-31/reports/549300XSXUZ1I19DB105-2022-12-31-T01.xhtml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Half Year Results (RNS 7571T): cuenta, balance y flujos del 1S26, segmentos, cartera de pedidos, guía de 2026 (BPA ajustado antes de impuestos ≥ 380 M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plc (RNS; copia en directorstalkinterviews.com)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https://www.directorstalkinterviews.com/wp-content/uploads/2026/09/Computacenter-2026-Half-Year-Results.pdf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Full Year Results (RNS 3274W): perspectivas para 2026 y guía técnica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https://data.fca.org.uk/artefacts/NSM/RNS/0f9a28be-df92-4f33-b285-7145b98e7652.html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Full Year Results (RNS 0178B): perspectivas para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https://data.fca.org.uk/artefacts/NSM/RNS/5577626.html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previsión del gasto mundial en TI, abril de 2026 (tabla por segmentos 2025-2026: centros de datos, dispositivos, servicios de 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(vía Channelwise)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https://channelwise.co.za/global-it-spend-set-to-surge-135-to-631trn/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Estimates Worldwide IT Spending at $6.31T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Journal (Gartner)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https://thejournal.com/articles/2026/05/20/gartner-worldwide-it-spending-estimated-at-6-31t-for-2026.aspx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ventas, márgenes y capitalización de CDW, Insight, TD SYNNEX, Arrow, Bechtle, Cancom, Atea, Softcat, Bytes y ePlus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https://finance.yahoo.com/quote/CCC.L/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 stock plunges 11%, leading data center sell-off on AI concerns (rebaja de Barclays,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https://cryptobriefing.com/dell-stock-plunges-data-center-selloff/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(RNS 0061O): Philip Hulme transfiere 125.000 acciones a The Hadley Trust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https://data.fca.org.uk/artefacts/NSM/RNS/560fa440-425b-452f-a517-a8cb010d9d88.html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CCC.L, ^FTSE y EXV3.DE (herramienta bolsa.mjs) hasta el 16-oct-2026; cierres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https://finance.yahoo.com/quote/CCC.L/history/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CCC.L y comparables (precio de la sesión, cierre anterior, consenso de BPA, recomendaciones,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https://finance.yahoo.com/quote/CCC.L/analysis/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plc: estimaciones anuales 2026-2028 y objetivo medio de 11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https://uk.marketscreener.com/quote/stock/COMPUTACENTER-PLC-38481129/finances/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Technology Solutions to be Acquired by H.I.G. Capital (valor empresa ≈ 1.300 M CAD, ≈ 7,4 veces el EBITDA ajustado, prima del 56 %)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Technology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https://convergetp.com/2025/02/07/converge-technology-solutions-to-be-acquired-by-h-i-g-capital/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nominal a 10 años de la deuda pública británica (serie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12 meses de Computacenter (herramienta noticias.mjs: Google News; recomendaciones, compras,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 medios (Sharecast, Yahoo Finance UK, Investing.com, CRN, 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Computacenter results rally is short-lived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https://www.ii.co.uk/analysis-commentary/ii-view-computacenter-results-rally-short-lived-ii540213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Gilt y precios intradía de CCC.L, Softcat, Dell, Super Micro y Nvidia del 7 al 20-oct-2026 (gráfico diario y de 15 minutos)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(chart API)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https://finance.yahoo.com/quote/CCC.L/chart/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Kalkine Media sobre Computacenter (7, 8, 12, 13, 15, 18 y 19-oct-2026: «Rides Hyperscaler Demand», «Why Shares Slipped After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https://kalkinemedia.com/uk/stocks/growth/is-computacenter-lseccc-the-stock-to-watch-after-its-ai-driven-profit-upgrade-today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GBP/USD, GBP/EUR y GBP/NOK del 20-oct-2026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https://finance.yahoo.com/quote/GBPEUR=X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Índice de cuentas ESEF de Computacenter plc (LEI 549300XSXUZ1I19DB105), ejercicios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https://filings.xbrl.org/entity/549300XSXUZ1I19DB105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Equipos de red para centros de datos: ficha sectorial corta (ventas directas de fabricantes a medida a la hiperescala, IDC)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(sectores/equipos-red-centros-datos-2026-10-16.md)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sectores/equipos-red-centros-datos-2026-10-16.md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91,6 %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GBP, ejercicio a 31 de diciembre. La acción cotiza en peniques (GBp) en Londres: precios por acción en GBP (1 GBP = 100 peniques). Ventas NIIF con el criterio de agente para el software y los servicios de terceros revendidos desde 2022 (2021 reexpresado; 2020 y anteriores no comparables, fuera de la cuenta): la facturación bruta, la medida de gestión, es un 40 % mayor (12.988 M en 2025) [1, 4]. LTM = doce meses a junio de 2026 (2S25 + 1S26) [5]. Precio: cierre del 19-oct-2026 (50,25 GBP); la sesión del 20-oct estaba abierta al hacer el análisis (49,10 GBP a las 07:30 UTC [14] y 48,96 GBP hacia las 08:15 UTC, 09:15 en Londres) y la decisión se comprueba con el precio del día en las pruebas de robustez. El BPA de la regla a 12 meses y su historia están en la base AJUSTADA DILUIDA de la empresa (sin amortización de intangibles comprados ni excepcionales), la misma que el consenso; el PER actual usa el BPA de los próximos 12 meses (2,4 meses de 2026e y 9,6 de 2027e). Sin semestrales de 2024 y 2025 completos (web de inversores bloqueada): el 1S25 se toma del comparativo del 1S26. Calificaciones ESG de proveedores sin comprobar. Una acción ≈ 58 EUR (1,1883 EUR por GBP, 20-oct [22]).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Computacenter plc (CCC)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50,25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(26,02 – 60,45)</c:v>
                </c:pt>
                <c:pt idx="1">
                  <c:v>Precio objetivo de los analistas (52,50 – 70,00)</c:v>
                </c:pt>
                <c:pt idx="2">
                  <c:v>Comparables: PER NTM (34,94 – 45,27)</c:v>
                </c:pt>
                <c:pt idx="3">
                  <c:v>Transacciones precedentes (EV/EBITDA) (31,27 – 39,52)</c:v>
                </c:pt>
                <c:pt idx="4">
                  <c:v>DCF (WACC y g ± 0,5) (27,76 – 34,02)</c:v>
                </c:pt>
                <c:pt idx="5">
                  <c:v>Escenarios (bajista – alcista) (20,38 – 35,76)</c:v>
                </c:pt>
                <c:pt idx="6">
                  <c:v>DCF con la prima implícita del mercado (4,2 %)</c:v>
                </c:pt>
                <c:pt idx="7">
                  <c:v>Precio actual (50,25)</c:v>
                </c:pt>
              </c:strCache>
            </c:strRef>
          </c:cat>
          <c:val>
            <c:numRef>
              <c:f>Hoja1!$B$2:$B$9</c:f>
              <c:numCache>
                <c:formatCode>#,##0.0</c:formatCode>
                <c:ptCount val="8"/>
                <c:pt idx="0">
                  <c:v>26.02</c:v>
                </c:pt>
                <c:pt idx="1">
                  <c:v>52.5</c:v>
                </c:pt>
                <c:pt idx="2">
                  <c:v>34.94</c:v>
                </c:pt>
                <c:pt idx="3">
                  <c:v>31.27</c:v>
                </c:pt>
                <c:pt idx="4">
                  <c:v>27.76</c:v>
                </c:pt>
                <c:pt idx="5">
                  <c:v>20.38</c:v>
                </c:pt>
                <c:pt idx="6">
                  <c:v>31.56</c:v>
                </c:pt>
                <c:pt idx="7">
                  <c:v>50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(26,02 – 60,45)</c:v>
                </c:pt>
                <c:pt idx="1">
                  <c:v>Precio objetivo de los analistas (52,50 – 70,00)</c:v>
                </c:pt>
                <c:pt idx="2">
                  <c:v>Comparables: PER NTM (34,94 – 45,27)</c:v>
                </c:pt>
                <c:pt idx="3">
                  <c:v>Transacciones precedentes (EV/EBITDA) (31,27 – 39,52)</c:v>
                </c:pt>
                <c:pt idx="4">
                  <c:v>DCF (WACC y g ± 0,5) (27,76 – 34,02)</c:v>
                </c:pt>
                <c:pt idx="5">
                  <c:v>Escenarios (bajista – alcista) (20,38 – 35,76)</c:v>
                </c:pt>
                <c:pt idx="6">
                  <c:v>DCF con la prima implícita del mercado (4,2 %)</c:v>
                </c:pt>
                <c:pt idx="7">
                  <c:v>Precio actual (50,25)</c:v>
                </c:pt>
              </c:strCache>
            </c:strRef>
          </c:cat>
          <c:val>
            <c:numRef>
              <c:f>Hoja1!$C$2:$C$9</c:f>
              <c:numCache>
                <c:formatCode>#,##0.0</c:formatCode>
                <c:ptCount val="8"/>
                <c:pt idx="0">
                  <c:v>34.43000000000001</c:v>
                </c:pt>
                <c:pt idx="1">
                  <c:v>17.5</c:v>
                </c:pt>
                <c:pt idx="2">
                  <c:v>10.330000000000005</c:v>
                </c:pt>
                <c:pt idx="3">
                  <c:v>8.250000000000004</c:v>
                </c:pt>
                <c:pt idx="4">
                  <c:v>6.260000000000002</c:v>
                </c:pt>
                <c:pt idx="5">
                  <c:v>15.379999999999999</c:v>
                </c:pt>
                <c:pt idx="6">
                  <c:v>4.640000000000004</c:v>
                </c:pt>
                <c:pt idx="7">
                  <c:v>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2748.7</c:v>
                </c:pt>
                <c:pt idx="1">
                  <c:v>2971.4</c:v>
                </c:pt>
                <c:pt idx="2">
                  <c:v>4860</c:v>
                </c:pt>
              </c:numCache>
            </c:numRef>
          </c:val>
        </c:ser>
        <c:ser>
          <c:idx val="1"/>
          <c:order val="1"/>
          <c:tx>
            <c:strRef>
              <c:f>Hoja1!$C$1</c:f>
              <c:strCache>
                <c:ptCount val="1"/>
                <c:pt idx="0">
                  <c:v>Alemania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2027.5</c:v>
                </c:pt>
                <c:pt idx="1">
                  <c:v>1986.7</c:v>
                </c:pt>
                <c:pt idx="2">
                  <c:v>2109.3</c:v>
                </c:pt>
              </c:numCache>
            </c:numRef>
          </c:val>
        </c:ser>
        <c:ser>
          <c:idx val="2"/>
          <c:order val="2"/>
          <c:tx>
            <c:strRef>
              <c:f>Hoja1!$D$1</c:f>
              <c:strCache>
                <c:ptCount val="1"/>
                <c:pt idx="0">
                  <c:v>Reino Unido</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1213.7</c:v>
                </c:pt>
                <c:pt idx="1">
                  <c:v>1158.1</c:v>
                </c:pt>
                <c:pt idx="2">
                  <c:v>1419.2</c:v>
                </c:pt>
              </c:numCache>
            </c:numRef>
          </c:val>
        </c:ser>
        <c:ser>
          <c:idx val="3"/>
          <c:order val="3"/>
          <c:tx>
            <c:strRef>
              <c:f>Hoja1!$E$1</c:f>
              <c:strCache>
                <c:ptCount val="1"/>
                <c:pt idx="0">
                  <c:v>Europa Occidental</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901.3</c:v>
                </c:pt>
                <c:pt idx="1">
                  <c:v>819.3</c:v>
                </c:pt>
                <c:pt idx="2">
                  <c:v>779.2</c:v>
                </c:pt>
              </c:numCache>
            </c:numRef>
          </c:val>
        </c:ser>
        <c:ser>
          <c:idx val="4"/>
          <c:order val="4"/>
          <c:tx>
            <c:strRef>
              <c:f>Hoja1!$F$1</c:f>
              <c:strCache>
                <c:ptCount val="1"/>
                <c:pt idx="0">
                  <c:v>Internacional</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31.6</c:v>
                </c:pt>
                <c:pt idx="1">
                  <c:v>29.3</c:v>
                </c:pt>
                <c:pt idx="2">
                  <c:v>26.2</c:v>
                </c:pt>
              </c:numCache>
            </c:numRef>
          </c:val>
        </c:ser>
        <c:ser>
          <c:idx val="5"/>
          <c:order val="5"/>
          <c:tx>
            <c:strRef>
              <c:f>Hoja1!$G$1</c:f>
              <c:strCache>
                <c:ptCount val="1"/>
                <c:pt idx="0">
                  <c:v>Costes centrales</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Norteamérica</c:v>
                </c:pt>
                <c:pt idx="1">
                  <c:v>Alemania</c:v>
                </c:pt>
                <c:pt idx="2">
                  <c:v>Reino Unido</c:v>
                </c:pt>
                <c:pt idx="3">
                  <c:v>Europa Occidental</c:v>
                </c:pt>
                <c:pt idx="4">
                  <c:v>Internacional</c:v>
                </c:pt>
                <c:pt idx="5">
                  <c:v>Costes centrales</c:v>
                </c:pt>
              </c:strCache>
            </c:strRef>
          </c:cat>
          <c:val>
            <c:numRef>
              <c:f>Hoja1!$B$2:$B$7</c:f>
              <c:numCache>
                <c:formatCode>General</c:formatCode>
                <c:ptCount val="6"/>
                <c:pt idx="0">
                  <c:v>52.9</c:v>
                </c:pt>
                <c:pt idx="1">
                  <c:v>22.9</c:v>
                </c:pt>
                <c:pt idx="2">
                  <c:v>15.4</c:v>
                </c:pt>
                <c:pt idx="3">
                  <c:v>8.5</c:v>
                </c:pt>
                <c:pt idx="4">
                  <c:v>0.3</c:v>
                </c:pt>
                <c:pt idx="5">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Norteamérica</c:v>
                </c:pt>
                <c:pt idx="1">
                  <c:v>Alemania</c:v>
                </c:pt>
                <c:pt idx="2">
                  <c:v>Reino Unido</c:v>
                </c:pt>
                <c:pt idx="3">
                  <c:v>Europa Occidental</c:v>
                </c:pt>
                <c:pt idx="4">
                  <c:v>Otros</c:v>
                </c:pt>
              </c:strCache>
            </c:strRef>
          </c:cat>
          <c:val>
            <c:numRef>
              <c:f>Hoja1!$B$2:$B$6</c:f>
              <c:numCache>
                <c:formatCode>0"%"</c:formatCode>
                <c:ptCount val="5"/>
                <c:pt idx="0">
                  <c:v>52.9</c:v>
                </c:pt>
                <c:pt idx="1">
                  <c:v>22.9</c:v>
                </c:pt>
                <c:pt idx="2">
                  <c:v>15.4</c:v>
                </c:pt>
                <c:pt idx="3">
                  <c:v>8.5</c:v>
                </c:pt>
                <c:pt idx="4">
                  <c:v>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(Gartner: centros de datos + dispositivos))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2026e</c:v>
                </c:pt>
              </c:strCache>
            </c:strRef>
          </c:cat>
          <c:val>
            <c:numRef>
              <c:f>Hoja1!$B$2:$B$4</c:f>
              <c:numCache>
                <c:formatCode>#,##0</c:formatCode>
                <c:ptCount val="3"/>
                <c:pt idx="0">
                  <c:v>1055.2</c:v>
                </c:pt>
                <c:pt idx="1">
                  <c:v>1297.3</c:v>
                </c:pt>
                <c:pt idx="2">
                  <c:v>1644.2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5</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Computacenter</c:v>
                </c:pt>
                <c:pt idx="1">
                  <c:v>CDW Corporation</c:v>
                </c:pt>
                <c:pt idx="2">
                  <c:v>Insight Enterprises</c:v>
                </c:pt>
                <c:pt idx="3">
                  <c:v>Bechtle</c:v>
                </c:pt>
                <c:pt idx="4">
                  <c:v>Atea</c:v>
                </c:pt>
                <c:pt idx="5">
                  <c:v>Cancom</c:v>
                </c:pt>
                <c:pt idx="6">
                  <c:v>Softcat</c:v>
                </c:pt>
                <c:pt idx="7">
                  <c:v>TD SYNNEX</c:v>
                </c:pt>
              </c:strCache>
            </c:strRef>
          </c:cat>
          <c:val>
            <c:numRef>
              <c:f>Hoja1!$B$2:$B$9</c:f>
              <c:numCache>
                <c:formatCode>0.0"%"</c:formatCode>
                <c:ptCount val="8"/>
                <c:pt idx="0">
                  <c:v>2.9</c:v>
                </c:pt>
                <c:pt idx="1">
                  <c:v>7.3</c:v>
                </c:pt>
                <c:pt idx="2">
                  <c:v>6.2</c:v>
                </c:pt>
                <c:pt idx="3">
                  <c:v>4.9</c:v>
                </c:pt>
                <c:pt idx="4">
                  <c:v>3.1</c:v>
                </c:pt>
                <c:pt idx="5">
                  <c:v>1.3</c:v>
                </c:pt>
                <c:pt idx="6">
                  <c:v>10.7</c:v>
                </c:pt>
                <c:pt idx="7">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1</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5034.5</c:v>
                </c:pt>
                <c:pt idx="1">
                  <c:v>6470.5</c:v>
                </c:pt>
                <c:pt idx="2">
                  <c:v>6922.8</c:v>
                </c:pt>
                <c:pt idx="3">
                  <c:v>6964.8</c:v>
                </c:pt>
                <c:pt idx="4">
                  <c:v>9193.9</c:v>
                </c:pt>
                <c:pt idx="5">
                  <c:v>13846</c:v>
                </c:pt>
                <c:pt idx="6">
                  <c:v>15092</c:v>
                </c:pt>
                <c:pt idx="7">
                  <c:v>15696</c:v>
                </c:pt>
                <c:pt idx="8">
                  <c:v>16167</c:v>
                </c:pt>
                <c:pt idx="9">
                  <c:v>16652</c:v>
                </c:pt>
                <c:pt idx="10">
                  <c:v>17151</c:v>
                </c:pt>
                <c:pt idx="11">
                  <c:v>17580</c:v>
                </c:pt>
                <c:pt idx="12">
                  <c:v>18020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345.9</c:v>
                </c:pt>
                <c:pt idx="1">
                  <c:v>349.1</c:v>
                </c:pt>
                <c:pt idx="2">
                  <c:v>341.4</c:v>
                </c:pt>
                <c:pt idx="3">
                  <c:v>317.4</c:v>
                </c:pt>
                <c:pt idx="4">
                  <c:v>352.2</c:v>
                </c:pt>
                <c:pt idx="5">
                  <c:v>469</c:v>
                </c:pt>
                <c:pt idx="6">
                  <c:v>498</c:v>
                </c:pt>
                <c:pt idx="7">
                  <c:v>518</c:v>
                </c:pt>
                <c:pt idx="8">
                  <c:v>534</c:v>
                </c:pt>
                <c:pt idx="9">
                  <c:v>550</c:v>
                </c:pt>
                <c:pt idx="10">
                  <c:v>566</c:v>
                </c:pt>
                <c:pt idx="11">
                  <c:v>580</c:v>
                </c:pt>
                <c:pt idx="12">
                  <c:v>595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17.2</c:v>
                </c:pt>
                <c:pt idx="1">
                  <c:v>14.6</c:v>
                </c:pt>
                <c:pt idx="2">
                  <c:v>15.1</c:v>
                </c:pt>
                <c:pt idx="3">
                  <c:v>14.9</c:v>
                </c:pt>
                <c:pt idx="4">
                  <c:v>12.4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6.9</c:v>
                </c:pt>
                <c:pt idx="1">
                  <c:v>5.4</c:v>
                </c:pt>
                <c:pt idx="2">
                  <c:v>4.9</c:v>
                </c:pt>
                <c:pt idx="3">
                  <c:v>4.6</c:v>
                </c:pt>
                <c:pt idx="4">
                  <c:v>3.8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5.1</c:v>
                </c:pt>
                <c:pt idx="1">
                  <c:v>4</c:v>
                </c:pt>
                <c:pt idx="2">
                  <c:v>3.8</c:v>
                </c:pt>
                <c:pt idx="3">
                  <c:v>3.4</c:v>
                </c:pt>
                <c:pt idx="4">
                  <c:v>2.9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3.7</c:v>
                </c:pt>
                <c:pt idx="1">
                  <c:v>2.8</c:v>
                </c:pt>
                <c:pt idx="2">
                  <c:v>2.9</c:v>
                </c:pt>
                <c:pt idx="3">
                  <c:v>2.5</c:v>
                </c:pt>
                <c:pt idx="4">
                  <c:v>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71.6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91</c:v>
                </c:pt>
                <c:pt idx="1">
                  <c:v>95</c:v>
                </c:pt>
                <c:pt idx="2">
                  <c:v>79</c:v>
                </c:pt>
                <c:pt idx="3">
                  <c:v>87</c:v>
                </c:pt>
                <c:pt idx="4">
                  <c:v>76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c:v>
                </c:pt>
                <c:pt idx="1">
                  <c:v>28</c:v>
                </c:pt>
                <c:pt idx="2">
                  <c:v>13</c:v>
                </c:pt>
                <c:pt idx="3">
                  <c:v>19</c:v>
                </c:pt>
                <c:pt idx="4">
                  <c:v>22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124</c:v>
                </c:pt>
                <c:pt idx="1">
                  <c:v>123</c:v>
                </c:pt>
                <c:pt idx="2">
                  <c:v>104</c:v>
                </c:pt>
                <c:pt idx="3">
                  <c:v>126</c:v>
                </c:pt>
                <c:pt idx="4">
                  <c:v>112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136.3</c:v>
                </c:pt>
                <c:pt idx="1">
                  <c:v>148.5</c:v>
                </c:pt>
                <c:pt idx="2">
                  <c:v>326.8</c:v>
                </c:pt>
                <c:pt idx="3">
                  <c:v>336.9</c:v>
                </c:pt>
                <c:pt idx="4">
                  <c:v>199.10000000000002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185.3</c:v>
                </c:pt>
                <c:pt idx="1">
                  <c:v>182.8</c:v>
                </c:pt>
                <c:pt idx="2">
                  <c:v>197.6</c:v>
                </c:pt>
                <c:pt idx="3">
                  <c:v>170.8</c:v>
                </c:pt>
                <c:pt idx="4">
                  <c:v>153.7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29.5</c:v>
                </c:pt>
                <c:pt idx="1">
                  <c:v>27.2</c:v>
                </c:pt>
                <c:pt idx="2">
                  <c:v>28.1</c:v>
                </c:pt>
                <c:pt idx="3">
                  <c:v>31</c:v>
                </c:pt>
                <c:pt idx="4">
                  <c:v>37.2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10.6</c:v>
                </c:pt>
                <c:pt idx="1">
                  <c:v>10.6</c:v>
                </c:pt>
                <c:pt idx="2">
                  <c:v>10.6</c:v>
                </c:pt>
                <c:pt idx="3">
                  <c:v>10.6</c:v>
                </c:pt>
                <c:pt idx="4">
                  <c:v>10.6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c:v>
                </c:pt>
                <c:pt idx="1">
                  <c:v>22.8</c:v>
                </c:pt>
                <c:pt idx="2">
                  <c:v>21.9</c:v>
                </c:pt>
                <c:pt idx="3">
                  <c:v>19.5</c:v>
                </c:pt>
                <c:pt idx="4">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-0.28</c:v>
                </c:pt>
                <c:pt idx="1">
                  <c:v>-0.34</c:v>
                </c:pt>
                <c:pt idx="2">
                  <c:v>-1.01</c:v>
                </c:pt>
                <c:pt idx="3">
                  <c:v>-1.11</c:v>
                </c:pt>
                <c:pt idx="4">
                  <c:v>-1.21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10.6</c:v>
                </c:pt>
                <c:pt idx="1">
                  <c:v>14.1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2.5</c:v>
                </c:pt>
                <c:pt idx="1">
                  <c:v>28.3</c:v>
                </c:pt>
                <c:pt idx="2">
                  <c:v>19.3</c:v>
                </c:pt>
                <c:pt idx="3">
                  <c:v>18.7</c:v>
                </c:pt>
                <c:pt idx="4">
                  <c:v>1.7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62.4</c:v>
                </c:pt>
                <c:pt idx="1">
                  <c:v>80.5</c:v>
                </c:pt>
                <c:pt idx="2">
                  <c:v>77.3</c:v>
                </c:pt>
                <c:pt idx="3">
                  <c:v>78.9</c:v>
                </c:pt>
                <c:pt idx="4">
                  <c:v>74.6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25.5</c:v>
                </c:pt>
                <c:pt idx="1">
                  <c:v>34.4</c:v>
                </c:pt>
                <c:pt idx="2">
                  <c:v>38</c:v>
                </c:pt>
                <c:pt idx="3">
                  <c:v>223.3</c:v>
                </c:pt>
                <c:pt idx="4">
                  <c:v>21.9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6</c:v>
                </c:pt>
                <c:pt idx="1">
                  <c:v>2</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Peter Ogden y personas vinculadas</c:v>
                </c:pt>
                <c:pt idx="1">
                  <c:v>Philip Hulme</c:v>
                </c:pt>
                <c:pt idx="2">
                  <c:v>The Hadley Trust</c:v>
                </c:pt>
                <c:pt idx="3">
                  <c:v>Autocartera</c:v>
                </c:pt>
              </c:strCache>
            </c:strRef>
          </c:cat>
          <c:val>
            <c:numRef>
              <c:f>Hoja1!$B$2:$B$5</c:f>
              <c:numCache>
                <c:formatCode>0.0"%"</c:formatCode>
                <c:ptCount val="4"/>
                <c:pt idx="0">
                  <c:v>22.3</c:v>
                </c:pt>
                <c:pt idx="1">
                  <c:v>7.57</c:v>
                </c:pt>
                <c:pt idx="2">
                  <c:v>7.21</c:v>
                </c:pt>
                <c:pt idx="3">
                  <c:v>9.72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-6.1</c:v>
                </c:pt>
                <c:pt idx="1">
                  <c:v>44.1</c:v>
                </c:pt>
                <c:pt idx="2">
                  <c:v>-12.7</c:v>
                </c:pt>
                <c:pt idx="3">
                  <c:v>76.2</c:v>
                </c:pt>
                <c:pt idx="4">
                  <c:v>38.1</c:v>
                </c:pt>
                <c:pt idx="5">
                  <c:v>18.9</c:v>
                </c:pt>
                <c:pt idx="6">
                  <c:v>-34.3</c:v>
                </c:pt>
                <c:pt idx="7">
                  <c:v>46.1</c:v>
                </c:pt>
                <c:pt idx="8">
                  <c:v>-23.9</c:v>
                </c:pt>
                <c:pt idx="9">
                  <c:v>37.9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9.4</c:v>
                </c:pt>
                <c:pt idx="1">
                  <c:v>6</c:v>
                </c:pt>
                <c:pt idx="2">
                  <c:v>8.3</c:v>
                </c:pt>
                <c:pt idx="3">
                  <c:v>6.4</c:v>
                </c:pt>
                <c:pt idx="4">
                  <c:v>7.6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7.6</c:v>
                </c:pt>
                <c:pt idx="1">
                  <c:v>7.6</c:v>
                </c:pt>
                <c:pt idx="2">
                  <c:v>7.6</c:v>
                </c:pt>
                <c:pt idx="3">
                  <c:v>7.6</c:v>
                </c:pt>
                <c:pt idx="4">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Computacenter</c:v>
                </c:pt>
                <c:pt idx="1">
                  <c:v>Softcat</c:v>
                </c:pt>
                <c:pt idx="2">
                  <c:v>Bytes Technology</c:v>
                </c:pt>
                <c:pt idx="3">
                  <c:v>Bechtle</c:v>
                </c:pt>
                <c:pt idx="4">
                  <c:v>Cancom</c:v>
                </c:pt>
                <c:pt idx="5">
                  <c:v>Atea</c:v>
                </c:pt>
                <c:pt idx="6">
                  <c:v>CDW</c:v>
                </c:pt>
                <c:pt idx="7">
                  <c:v>Insight Enterprises</c:v>
                </c:pt>
                <c:pt idx="8">
                  <c:v>ePlus</c:v>
                </c:pt>
                <c:pt idx="9">
                  <c:v>TD SYNNEX</c:v>
                </c:pt>
                <c:pt idx="10">
                  <c:v>Arrow Electronics</c:v>
                </c:pt>
              </c:strCache>
            </c:strRef>
          </c:cat>
          <c:val>
            <c:numRef>
              <c:f>Hoja1!$B$2:$B$12</c:f>
              <c:numCache>
                <c:formatCode>0.0"x"</c:formatCode>
                <c:ptCount val="11"/>
                <c:pt idx="0">
                  <c:v>10.8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GAI (Government Acquisitions Inc.)</c:v>
                </c:pt>
                <c:pt idx="1">
                  <c:v>AgreeYa Solutions</c:v>
                </c:pt>
                <c:pt idx="2">
                  <c:v>Converge Technology Solutions</c:v>
                </c:pt>
              </c:strCache>
            </c:strRef>
          </c:cat>
          <c:val>
            <c:numRef>
              <c:f>Hoja1!$B$2:$B$4</c:f>
              <c:numCache>
                <c:formatCode>0.0"x"</c:formatCode>
                <c:ptCount val="3"/>
                <c:pt idx="0">
                  <c:v>11.5</c:v>
                </c:pt>
                <c:pt idx="1">
                  <c:v>8.6</c:v>
                </c:pt>
                <c:pt idx="2">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196</c:v>
                </c:pt>
                <c:pt idx="1">
                  <c:v>269</c:v>
                </c:pt>
                <c:pt idx="2">
                  <c:v>270</c:v>
                </c:pt>
                <c:pt idx="3">
                  <c:v>275</c:v>
                </c:pt>
                <c:pt idx="4">
                  <c:v>284</c:v>
                </c:pt>
                <c:pt idx="5">
                  <c:v>292</c:v>
                </c:pt>
                <c:pt idx="6">
                  <c:v>298</c:v>
                </c:pt>
                <c:pt idx="7">
                  <c:v>306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1428</c:v>
                </c:pt>
                <c:pt idx="1">
                  <c:v>1883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50,25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20.38</c:v>
                </c:pt>
                <c:pt idx="1">
                  <c:v>30.51</c:v>
                </c:pt>
                <c:pt idx="2">
                  <c:v>35.76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50,25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(26,02 – 60,45)</c:v>
                </c:pt>
                <c:pt idx="1">
                  <c:v>Precio objetivo de los analistas (52,50 – 70,00)</c:v>
                </c:pt>
                <c:pt idx="2">
                  <c:v>Comparables: PER NTM (34,94 – 45,27)</c:v>
                </c:pt>
                <c:pt idx="3">
                  <c:v>Transacciones precedentes (EV/EBITDA) (31,27 – 39,52)</c:v>
                </c:pt>
                <c:pt idx="4">
                  <c:v>DCF (WACC y g ± 0,5) (27,76 – 34,02)</c:v>
                </c:pt>
                <c:pt idx="5">
                  <c:v>Escenarios (bajista – alcista) (20,38 – 35,76)</c:v>
                </c:pt>
                <c:pt idx="6">
                  <c:v>DCF con la prima implícita del mercado (4,2 %)</c:v>
                </c:pt>
                <c:pt idx="7">
                  <c:v>Precio actual (50,25)</c:v>
                </c:pt>
              </c:strCache>
            </c:strRef>
          </c:cat>
          <c:val>
            <c:numRef>
              <c:f>Hoja1!$B$2:$B$9</c:f>
              <c:numCache>
                <c:formatCode>#,##0.0</c:formatCode>
                <c:ptCount val="8"/>
                <c:pt idx="0">
                  <c:v>26.02</c:v>
                </c:pt>
                <c:pt idx="1">
                  <c:v>52.5</c:v>
                </c:pt>
                <c:pt idx="2">
                  <c:v>34.94</c:v>
                </c:pt>
                <c:pt idx="3">
                  <c:v>31.27</c:v>
                </c:pt>
                <c:pt idx="4">
                  <c:v>27.76</c:v>
                </c:pt>
                <c:pt idx="5">
                  <c:v>20.38</c:v>
                </c:pt>
                <c:pt idx="6">
                  <c:v>31.56</c:v>
                </c:pt>
                <c:pt idx="7">
                  <c:v>50</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(26,02 – 60,45)</c:v>
                </c:pt>
                <c:pt idx="1">
                  <c:v>Precio objetivo de los analistas (52,50 – 70,00)</c:v>
                </c:pt>
                <c:pt idx="2">
                  <c:v>Comparables: PER NTM (34,94 – 45,27)</c:v>
                </c:pt>
                <c:pt idx="3">
                  <c:v>Transacciones precedentes (EV/EBITDA) (31,27 – 39,52)</c:v>
                </c:pt>
                <c:pt idx="4">
                  <c:v>DCF (WACC y g ± 0,5) (27,76 – 34,02)</c:v>
                </c:pt>
                <c:pt idx="5">
                  <c:v>Escenarios (bajista – alcista) (20,38 – 35,76)</c:v>
                </c:pt>
                <c:pt idx="6">
                  <c:v>DCF con la prima implícita del mercado (4,2 %)</c:v>
                </c:pt>
                <c:pt idx="7">
                  <c:v>Precio actual (50,25)</c:v>
                </c:pt>
              </c:strCache>
            </c:strRef>
          </c:cat>
          <c:val>
            <c:numRef>
              <c:f>Hoja1!$C$2:$C$9</c:f>
              <c:numCache>
                <c:formatCode>#,##0.0</c:formatCode>
                <c:ptCount val="8"/>
                <c:pt idx="0">
                  <c:v>34.43000000000001</c:v>
                </c:pt>
                <c:pt idx="1">
                  <c:v>17.5</c:v>
                </c:pt>
                <c:pt idx="2">
                  <c:v>10.330000000000005</c:v>
                </c:pt>
                <c:pt idx="3">
                  <c:v>8.250000000000004</c:v>
                </c:pt>
                <c:pt idx="4">
                  <c:v>6.260000000000002</c:v>
                </c:pt>
                <c:pt idx="5">
                  <c:v>15.379999999999999</c:v>
                </c:pt>
                <c:pt idx="6">
                  <c:v>4.640000000000004</c:v>
                </c:pt>
                <c:pt idx="7">
                  <c:v>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