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Verisk Analytics, Inc.</w:t>
      </w:r>
    </w:p>
    <w:p>
      <w:pPr>
        <w:spacing w:after="60"/>
        <w:rPr>
          <w:color w:val="52514E"/>
          <w:sz w:val="22"/>
          <w:szCs w:val="22"/>
        </w:rPr>
      </w:pPr>
      <w:r>
        <w:rPr>
          <w:color w:val="52514E"/>
          <w:sz w:val="22"/>
          <w:szCs w:val="22"/>
        </w:rPr>
        <w:t xml:space="preserve">VRSK · Nasdaq Global Select Market · ISIN US92345Y1064 · Industriales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177,63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182,74 USD · mercado 214,96</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+3,9 % · mercado +22,1 %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23.135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14,1x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Verisk Analytics,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VRSK / US92345Y1064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Industriales / Servicios profesionales (investigación y consultoría)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Jersey City, Nueva Jersey · 1971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https://www.verisk.com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177,63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155,94 – 245,69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23.135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27.134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259 M USD/día (1,39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182,74 USD</w:t>
      </w:r>
      <w:r>
        <w:t xml:space="preserve"> frente a 177,63 · con la prima implícita del mercado: 214,96 (+21,0 %) · Rentabilidad total esperada a 12 meses </w:t>
      </w:r>
      <w:r>
        <w:rPr>
          <w:b/>
          <w:bCs/>
        </w:rPr>
        <w:t xml:space="preserve">+3,9 %</w:t>
      </w:r>
      <w:r>
        <w:t xml:space="preserve"> · Alcista / bajista +37,0 % / -28,3 %</w:t>
      </w:r>
    </w:p>
    <w:p>
      <w:pPr>
        <w:spacing w:after="100"/>
      </w:pPr>
      <w:r>
        <w:rPr>
          <w:b/>
        </w:rPr>
        <w:t xml:space="preserve">La recomendación y por qué.</w:t>
      </w:r>
      <w:r>
        <w:t xml:space="preserve"> Mantener, con convicción baja. El valor objetivo es de 182,74 USD frente a un precio de 177,63 (cierre del 9-oct-2026), un potencial del 2,9 % y una rentabilidad total esperada a 12 meses del 3,9 % con el dividendo. El alcista da +37,0 % y el bajista −28,3 %, una asimetría de 1,31 veces. Las dos reglas discrepan: con nuestro WACC del 8,75 % sale Mantener; con la prima que hoy pide el mercado (4,2 %) el valor objetivo sube a 214,96 USD (+21,0 %) y sale Comprar, pero un Comprar solo relativo exige al menos un 5 % con nuestro coste de capital, y no llega. La convicción es baja porque la diferencia es de tasa y no de cifras: nuestra proyección coincide con el consenso. La subiría un precio por debajo de 175,80 USD o un fallo favorable en el caso AccuLynx; la bajaría un crecimiento de la suscripción por debajo del 6 % en el 3T26 (5-nov).</w:t>
      </w:r>
    </w:p>
    <w:p>
      <w:pPr>
        <w:spacing w:after="100"/>
      </w:pPr>
      <w:r>
        <w:rPr>
          <w:b/>
        </w:rPr>
        <w:t xml:space="preserve">El negocio.</w:t>
      </w:r>
      <w:r>
        <w:t xml:space="preserve"> Verisk es el proveedor de referencia de datos para las aseguradoras de daños de EE. UU.: formularios y costes de siniestralidad de ISO, modelos de catástrofes y herramientas de siniestros, con un 83 % de suscripciones [1]. Gana un margen EBITDA del 56,4 % y un ROIC del 37,5 %, cuatro veces su WACC, con un foso amplio basado en los datos que aportan los clientes [1]. La calidad sí sostiene el crecimiento del 5,4 % que proyectamos: no necesita capital y sale de subir precios sobre una base cautiva, como demuestra el +5,6 % orgánico de Underwriting en el 2T26 [6].</w:t>
      </w:r>
    </w:p>
    <w:p>
      <w:pPr>
        <w:spacing w:after="100"/>
      </w:pPr>
      <w:r>
        <w:rPr>
          <w:b/>
        </w:rPr>
        <w:t xml:space="preserve">Finanzas.</w:t>
      </w:r>
      <w:r>
        <w:t xml:space="preserve"> El crecimiento orgánico se frenó del 7,9 % del 1S25 al 4,7 % del 1T26 y al 5,8 % del 2T26, por la parte transaccional (−4,2 %), mientras la suscripción aceleró al 8 % [6, 16]. La guía de 2026 (3.190-3.240 M de ingresos) se reiteró en julio [6]. Las recompras (1.900 M en el 1S26) dejan el patrimonio en −1.189 M y la deuda neta ajustada en 4.222 M, 2,4 veces el EBITDA [4].</w:t>
      </w:r>
    </w:p>
    <w:p>
      <w:pPr>
        <w:spacing w:after="100"/>
      </w:pPr>
      <w:r>
        <w:rPr>
          <w:b/>
        </w:rPr>
        <w:t xml:space="preserve">Equipo y gobierno.</w:t>
      </w:r>
      <w:r>
        <w:t xml:space="preserve"> Suma: presidente independiente, diez de once consejeros independientes, sin accionista de control y guía cumplida en 2024 y 2025 [8, 12, 32]. Resta AccuLynx: la dirección firmó una compra de 2.350 M, la abandonó en diciembre de 2025 y en agosto el tribunal de Delaware declaró inválida la terminación y le ordenó intentar cerrarla; Verisk ha recurrido [18, 20].</w:t>
      </w:r>
    </w:p>
    <w:p>
      <w:pPr>
        <w:spacing w:after="100"/>
      </w:pPr>
      <w:r>
        <w:rPr>
          <w:b/>
        </w:rPr>
        <w:t xml:space="preserve">Valoración.</w:t>
      </w:r>
      <w:r>
        <w:t xml:space="preserve"> El DCF da 188,14 USD; los escenarios, 186,75, y los comparables, 168,51 (14,1 veces el EBITDA de los próximos doce meses, en la mediana del grupo pese a un margen y un ROIC superiores). El DCF inverso dice que el precio descuenta un 4,8 % de crecimiento anual y un margen del 55,6 %, menos que el 5,7 % de 2021-2025 y que el +6-8 % que promete la dirección [31]: el mercado ya cuenta con el frenazo. El múltiplo histórico (15,3 veces el EBITDA, un 42 % bajo su media) no es un ancla fiable porque el bono está al 5,24 % [57]. Restamos 300 M de coste esperado de AccuLynx (estimación propia, 2,30 USD por acción).</w:t>
      </w:r>
    </w:p>
    <w:p>
      <w:pPr>
        <w:spacing w:after="100"/>
      </w:pPr>
      <w:r>
        <w:rPr>
          <w:b/>
        </w:rPr>
        <w:t xml:space="preserve">Riesgos y catalizadores.</w:t>
      </w:r>
      <w:r>
        <w:t xml:space="preserve"> El mayor es la IA: si las grandes aseguradoras construyen sus propios modelos y negocian a la baja, el bajista vale 127,32 USD. El segundo, que el Supremo de Delaware confirme el fallo y Verisk pague un sobreprecio de más de 1.000 M (−5 %). Los catalizadores son los resultados del 3T26 (5-nov-2026), la guía de 2027 (febrero) y el recurso.</w:t>
      </w:r>
    </w:p>
    <w:p>
      <w:pPr>
        <w:spacing w:after="100"/>
      </w:pPr>
      <w:r>
        <w:rPr>
          <w:b/>
        </w:rPr>
        <w:t xml:space="preserve">Qué cambiaría la decisión.</w:t>
      </w:r>
      <w:r>
        <w:t xml:space="preserve"> Compraríamos por debajo de 175,80 USD y venderíamos por encima de 241,03. Pasaríamos a Vender si la suscripción baja del 6 % o la guía de 2027 queda por debajo del +6 %; revisaríamos al alza si el recurso de AccuLynx sale bien o si la guía de 2027 confirma un 7 % orgánico.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182,74 USD</w:t>
      </w:r>
      <w:r>
        <w:t xml:space="preserve"> (+2,9 % sobre 177,63; rentabilidad total esperada +3,9 %) · con la prima implícita del mercado: 214,96 (+21,0 %)</w:t>
      </w:r>
    </w:p>
    <w:p>
      <w:pPr>
        <w:spacing w:after="100"/>
      </w:pPr>
      <w:r>
        <w:t xml:space="preserve">Verisk es el proveedor de referencia de datos para las aseguradoras de daños de EE. UU.: formularios, reglas y costes de siniestralidad de ISO, modelos de catástrofes y herramientas de siniestros, con un 83 % de ingresos por suscripción, un margen EBITDA del 56,4 % y un ROIC del 37,5 % [1]. Tras vender Energy y otros negocios en 2022-2025 es una empresa pura de seguros que crece un 5-7 % al año sin necesitar capital y devuelve la caja con recompras.</w:t>
      </w:r>
    </w:p>
    <w:p>
      <w:pPr>
        <w:spacing w:after="100"/>
      </w:pPr>
      <w:r>
        <w:t xml:space="preserve">El precio de 177,63 USD descuenta un crecimiento del 4,8 % anual en 2027-2035 y un margen del 55,6 %, por debajo de su historia (5,7 % en 2021-2025) y del objetivo de la dirección (+6-8 %) [31]. La acción ha caído un 26,2 % en un año y cotiza a 14,1 veces el EBITDA de los próximos doce meses, en la mediana de los comparables y un 42 % por debajo de su media histórica [51].</w:t>
      </w:r>
    </w:p>
    <w:p>
      <w:pPr>
        <w:spacing w:after="100"/>
      </w:pPr>
      <w:r>
        <w:t xml:space="preserve">El mercado descuenta tres cosas a la vez: el frenazo del crecimiento en 2026, el riesgo de que la IA abarate los datos y el fallo de Delaware que obliga a intentar cerrar AccuLynx [19, 20]. Nuestras cifras coinciden con el consenso; para invertir hay que creer que la suscripción sigue al 7-8 % y que AccuLynx cuesta poco. Con nuestro coste de capital el potencial es pequeño; con la prima que hoy pide el mercado, es del 21,0 %.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 / -28,3 %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frente a 8,8 %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frente a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175,80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175,80 y 241,03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241,03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175,80 USD (nivel de compra del motor) sin deterioro de la suscripción, pasaríamos a Comprar.</w:t>
      </w:r>
    </w:p>
    <w:p>
      <w:pPr>
        <w:pStyle w:val="ListParagraph"/>
        <w:numPr>
          <w:ilvl w:val="0"/>
          <w:numId w:val="2"/>
        </w:numPr>
        <w:spacing w:after="60"/>
      </w:pPr>
      <w:r>
        <w:t xml:space="preserve">Si el crecimiento de la suscripción baja del 6 % en el 3T26 o el 4T26, bajaríamos el caso base y podríamos pasar a Vender.</w:t>
      </w:r>
    </w:p>
    <w:p>
      <w:pPr>
        <w:pStyle w:val="ListParagraph"/>
        <w:numPr>
          <w:ilvl w:val="0"/>
          <w:numId w:val="2"/>
        </w:numPr>
        <w:spacing w:after="60"/>
      </w:pPr>
      <w:r>
        <w:t xml:space="preserve">Si el Supremo de Delaware revoca el fallo de AccuLynx, quitaríamos los 300 M del puente y subiría la rentabilidad esperada algo más de un punto.</w:t>
      </w:r>
    </w:p>
    <w:p>
      <w:pPr>
        <w:pStyle w:val="ListParagraph"/>
        <w:numPr>
          <w:ilvl w:val="0"/>
          <w:numId w:val="2"/>
        </w:numPr>
        <w:spacing w:after="60"/>
      </w:pPr>
      <w:r>
        <w:t xml:space="preserve">Si el precio supera 241,03 USD (nivel de venta del motor), pasaríamos a Vender.</w:t>
      </w:r>
    </w:p>
    <w:p>
      <w:pPr>
        <w:pStyle w:val="ListParagraph"/>
        <w:numPr>
          <w:ilvl w:val="0"/>
          <w:numId w:val="2"/>
        </w:numPr>
        <w:spacing w:after="60"/>
      </w:pPr>
      <w:r>
        <w:t xml:space="preserve">Si la guía de 2027 (feb-2027) confirma un crecimiento orgánico del 7 % o más con margen al alza, revisaríamos al alza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4,8 % y un margen del 55,6 %: una Verisk más lenta que en los últimos cinco años y sin la expansión de margen que promete la dirección, con un coste de AccuLynx incierto. Es la lectura de un proveedor de datos amenazado por la IA, a un múltiplo que ha perdido un 42 % frente a su media.</w:t>
      </w:r>
    </w:p>
    <w:p>
      <w:pPr>
        <w:keepNext/>
        <w:spacing w:after="100"/>
      </w:pPr>
      <w:r>
        <w:rPr>
          <w:b/>
          <w:bCs/>
        </w:rPr>
        <w:t xml:space="preserve">Lo que creemos nosotros.</w:t>
      </w:r>
    </w:p>
    <w:p>
      <w:pPr>
        <w:spacing w:after="100"/>
      </w:pPr>
      <w:r>
        <w:t xml:space="preserve">Crecimiento del 5,5 % medio y margen del 58 %, en línea con el consenso de 2026-2028 y en la mitad baja del objetivo. La suscripción aceleró al 8 % en el 2T26 y el frenazo viene de la parte transaccional, que pesa un 16 %. AccuLynx es un coste de unos 300 M esperados, no una amenaza para el negocio.</w:t>
      </w:r>
    </w:p>
    <w:p>
      <w:pPr>
        <w:keepNext/>
        <w:spacing w:after="100"/>
      </w:pPr>
      <w:r>
        <w:rPr>
          <w:b/>
          <w:bCs/>
        </w:rPr>
        <w:t xml:space="preserve">Por qué podemos tener razón.</w:t>
      </w:r>
    </w:p>
    <w:p>
      <w:pPr>
        <w:spacing w:after="100"/>
      </w:pPr>
      <w:r>
        <w:t xml:space="preserve">Los datos aportados por los clientes, las licencias estatales y los formularios integrados en las pólizas no se replican con un modelo de lenguaje: la IA mejora lo que se hace con ellos. Pero no tenemos una visión distinta del mercado en las cifras; la diferencia es la tasa de descuento, y con nuestro WACC el potencial no basta.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77,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Calidad del negocio</w:t>
      </w:r>
      <w:r>
        <w:t xml:space="preserve">: margen EBITDA del 56,4 % y ROIC del 37,5 %, el segundo más alto de los comparables, con un 83 % de suscripciones [1, 60, 61, 62, 63, 64, 65, 66, 67, 68, 69, 70, 71].</w:t>
      </w:r>
    </w:p>
    <w:p>
      <w:pPr>
        <w:pStyle w:val="ListParagraph"/>
        <w:numPr>
          <w:ilvl w:val="0"/>
          <w:numId w:val="2"/>
        </w:numPr>
        <w:spacing w:after="60"/>
      </w:pPr>
      <w:r>
        <w:rPr>
          <w:b/>
        </w:rPr>
        <w:t xml:space="preserve">Precio que descuenta poco</w:t>
      </w:r>
      <w:r>
        <w:t xml:space="preserve">: el DCF inverso pide un 4,8 % de crecimiento anual, menos que el 5,7 % de 2021-2025.</w:t>
      </w:r>
    </w:p>
    <w:p>
      <w:pPr>
        <w:pStyle w:val="ListParagraph"/>
        <w:numPr>
          <w:ilvl w:val="0"/>
          <w:numId w:val="2"/>
        </w:numPr>
        <w:spacing w:after="60"/>
      </w:pPr>
      <w:r>
        <w:rPr>
          <w:b/>
        </w:rPr>
        <w:t xml:space="preserve">Múltiplo en mínimos</w:t>
      </w:r>
      <w:r>
        <w:t xml:space="preserve">: 15,3 veces el EBITDA de los últimos doce meses, un 42 % por debajo de su media de cinco años [51].</w:t>
      </w:r>
    </w:p>
    <w:p>
      <w:pPr>
        <w:pStyle w:val="ListParagraph"/>
        <w:numPr>
          <w:ilvl w:val="0"/>
          <w:numId w:val="2"/>
        </w:numPr>
        <w:spacing w:after="60"/>
      </w:pPr>
      <w:r>
        <w:rPr>
          <w:b/>
        </w:rPr>
        <w:t xml:space="preserve">Recompras</w:t>
      </w:r>
      <w:r>
        <w:t xml:space="preserve">: las acciones pasaron de 163,3 M en 2021 a 130,2 M; 1.900 M recomprados en el 1S26 a 186,32 USD [6].</w:t>
      </w:r>
    </w:p>
    <w:p>
      <w:pPr>
        <w:pStyle w:val="ListParagraph"/>
        <w:numPr>
          <w:ilvl w:val="0"/>
          <w:numId w:val="2"/>
        </w:numPr>
        <w:spacing w:after="60"/>
      </w:pPr>
      <w:r>
        <w:rPr>
          <w:b/>
        </w:rPr>
        <w:t xml:space="preserve">Gobierno sólido</w:t>
      </w:r>
      <w:r>
        <w:t xml:space="preserve">: presidente independiente, 10 de 11 consejeros independientes y sin accionista de control [32].</w:t>
      </w:r>
    </w:p>
    <w:p>
      <w:pPr>
        <w:pStyle w:val="Heading2"/>
      </w:pPr>
      <w:r>
        <w:t xml:space="preserve">En contra</w:t>
      </w:r>
    </w:p>
    <w:p>
      <w:pPr>
        <w:pStyle w:val="ListParagraph"/>
        <w:numPr>
          <w:ilvl w:val="0"/>
          <w:numId w:val="2"/>
        </w:numPr>
        <w:spacing w:after="60"/>
      </w:pPr>
      <w:r>
        <w:rPr>
          <w:b/>
        </w:rPr>
        <w:t xml:space="preserve">AccuLynx</w:t>
      </w:r>
      <w:r>
        <w:t xml:space="preserve">: un fallo de Delaware obliga a intentar cerrar una compra de 2.350 M; restamos 300 M de coste esperado [20, 37].</w:t>
      </w:r>
    </w:p>
    <w:p>
      <w:pPr>
        <w:pStyle w:val="ListParagraph"/>
        <w:numPr>
          <w:ilvl w:val="0"/>
          <w:numId w:val="2"/>
        </w:numPr>
        <w:spacing w:after="60"/>
      </w:pPr>
      <w:r>
        <w:rPr>
          <w:b/>
        </w:rPr>
        <w:t xml:space="preserve">Frenazo</w:t>
      </w:r>
      <w:r>
        <w:t xml:space="preserve">: el crecimiento orgánico bajó del 7,9 % del 1S25 al 4,7 % en el 1T26 y al 5,8 % en el 2T26 [6, 7].</w:t>
      </w:r>
    </w:p>
    <w:p>
      <w:pPr>
        <w:pStyle w:val="ListParagraph"/>
        <w:numPr>
          <w:ilvl w:val="0"/>
          <w:numId w:val="2"/>
        </w:numPr>
        <w:spacing w:after="60"/>
      </w:pPr>
      <w:r>
        <w:rPr>
          <w:b/>
        </w:rPr>
        <w:t xml:space="preserve">IA</w:t>
      </w:r>
      <w:r>
        <w:t xml:space="preserve">: los clientes grandes empiezan a construir sus propios modelos [16].</w:t>
      </w:r>
    </w:p>
    <w:p>
      <w:pPr>
        <w:pStyle w:val="ListParagraph"/>
        <w:numPr>
          <w:ilvl w:val="0"/>
          <w:numId w:val="2"/>
        </w:numPr>
        <w:spacing w:after="60"/>
      </w:pPr>
      <w:r>
        <w:rPr>
          <w:b/>
        </w:rPr>
        <w:t xml:space="preserve">Pérdida de cuota en los nichos que crecen</w:t>
      </w:r>
      <w:r>
        <w:t xml:space="preserve">: Moody's crece un 15 % en seguros frente al 6,9 % orgánico de Verisk [24].</w:t>
      </w:r>
    </w:p>
    <w:p>
      <w:pPr>
        <w:pStyle w:val="ListParagraph"/>
        <w:numPr>
          <w:ilvl w:val="0"/>
          <w:numId w:val="2"/>
        </w:numPr>
        <w:spacing w:after="60"/>
      </w:pPr>
      <w:r>
        <w:rPr>
          <w:b/>
        </w:rPr>
        <w:t xml:space="preserve">Rentabilidad modesta con nuestro WACC</w:t>
      </w:r>
      <w:r>
        <w:t xml:space="preserve">: 3,9 % total a 12 meses y asimetría de 1,31 veces.</w:t>
      </w:r>
    </w:p>
    <w:p>
      <w:pPr>
        <w:pStyle w:val="Heading2"/>
      </w:pPr>
      <w:r>
        <w:t xml:space="preserve">Qué tiene que pasar para que la tesis funcione</w:t>
      </w:r>
    </w:p>
    <w:p>
      <w:pPr>
        <w:spacing w:after="100"/>
      </w:pPr>
      <w:r>
        <w:t xml:space="preserve">La tesis depende de que la suscripción siga creciendo al 7-8 % mientras lo transaccional se recupera: es la prueba de que la IA no está erosionando los datos de Verisk. La señal de que no se cumple sería un crecimiento orgánico por debajo del 5 % en el 3T26 (5-nov) o en el 4T26, o una guía de 2027 por debajo del +6 %. La segunda condición es que el recurso de AccuLynx no termine en una compra con un sobreprecio grande.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 suscripción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 que la IA no erosiona los datos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 (OCC)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4,8 %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necesita +25-50 pb al año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 AccuLynx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Recurso ante el Supremo de Delaware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Confirmación del cumplimiento forzoso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esperado de 300 M en el puente [18].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AccuLynx pasaría a unas 3,5 veces y frenaría las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15,3x / 14,1x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27,3x / 22,0x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Verisk nace de Insurance Services Office (ISO), que empezó a operar en 1971 como asociación sin ánimo de lucro de aseguradoras para recoger estadísticas de primas y siniestros, informar a los reguladores y redactar formularios y costes de siniestralidad de referencia [1]. Desde 1997 pasó a la analítica: bases de siniestros y antifraude (AISG y activos del NICB, 1997-1998), modelos de catástrofes (AIR Worldwide, 2002) y valoración de reparaciones (Xactware, 2006) [22]. En 2008 ISO creó Verisk como sociedad holding, que salió a bolsa en el Nasdaq el 7 de octubre de 2009 [1]. Entre 2004 y 2015 se diversificó hacia salud, hipotecas, pagos y energía (Wood Mackenzie, 2.889,6 M USD en 2015) [22]. De 2014 a 2023 deshizo esa diversificación: vendió hipotecas, salud, 3E, Verisk Financial Services y, en febrero de 2023, Energy (3.066,4 M USD netos), y volvió a ser una empresa solo de seguros con un único segmento [1, 3]. La compra de AccuLynx (2.350 M USD) se firmó en julio de 2025 y Verisk la dio por terminada en diciembre; el pleito sigue abierto [1, 4,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ISO empieza a operar como organización asesora y de tarificación sin ánimo de lucro, propiedad de las aseguradoras de daños de EE. UU.; agente estadístico ante los reguladores estatales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American Insurance Services Group (AISG) y, en 1998, de activos del National Insurance Crime Bureau: origen de la base de siniestros y del negocio antifraude (hoy más de 1.900 millones de registros) [1,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AIR Worldwide, pionera de los modelos probabilísticos de catástrofes (hoy Extreme Event Solutions)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Xactware (Xactimate), programa de valoración de reparaciones de edificios para peritos y contratistas: base de la línea de Claims de propiedad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ISO pasa a ser filial de Verisk Analytics, que cotiza en el Nasdaq Global Select desde el 7 de octubre de 2009 (VRSK)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Wood Mackenzie (energía, química y minería) por 2.889,6 M USD en caja, financiada con 2.180 M USD de deuda; el apalancamiento sube de 1,57x a 2,89x deuda/EBITDA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negocio de analítica sanitaria (Verisk Health), tras la venta de hipotecas en 2014 por 155 M USD [1,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Desinversiones: 3E (salud y seguridad medioambiental) por 575 M USD en marzo y Verisk Financial Services a TransUnion por 498,3 M USD en abril; Lee Shavel sustituye a Scott Stephenson como primer ejecutivo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Energy (Wood Mackenzie) a Veritas Capital por 3.066,4 M USD netos más hasta 200 M de pago contingente: Verisk queda con un único segmento, Insurance [1,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(Simplitium, 19,7 M USD; SuranceBay) y venta de Verisk Marketing Solutions por 80 M USD el 31 de diciembre; acuerdo para comprar AccuLynx por 2.350 M USD (29 de julio), terminado por Verisk el 26 de diciembre al no haber concluido la FTC su revisión [1,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Pleito con AccuLynx en el Tribunal de Chancery de Delaware (juicio del 23 al 26 de junio); el 18 de agosto Verisk recurre ante el Tribunal Supremo de Delaware. Los bonos de 1.500 M USD emitidos para la compra se amortizaron anticipadamente [4,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Verisk vende datos, analítica y programas a la industria aseguradora, sobre todo a aseguradoras de daños (P&amp;C) de EE. UU.: en 2025 eran clientes las 100 mayores del país en las líneas que cubre y el 70 % de los ingresos vino de aseguradoras directas de daños estadounidenses [1]. Reporta un solo segmento con dos líneas. </w:t>
      </w:r>
      <w:r>
        <w:rPr>
          <w:b/>
        </w:rPr>
        <w:t xml:space="preserve">Underwriting</w:t>
      </w:r>
      <w:r>
        <w:t xml:space="preserve"> (2.179,9 M USD en 2025, el 71 %) incluye los formularios, reglas y costes de siniestralidad de ISO para 32 líneas de seguro, el servicio de agente estadístico en los 50 estados, datos de 143 millones de viviendas y 16,3 millones de inmuebles comerciales, los modelos de catástrofes (más de 120 países), vida (FAST) y software para el mercado especialista de Londres [1]. </w:t>
      </w:r>
      <w:r>
        <w:rPr>
          <w:b/>
        </w:rPr>
        <w:t xml:space="preserve">Claims</w:t>
      </w:r>
      <w:r>
        <w:t xml:space="preserve"> (892,8 M USD, el 29 %) incluye la base antifraude ClaimSearch, la valoración de reparaciones (Xactimate, con precios de 468 zonas económicas) y soluciones de daños personales y cumplimiento de Medicare [1]. Vende de forma directa, con los clientes en tres niveles. EE. UU. pesa el 82 %, Reino Unido el 8 % y el resto el 10 % [1]. Tiene unos 8.000 empleados, el 57 % en EE. UU. [1].</w:t>
      </w:r>
    </w:p>
    <w:p>
      <w:pPr>
        <w:pStyle w:val="Heading2"/>
      </w:pPr>
      <w:r>
        <w:t xml:space="preserve">Cómo gana dinero</w:t>
      </w:r>
    </w:p>
    <w:p>
      <w:pPr>
        <w:spacing w:after="100"/>
      </w:pPr>
      <w:r>
        <w:t xml:space="preserve">El 83 % de los ingresos de 2025 (81 % en 2024) son suscripciones alojadas de uno a cinco años, renovadas automáticamente y cobradas por adelantado, trimestral o anualmente; el resto son servicios transaccionales (consultas de datos por póliza) y consultoría [1]. Por eso trabaja con circulante negativo y cobra más caja en el primer trimestre, con poca estacionalidad en ingresos [1]. Parte de la facturación está ligada a las primas de daños de EE. UU. [1]. El crecimiento orgánico de Underwriting en 2025 (+8,1 %) vino de la subida anual de precios de formularios, reglas y costes de siniestralidad y de vender más módulos (catástrofes, especialidades, vida); Claims creció un 4,1 % (antifraude, valoración y daños personales) [1]. Los costes son sobre todo de personal, TI y datos: el coste de ventas creció un 3,7 % orgánico frente al 6,9 % de los ingresos, de ahí un margen operativo del 43,7 % (1.343,9 sobre 3.072,7 M USD, cálculo propio)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Underwriting (suscripción de riesgos)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Claims (siniestros)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Negocios vendidos (3E y Financial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Underwriting (suscripción de riesgos)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Claims (siniestros)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Negocios vendidos (3E y Financial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baja: los 50 primeros clientes suponen el 42 % de los ingresos de 2025 (43 % en 2024 y 45 % en 2023) y ninguno pasa del 3 % [1]. La dependencia es del sector, no de un cliente: el 70 % de los ingresos sale de aseguradoras de daños de EE. UU. y una caída de su actividad, o que dejen de aportar datos, toca a la vez la demanda y la materia prima [1]. Los contratos duran de uno a cinco años con renovación automática y los acuerdos de aportación de datos siguen vigentes salvo que el cliente se dé de baja, lo que según la empresa es raro [1]. El poder de precios se ve en las cuentas: la empresa atribuye el crecimiento de Underwriting de 2024 (+7,0 %) y 2025 (+8,1 % orgánico) sobre todo a la subida anual de precios de sus programas de ISO, mientras el coste de ventas orgánico subió solo un 2,1 % y un 3,7 % [1]. La propia empresa advierte de que las aseguradoras, aún reconstruyendo márgenes tras la inflación, gastan menos en captar pólizas nuevas, lo que frena los productos transaccionales de Underwriting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 de suscripción (OCC)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83 % de los ingresos en el 2T26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 transaccionales (OCC)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 meteorología severa y propiedad comercial blanda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a tipo constante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(2025, sin compras ni ventas)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frenó al 4,7 % en el 1T26 y al 5,8 % en el 2T26 [1, 6, 7,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56,0-56,5 % [6,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50 primeros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de contrato (ingresos diferidos)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446,2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Estacional: 573,9 M de ingresos diferidos a 30-jun-26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en I+D (dentro del coste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datos, analítica y programas de terceros que compran las aseguradoras de daños (y en menor medida las de vida y las reaseguradoras) para suscribir, tarificar, gestionar siniestros, detectar fraude y modelizar catástrofes, con EE. UU. como núcleo (82 % de los ingresos de Verisk) [1]. No hay estadística oficial. Los estudios de mercado de «insurance analytics» miden sobre todo programas y servicios de análisis: Research and Markets estima 12.700 M USD mundiales en 2023 [27] e IMARC 15.200 M USD en 2025 [28]. Ambos se quedan cortos para este perímetro: Research and Markets da 3.400 M USD a EE. UU. en 2023, menos de lo que facturaron allí solo Verisk (2.238 M) y la parte de seguros de LexisNexis Risk [1, 23, 27]. Usamos IMARC como referencia de tamaño mundial y lo contrastamos con una suma de los ingresos de seguros de los cuatro mayores proveedores cotizados, de unos 6.650 M USD en 2025 (estimación propia) [1, 23, 24,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15.200 M USD mundiales en 2025 según IMARC [28] (12.700 M USD en 2023 según Research and Markets [27]); la suma de los ingresos de seguros de Verisk, LexisNexis Risk, Moody's y CCC ronda los 6.650 M USD en 2025 (estimación propia) [1, 23, 24,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Primas de daños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la facturación de Verisk va ligada a las primas; según AM Best, las primas directas crecieron un 9,6 % en 2024 y un 5,1 % en los nueve primeros meses de 2025, tras el 10,4 % de 2023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por catástrofes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pérdidas aseguradas por catástrofes de 2020-2025 sumaron 483.100 M USD, más del doble que en 2014-2019 (235.100 M); los incendios de California de 2025 costaron unos 38.000 M USD [1]. Sube la demanda de modelos de catástrofes: los ingresos recurrentes de seguros de Moody's crecieron un 16 % en 2025 por suscripciones de modelos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la siniestralidad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gravedad media de los siniestros de daños personales en autos subió un 7 % en 2025 (un 26 % frente a 2021) y la de hogar un 30 % (71 % frente a 2021) según LexisNexis [23]; impulsa la valoración de reparaciones y el antifraude, pero las aseguradoras recortan gasto en captar pólizas nuevas y eso frena los productos transaccionales de suscripción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Fraude y automatización de siniestros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aseguradoras envían a Verisk más de 193.000 siniestros nuevos al día y su base antifraude supera los 1.900 millones de registros [1]; CCC creció un 11,9 % en 2025 con un 96 % de ingresos por suscripción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Migración a la nube 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Guidewire creció un 23 % en su ejercicio a julio de 2026 (1.475 M USD) por la nube [26]; CCC y Guidewire advierten de que la IA generativa y las grandes tecnológicas pueden permitir a las aseguradoras desarrollar internamente lo que hoy compran [25, 26].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proveedores de escala con nichos distintos: LexisNexis afirma que Verisk vende a las aseguradoras pero «en gran parte» para actividades distintas de las suyas [23]. Los márgenes lo confirman: 43,7 % operativo en Verisk y 37,4 % ajustado en LexisNexis Risk [1,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son grandes aseguradoras, pero ninguno pesa más del 3 % de los ingresos de Verisk y los 50 primeros el 42 % [1]; Verisk sube precios cada año en sus programas de ISO y crece en Underwriting un 8,1 % orgánico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clave es el propio cliente, que aporta los datos: si las aseguradoras dejan de contribuir se pierde la materia prima. Los acuerdos con terceros son a corto plazo y algunos proveedores son competidores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y de datos: licencia de organización asesora y agente estadístico en los 50 estados, unas 2.000 presentaciones anuales ante reguladores y 38.900 millones de registros históricos [1]. Las insurtech compiten en nichos de datos de inmuebles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hacerlo en casa: Verisk, CCC y Guidewire citan los desarrollos propios de las aseguradoras como su primer competidor, y la IA los abarata [1, 25, 26].</w:t>
            </w:r>
          </w:p>
        </w:tc>
      </w:tr>
    </w:tbl>
    <w:p>
      <w:pPr>
        <w:spacing w:after="160" w:before="0"/>
      </w:pPr>
    </w:p>
    <w:p>
      <w:pPr>
        <w:pStyle w:val="Heading2"/>
      </w:pPr>
      <w:r>
        <w:t xml:space="preserve">Ciclo</w:t>
      </w:r>
    </w:p>
    <w:p>
      <w:pPr>
        <w:spacing w:after="100"/>
      </w:pPr>
      <w:r>
        <w:t xml:space="preserve">El indicador es el crecimiento de las primas de daños en EE. UU. (AM Best): tocó fondo en 2009 (−3,1 %), bajó al 2,3 % en 2020 y se aceleró al 9,5-10,4 % en 2021-2024 por las subidas de tarifas tras la inflación; en los nueve primeros meses de 2025 se frenó al 5,1 % [1]. La demanda de Verisk es poco cíclica (83 % de suscripciones) y creció un 7,5 % en 2024 y un 6,6 % en 2025 [1]; lo que se resiente en la desaceleración son los productos transaccionales de suscripción y los ligados al volumen de siniestros por tormentas [1].</w:t>
      </w:r>
    </w:p>
    <w:p>
      <w:pPr>
        <w:pStyle w:val="Heading2"/>
      </w:pPr>
      <w:r>
        <w:t xml:space="preserve">Regulación</w:t>
      </w:r>
    </w:p>
    <w:p>
      <w:pPr>
        <w:spacing w:after="100"/>
      </w:pPr>
      <w:r>
        <w:t xml:space="preserve">En EE. UU. el seguro se regula por estados (McCarran-Ferguson): Verisk tiene licencia de organización de tarificación, asesora o estadística en los 50 estados, Puerto Rico, Guam, las Islas Vírgenes y el Distrito de Columbia, y sus programas, formularios y costes de siniestralidad necesitan revisión o aprobación de los reguladores estatales, que además la examinan periódicamente y aplican leyes antimonopolio estatales [1]. Los datos personales están sujetos a la Fair Credit Reporting Act, la Gramm-Leach-Bliley Act, la Drivers Privacy Protection Act, la CCPA y, en Europa, el RGPD [1]. El riesgo en tramitación es judicial: las demandas colectivas de 2024 por el uso de datos de conducción de vehículos conectados (GM-OnStar, Hyundai) contra Verisk y LexisNexis siguen consolidadas en el distrito norte de Georgia [1].</w:t>
      </w:r>
    </w:p>
    <w:p>
      <w:pPr>
        <w:pStyle w:val="Heading2"/>
      </w:pPr>
      <w:r>
        <w:t xml:space="preserve">Tendencias y disrupción</w:t>
      </w:r>
    </w:p>
    <w:p>
      <w:pPr>
        <w:spacing w:after="100"/>
      </w:pPr>
      <w:r>
        <w:t xml:space="preserve">Tres tendencias. Primera, la nube y la IA: Verisk cerró sus centros de datos propios en 2023-2024, ya usa IA generativa en la evaluación de daños y la lectura de historiales médicos, y presenta la IA como palanca de márgenes (objetivo de +25-75 puntos básicos de margen EBITDA ajustado al año) [1, 31]; el riesgo es que la IA abarate los desarrollos internos de las aseguradoras [25, 26]. Segunda, la gravedad de siniestros y catástrofes, que eleva la demanda de modelos (Moody's: seguros +15 % en 2025) y de valoración de reparaciones [23, 24]. Tercera, la consolidación: Moody's compró RMS (2021), Praedicat y CAPE Analytics; LexisNexis añade bases contributivas; Verisk intentó entrar en el software de contratistas con AccuLynx [1, 23, 24]. Verisk gana con la primera y la segunda mientras conserve el acceso a los datos contributivos.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proveedor de datos y analítica para aseguradoras de daños en EE. UU. por ingresos (3.073 M USD en 2025, frente a unos 1.840 M USD de la parte de seguros de LexisNexis Risk) [1, 23]. La cuota del 20,2 % es una estimación propia sobre el mercado mundial de IMARC (3.072,7 sobre 15.200 M USD) [1, 28]; sobre la suma de los cuatro mayores proveedores cotizados (≈ 6.650 M USD) sería del 46 % (estimación propia). Lidera también formularios y costes de siniestralidad (ISO) y compite de tú a tú con Moody's RMS en modelos de catástrofes, campo del que se presenta como pionera [1,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 — LexisNexis Risk Solutions (segmento Risk)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 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Risk de RELX: 3.485 M GBP de ingresos en 2025 (+8 % subyacente) y 1.305 M GBP de beneficio operativo ajustado (37,4 %; margen ajustado, no GAAP) [23]; convertido a USD con el cambio medio de 2025 (1,3192 USD/GBP) [29]. Seguros es «alrededor del 40 %» de Risk (≈ 1.840 M USD, estimación propia): C.L.U.E., datos de conducción y de inmuebles, y benchmarking de mercado. Compite con Verisk en datos de suscripción de autos y hogar y en siniestros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 — Moody's Analytics (RMS, seguros)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Analytics ingresó 3.611 M USD en 2025 con margen operativo ajustado del 33,1 % [24]. La línea de seguros (RMS, modelos de catástrofes; Praedicat; CAPE Analytics) ingresó 685 M USD (+15 %; ARR de 649 M, +7 %) [24]: es el rival directo de Extreme Event Solutions (AIR) en modelos de catástrofes.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CCC Intelligent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CCCS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en la nube para siniestros de autos (talleres, peritación, recambios) y daños personales (EvolutionIQ): 1.057,0 M USD en 2025 (+11,9 %), 96 % suscripciones; beneficio operativo GAAP de 93,8 M USD (8,9 %, deprimido por amortización de intangibles y pagos en acciones) [25]. Compite con Verisk en analítica de siniestros de daños personales (casualty); no cita a Verisk por su nombre entre sus competidores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Guidewire Software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GWRE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centrales (pólizas, facturación, siniestros) para aseguradoras de daños: 1.475,4 M USD en el ejercicio a julio de 2026 (+23 %) y beneficio operativo GAAP de 149,9 M USD (10,2 %) [26]. Más socio que rival: no cita a Verisk entre sus competidores (sí a Duck Creek, Majesco, Sapiens) y vende datos y analítica en su plataforma, donde puede ganar terreno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Cotality (antes CoreLogic)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Dejó de cotizar el 3 de junio de 2021 y no publica cuentas [3]. Compite con Verisk en datos de inmuebles, costes de reconstrucción y valoración de daños de hogar (estimación propia, sin cifras verificables).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contributivos: las aseguradoras envían 3.600 millones de registros al año y más de 193.000 siniestros diarios, y cuantos más aportan mejor detecta el fraude y más fiables son los costes de siniestralidad que todos usan; los acuerdos siguen vigentes salvo baja, «rara» según la empresa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formularios y reglas de ISO están dentro de las pólizas y de las presentaciones ante 50 reguladores; el 83 % de los ingresos son suscripciones de uno a cinco años con renovación automática, y los 50 primeros clientes pesan un 42-45 % de forma estable en 2023-2025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organización asesora y agente estadístico en todos los estados, derechos de autor sobre el lenguaje de pólizas probado en tribunales (unas 2.000 sentencias revisadas al año), más de 600 marcas y patentes como la de Xactware Sketch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43,7 % en 2025 frente al 37,4 % ajustado de LexisNexis Risk, el 33,1 % ajustado de Moody's Analytics y el 8,9-10,2 % GAAP de CCC y Guidewire [1, 7, 8, 9, 10]; el coste de ventas orgánico creció un 3,7 % frente al 6,9 % de los ingresos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nicho que no admite muchos actores: unos costes de siniestralidad de referencia nacionales tienen sentido con una base de 38.900 millones de registros y 500 inspectores de campo; los rivales se reparten nichos distintos según LexisNexis [1, 7].</w:t>
            </w:r>
          </w:p>
        </w:tc>
      </w:tr>
    </w:tbl>
    <w:p>
      <w:pPr>
        <w:spacing w:after="160" w:before="0"/>
      </w:pPr>
    </w:p>
    <w:p>
      <w:pPr>
        <w:pStyle w:val="Heading2"/>
      </w:pPr>
      <w:r>
        <w:t xml:space="preserve">Amenazas</w:t>
      </w:r>
    </w:p>
    <w:p>
      <w:pPr>
        <w:spacing w:after="100"/>
      </w:pPr>
      <w:r>
        <w:t xml:space="preserve">Tres amenazas, de probabilidad baja a media. La IA generativa abarata que las grandes aseguradoras construyan sus propios modelos y que entren tecnológicas horizontales, como advierten CCC y Guidewire [25, 26]: probabilidad media a cinco años, sobre todo en analítica de siniestros, menos en formularios y costes regulados. La pérdida de acceso a datos por regulación de privacidad o por litigios como el de los datos de conducción de vehículos conectados [1]: baja, pero tocaría la materia prima. Y la presión de las aseguradoras sobre precios mientras reconstruyen márgenes, que ya frena los productos transaccionales [1]. El crecimiento más rápido de Moody's en seguros (+15 %) y de LexisNexis Risk (+8 % subyacente) frente al +6,9 % orgánico de Verisk en 2025 indica que no está ganando cuota en los nichos que crecen [1, 23, 24].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5,7 %</w:t>
      </w:r>
      <w:r>
        <w:t xml:space="preserve">, EBITDA </w:t>
      </w:r>
      <w:r>
        <w:rPr>
          <w:b/>
          <w:bCs/>
        </w:rPr>
        <w:t xml:space="preserve">7,3 %</w:t>
      </w:r>
      <w:r>
        <w:t xml:space="preserve">, BPA </w:t>
      </w:r>
      <w:r>
        <w:rPr>
          <w:b/>
          <w:bCs/>
        </w:rPr>
        <w:t xml:space="preserve">14,9 %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Serie de operaciones continuadas: 2021-2025 salen de la cuenta reexpresada sin Energy (Wood Mackenzie), discontinuada desde el 4T22 [1, 2, 3]. 2021 y 2022 aún llevan 3E y Financial Services (255,6 M y 60,0 M de ingresos), vendidas en 2022 sin tratarse como discontinuadas [2]. Sin ellas, el negocio de seguros pasó de 2.206,9 M en 2021 a 3.072,7 M en 2025 [1, 2]; el crecimiento sin compras ni ventas fue del 7,1 % en 2024 y del 6,9 % en 2025 [1, 12]. El EBIT de 2021 y 2022 está distorsionado por el deterioro de 134,0 M de Financial Services (2021) y la plusvalía neta de 354,2 M por las ventas de 2022 [3]. El resultado financiero de 2024 incluye 100,6 M de ganancia por el cobro de participaciones retenidas en ventas antiguas (salud, 2016, y 3E) [1]. En 2025 el coste de la deuda sube: 170,9 M de intereses netos, de ellos 18,9 M de costes de emisión de los bonos de AccuLynx imputados de golpe, más 15,0 M de prima de amortización anticipada [1]. El BPA y el beneficio neto son de operaciones continuadas.</w:t>
      </w:r>
    </w:p>
    <w:p>
      <w:pPr>
        <w:pStyle w:val="Heading2"/>
      </w:pPr>
      <w:r>
        <w:t xml:space="preserve">Ajustes y partidas no recurrentes</w:t>
      </w:r>
    </w:p>
    <w:p>
      <w:pPr>
        <w:spacing w:after="100"/>
      </w:pPr>
      <w:r>
        <w:t xml:space="preserve">El EBITDA del informe es EBIT + amortización del inmovilizado + amortización de intangibles (1.670,6 M en 2025). La empresa publica un EBITDA (beneficio + amortizaciones + intereses + impuestos, que incluye el resultado de inversiones: 1.668,9 M) y un EBITDA ajustado de 1.727,1 M en 2025 y 1.576,0 M en 2024 [8, 12]. La diferencia son ajustes de compras y ventas: comisiones de adquisición de AccuLynx (16,2 M en 2025 y 19,2 M en el 1S26, sobre todo honorarios legales del litigio), pérdida por ventas (19,5 M en 2025, 12,1 M en 2024), ajustes de earn-outs (7,3 M), deterioros de oficinas (2,3 M), reservas de litigios (38,2 M en 2023, 2,0 M en el 2T26) y la ganancia de 100,6 M de 2024 [6, 8, 12]. El ajustado </w:t>
      </w:r>
      <w:r>
        <w:rPr>
          <w:b/>
        </w:rPr>
        <w:t xml:space="preserve">no</w:t>
      </w:r>
      <w:r>
        <w:t xml:space="preserve"> descuenta la remuneración en acciones (54,2 M en 2025). Las partidas de compras, ventas y litigios se repiten casi todos los años: se han devuelto al EBITDA en no_recurrentes_en_ebitda, pero no deberían tratarse como excepcionales en la valoración. El LTM no es pro forma.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Las cifras trimestrales salen de las notas de resultados, los 10-Q y el XBRL de la SEC; el EBITDA es EBIT + amortizaciones, sin ajustes (el 4T24 y el 4T25 llevan pérdidas por ventas de negocios y costes de AccuLynx) [5, 6, 7, 8, 9, 10, 11, 12, 13, 14]. El crecimiento orgánico a tipo constante se frenó del 7,9 % del 1S25 al 4,7 % del 1T26 y al 5,8 % del 2T26 [6, 7, 10, 11]. En la conferencia del 1T26 la dirección atribuyó el frenazo a la parte transaccional (−6,1 % OCC, 16 % de los ingresos) por la falta de huracanes e incendios frente a un 1T25 inflado por Helene y Milton, y defendió la suscripción (+7 % sobre un +10,6 % del año anterior); situó el apalancamiento en 2,4 veces deuda/EBITDA ajustado tras la recompra acelerada de 1.500 M [15]. En la del 2T26 el tono pasó a «aceleración secuencial»: suscripción +8 %, transaccional −4,2 %, guía 2026 confirmada (3.190-3.240 M de ingresos y 1.790-1.830 M de EBITDA ajustado) y promesa de volver en el 2S a los objetivos del día del inversor, con cautela explícita sobre el transaccional del 3T (propiedad comercial blanda y meteorología) [6, 16]. Las preguntas se centraron en el ciclo blando del seguro, el riesgo y la oportunidad de la IA (conectores con Claude, protección de los datos frente a los modelos) y los volúmenes de propiedad comercial [16]. </w:t>
      </w:r>
      <w:r>
        <w:rPr>
          <w:b/>
        </w:rPr>
        <w:t xml:space="preserve">Nadie preguntó ni la dirección mencionó a AccuLynx</w:t>
      </w:r>
      <w:r>
        <w:t xml:space="preserve"> en ninguna de las dos conferencias, aunque el juicio se celebró del 23 al 26 de junio y los honorarios legales (18,7 M en el 2T26) explican la caída del beneficio neto [4, 6, 15,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Energy (Wood Mackenzie) reexpresada como discontinuada en la cuenta (10-K 2022 y 2023); en el balance figura como mantenida para la venta (3.539 M de activos) y los flujos la incluyen. Cuenta con 3E y Financial Services (255,6 M de ingresos), no discontinuadas.; 2022: Venta de 3E (11-mar-22, 575 M, plusvalía de 450,8 M) y de Verisk Financial Services (8-abr-22, 498,3 M): 60,0 M de ingresos en el año. Energy en balance como mantenida para la venta (3.091 M de activos) y dentro de los flujos.; 2023: Venta de Energy (Wood Mackenzie) el 1-feb-23 por 3.066,4 M netos: sale del balance; los flujos incluyen su enero y el cobro de la venta.; 2025: Venta de Verisk Marketing Solutions el 31-dic-25 (80 M; 68,0 M de ingresos en 2025): fuera del balance de cierre, dentro de la cuenta de 2025. Compra de SuranceBay (17-jul-25, 163,1 M). El balance de 2025 lleva 1.500 M de caja de bonos de AccuLynx amortizados en ene-26.).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patrimonio neto es casi nulo o negativo por las recompras: 2.816,5 M en 2021, 310,0 M en 2023, 100,1 M en 2024 y −1.189,0 M a 30-jun-26 tras 1.900 M de recompras en el 1S26 (autocartera de 12.301,7 M) [4, 6]. El circulante es negativo por los ingresos cobrados por adelantado (573,9 M de ingresos diferidos a junio de 2026). La deuda financiera bruta a 30-jun-26 es de 4.473,5 M contables (4.250 M de bonos + 250 M del préstamo a 364 días, que vence en feb-27), con 551,4 M de caja [4]. El balance de 2025 está inflado por 2.178,2 M de caja y 1.500 M de bonos de AccuLynx que se amortizaron en enero de 2026 [1, 4]: la deuda neta de cierre de 2025 no es representativa. 2021 y 2022 incluyen Energy como activos y pasivos mantenidos para la venta. El coste de la deuda (estimación propia) es intereses netos de 2025 (170,9 M, con 18,9 M extraordinarios) entre la deuda bruta media de 2025; sin los extraordinarios, ~3,9 %.</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4.521</w:t>
      </w:r>
      <w:r>
        <w:t xml:space="preserve">, conversión </w:t>
      </w:r>
      <w:r>
        <w:rPr>
          <w:b/>
          <w:bCs/>
        </w:rPr>
        <w:t xml:space="preserve">106 %</w:t>
      </w:r>
      <w:r>
        <w:t xml:space="preserve"> del beneficio neto; adquisiciones 1.030, dividendos 1.053, recompras 6.611.</w:t>
      </w:r>
    </w:p>
    <w:p>
      <w:pPr>
        <w:spacing w:after="100"/>
      </w:pPr>
      <w:r>
        <w:t xml:space="preserve">El estado de flujos </w:t>
      </w:r>
      <w:r>
        <w:rPr>
          <w:b/>
        </w:rPr>
        <w:t xml:space="preserve">no</w:t>
      </w:r>
      <w:r>
        <w:t xml:space="preserve"> se reexpresó por Energy: 2021, 2022 y enero de 2023 incluyen su caja [1, 2]. 2022 lleva además unos 310,8 M más de impuestos pagados por la plusvalía de 3E [2]. El flujo operativo de 2025 (1.436,0 M) está inflado por el cobro de intereses sobre los 1.500 M de AccuLynx en caja y por el calendario de impuestos (218,0 M pagados frente a 287,7 M en 2024) [1]; en el 1S26 fue de 756,4 M frente a 689,2 M [6]. El capex es casi todo software desarrollado internamente y equipos: 244,1 M (7,9 % de las ventas) en 2025, guía de 260-280 M en 2026, frente a 259,2 M de amortización del inmovilizado [1, 6]; la empresa no separa mantenimiento y crecimiento. Las recompras de 2023 incluyen 37,5 M liquidados después y las de 2024 una recompra acelerada de 1.050 M [1]. En el 1S26 se pagaron 1.571,9 M de recompras más 255,1 M pendientes de liquidar, financiados con deuda [6]. Los intereses pagados van en explotación (150,3 M en 2025).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Verisk desde 2001 y emitió opinión favorable sobre las cuentas y el control interno de 2025 [1]. La empresa capitaliza software de uso interno (es casi todo el capex: 244,1 M en 2025) y comisiones de venta, que amortiza en cinco años [1]: la amortización del inmovilizado subió un 11 % en 2025 por proyectos puestos en servicio [1]. La remuneración en acciones es baja para el sector: 54,2 M en 2025, el 1,8 % de las ventas y el 6 % del beneficio [1]. El EBITDA ajustado quita cada año partidas de compras, ventas y litigios (38,2 M de litigios en 2023, 16,2 M de honorarios de AccuLynx en 2025 y 19,2 M en el 1S26) que no son excepcionales en la práctica [6, 8, 12]. Los años 2021-2023 están llenos de ventas de negocios (deterioros de Financial Services por 207,7 M en 2021-2022, plusvalía de 3E de 450,8 M, pérdida de Energy de 131,1 M más 303,7 M de deterioro en discontinuadas) que distorsionan los indicadores de calidad del motor en esos años [2, 3]. El patrimonio neto casi nulo o negativo invalida el ROE y empuja el Altman Z por la recompra, no por deterioro operativo.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 de AccuLynx sin provisión tras un fallo adverso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Fallo de Delaware (ago-26) que obliga a intentar cerrar una compra de 2.350 M y a pagar costes; recurrido. El último 10-Q no estima pérdida [4, 18, 20].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recurrentes en el EBITDA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compras, ventas y litigios se excluyen casi todos los años [6, 8,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neto negativo por recompras financiadas con deuda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−1.189,0 M a 30-jun-26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software interno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~8 % de las ventas, casi todo software; la amortización ya lo iguala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Fecha imposible en el 10-Q del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nota de litigios dice que Verisk presentó una moción el «17 de octubre de 2026» en un documento de julio de 2026; probablemente es 2025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8,8 %.</w:t>
      </w:r>
    </w:p>
    <w:p>
      <w:pPr>
        <w:spacing w:after="100"/>
      </w:pPr>
      <w:r>
        <w:t xml:space="preserve">Verisk crea valor con holgura: su ROIC pasó del 13,3 % en 2021 al 37,5 % en 2025, frente a un WACC del 8,75 %. La subida no viene del margen (el EBIT pasó del 42,5 % al 45,2 % de las ventas) sino de la rotación: el capital invertido bajó de 6.045 M a 2.869 M al vender Energy en 2023 (3.066 M netos) y al devolver la caja con recompras de 6.611 M en 2021-2025, que llevaron el patrimonio a −1.189 M a 30-jun-2026 [1, 4]. Por eso el ROE (444 %) no significa nada y el ROIC incremental no es calculable con sentido: el capital baja mientras el beneficio sube. La rotación de 0,59 veces el capital invertido, sin existencias y con circulante negativo (−11,1 % de las ventas por la facturación anticipada), es la de un negocio de suscripciones. Frente a los comparables, solo MSCI (39,9 %) tiene un ROIC más alto; Moody's está en el 32,0 % y RELX en el 23,6 % [60, 61, 62, 63, 64, 65, 66, 67, 68, 69, 70, 71].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551,4 M + línea de crédito sindicada de 1.250 M sin disponer (se dispusieron 750 M en el 1T26 y se devolvieron con los bonos de febrero) [4, 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rPr>
          <w:b/>
        </w:rPr>
        <w:t xml:space="preserve">AccuLynx.</w:t>
      </w:r>
      <w:r>
        <w:t xml:space="preserve"> Verisk firmó en jul-25 la compra de AccuLynx por 2.350 M en efectivo y la dio por terminada el 26-dic-25 porque la FTC no había cerrado su revisión; amortizó al 101 % los 1.500 M de bonos emitidos para la compra (pérdida de 33,9 M) [1, 4, 21]. AccuLynx demandó por incumplimiento; tras el juicio de junio, el tribunal de Chancery de Delaware declaró inválida la terminación porque la «conducta deliberada» de Verisk causó el fallo de una condición, le ordenó intentar cerrar la compra y le condenó a pagar los costes directos con intereses [20]; Verisk discrepa [19] y recurrió al Supremo de Delaware el 18-ago-26 [18]. El 10-Q del 2T26, anterior al fallo, dice que no se puede estimar la pérdida y no registra provisión [4]. La compra sigue sujeta a la FTC [20]. </w:t>
      </w:r>
      <w:r>
        <w:rPr>
          <w:b/>
        </w:rPr>
        <w:t xml:space="preserve">Otros litigios</w:t>
      </w:r>
      <w:r>
        <w:t xml:space="preserve"> sin provisión ni estimación: telemática (GM, Hyundai), secretos comerciales de JPMorgan contra Argus (antigua filial) y una indemnización fiscal en Nepal del negocio de salud vendido en 2016 [4]. </w:t>
      </w:r>
      <w:r>
        <w:rPr>
          <w:b/>
        </w:rPr>
        <w:t xml:space="preserve">Covenants</w:t>
      </w:r>
      <w:r>
        <w:t xml:space="preserve">: cobertura de intereses ≥ 3,0x y deuda/EBITDA ≤ 3,75x (ampliable a 4,25-4,50x con una compra); en cumplimiento [4]. Pensiones: 10,3 M de pagos comprometidos [1].</w:t>
      </w:r>
    </w:p>
    <w:p>
      <w:pPr>
        <w:pStyle w:val="Heading1"/>
      </w:pPr>
      <w:r>
        <w:t xml:space="preserve">12. Asignación de capital</w:t>
      </w:r>
    </w:p>
    <w:p>
      <w:pPr>
        <w:pStyle w:val="Confianza"/>
        <w:spacing w:after="100"/>
      </w:pPr>
      <w:r>
        <w:t xml:space="preserve">Confianza: Media</w:t>
      </w:r>
    </w:p>
    <w:p>
      <w:pPr>
        <w:spacing w:after="100"/>
      </w:pPr>
      <w:r>
        <w:t xml:space="preserve">Dividendo trimestral de 0,50 USD en 2026 (2,00 USD al año, +11 % frente a 1,80), con subidas anuales: 1,16 USD en 2021, 1,24 en 2022, 1,36 en 2023 y 1,56 en 2024 [1, 2, 6]. En feb-26 el consejo elevó la autorización de recompras a 2.500 M [8]; en el 1S26 se ejecutaron 1.900 M (recompra acelerada de 1.500 M con 500 M de préstamo a 364 días, 750 M de la línea y 250 M de caja, más otra de 200 M en junio), con 8,5 M de acciones recibidas a 186,32 USD de media y 800 M de autorización pendiente [6, 17]. El objetivo de apalancamiento es de 2-3 veces deuda/EBITDA ajustado; la dirección se sitúa en la mitad del rango [16]. Las acciones en circulación bajaron de 154,7 M a cierre de 2022 a 130,1 M a 30-jun-26 [2,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AccuLynx (software de gestión para empresas de tejados)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de bonos (amortizados al 101 % en ene-26)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Terminada por Verisk el 26-dic-25 al no cerrar la FTC su revisión; el tribunal de Delaware declaró inválida la terminación y ordenó intentar cerrarla; recurrida [1, 18, 20].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SuranceBay (licencias y altas de agentes de vida y rentas)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Underwriting; sin deterioro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Simplitium (plataforma de modelos de terceros, de Nasdaq)</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catástrofes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Opta, Infutor, Data Driven Safety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Infutor formaba parte de Marketing Solutions, vendida con pérdida de 18,4 M en dic-25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Jornaya, Franco Signor, Whitespace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Jornaya también en Marketing Solutions, vendida en 2025 por 80 M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Wood Mackenzie (Energy)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 en los documentos leídos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Vendida en feb-23 por 3.066,4 M netos (hasta 200 M adicionales contingentes); 303,7 M de deterioro en 2022 y 131,1 M de pérdida en 2023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Argus (Verisk Financial Services)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de 134,0 M (2021) y 73,7 M (2022), y venta a TransUnion por 498,3 M con pérdida de 15,6 M; sigue generando litigio con JPMorgan [3, 4].</w:t>
            </w:r>
          </w:p>
        </w:tc>
      </w:tr>
    </w:tbl>
    <w:p>
      <w:pPr>
        <w:spacing w:after="160" w:before="0"/>
      </w:pPr>
    </w:p>
    <w:p>
      <w:pPr>
        <w:spacing w:after="100"/>
      </w:pPr>
      <w:r>
        <w:t xml:space="preserve">Entre 2021 y 2025 Verisk devolvió al accionista 6.611 M en recompras y 1.053 M en dividendos (estimación propia, suma de los flujos), financiados con las ventas de Energy, 3E y Financial Services (4.226 M) y con deuda [1, 2, 3]. La historia de compras grandes es mala: Wood Mackenzie y Argus acabaron en deterioros y ventas con pérdida, y Marketing Solutions (Jornaya, Infutor) se vendió en 2025 por 80 M. La dirección de Lee Shavel ha concentrado el grupo en seguros, pero el episodio de AccuLynx (2.350 M por un negocio fuera del núcleo, una terminación declarada inválida y una orden de cerrar la compra) reabre el riesgo de asignación de capital justo cuando el balance ya soporta 1.900 M de recompras del 1S26 con deuda.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M. Shavel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a Verisk como director financiero en noviembre de 2017, fue Group President desde febrero de 2021 y es CEO desde la junta de mayo de 2022 (President desde enero de 2023); antes fue director financiero de Nasdaq (2011-2016) y jefe de banca de inversión para instituciones financieras de Bank of America Merrill Lynch [32]. Bajo su mando Verisk se ha concentrado en seguros (venta de Energy y del negocio de marketing) y ha cumplido la guía anual de 2024 y 2025, con un margen de EBITDA ajustado que pasó del 54,7 % al 56,2 % [8, 12]; en contra, la compra de AccuLynx (2.350 M USD) que anunció en julio de 2025 y dio por terminada en diciembre acabó con un fallo en contra en agosto de 2026 [21, 36, 49]. Posee 247.549 acciones con derecho de voto o adquisición (incluye 146.559 opciones ejercitables), el 0,19 %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D. 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septiembre de 2022; fue además presidenta interina de la división Claims Solutions entre julio de 2025 y febrero de 2026 [32]. Viene de S&amp;P Global (CFO de las divisiones Ratings y Mobility y responsable de gestión de capital) y antes fue managing director en Goldman Sachs; es consejera de Motorola Solutions [32]. Ha dirigido la recapitalización de 2026 (ASR de 1.500 M USD más otro de 200 M USD, financiados con bonos de 1.000 M USD y préstamos) [4]. Posee 35.384 acciones (incluye 14.600 opciones ejercitables), el 0,03 %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Bruce Hansen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del consejo (Independent Board Chair)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2015 y presidente independiente desde mayo de 2022, cuando se separaron los cargos de presidente y CEO; se le renueva por periodos de un año [32]. Cofundador, presidente y CEO de ID Analytics (2002-2012) y antes presidente de HNC Software [32]. Posee 30.047 acciones (incluye 15.526 opciones y unidades diferidas), el 0,02 % [32]; vendió 4.671 acciones por 0,81 M USD en mayo-junio de 2026 dentro de un plan 10b5-1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Kathy Card Beckles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jurídica (Chief Legal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jurídica desde abril de 2021; además dirige gobierno corporativo, cumplimiento, auditoría interna y gestión de riesgos [32]. Antes fue General Counsel de Consumer Banking y de Tarjetas y Pagos de JPMorgan Chase [32]. Es la responsable del litigio con AccuLynx, que Verisk perdió en primera instancia [18, 36]. Posee 29.565 acciones (0,02 %) [32] y vendió 2.020 acciones por 0,39 M USD el 31 de julio de 2026, sin plan 10b5-1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 Negrete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 y director de sistemas (CIO) interino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CTO de la compañía, asumió de forma interina la dirección de sistemas el 3 de agosto de 2026 tras la salida de Nick Daffan, CIO desde julio de 2015 y artífice de la migración del mainframe a la nube, que pasa a asesor estratégico hasta fin de año con la indemnización del plan de alta dirección [32,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Sunita Holzer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recursos humanos (Chief Human Relations Officer), de salida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RR. HH. desde agosto de 2021, procedente de Realogy [32]. El 2 de septiembre de 2026 la empresa anunció su jubilación, con fecha por fijar cuando se nombre sucesor [39]. Posee 29.312 acciones (0,02 %) [32].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del Investor Day de 14-mar-2023: ingresos +6-8 % OCC anual, EBITDA ajustado +7-10 % OCC anual y BPA ajustado con crecimiento de dos dígitos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+8,7 % OCC (2.681 M USD), EBITDA ajustado +11,5 % OCC (1.434 M USD), BPA ajustado 5,71 USD (+14,0 %)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2.840-2.900 M USD; EBITDA ajustado 1.540-1.600 M USD; margen 54,0-55,0 %; BPA ajustado 6,30-6,60 USD [45]. Investor Day 2023: margen del 54-56 % en 2024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2.882 M USD (+7,1 % OCC); EBITDA ajustado 1.576 M USD (margen 54,7 %, +9,9 % OCC); BPA ajustado 6,64 USD (+16,3 %), por encima del rango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3.030-3.080 M USD; EBITDA ajustado 1.670-1.720 M USD; margen 55,0-55,8 %; BPA ajustado 6,80-7,10 USD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3.073 M USD (+6,6 % OCC); EBITDA ajustado 1.727 M USD (margen 56,2 %); BPA ajustado 7,16 USD, por encima del rango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2023-2025 (Investor Day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+6-8 % OCC y EBITDA ajustado +7-10 % OCC cada año; margen 54-56 % en 2024 y +25-75 pb en 2025; BPA ajustado con crecimiento de dos dígitos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OCC +8,7 %, +7,1 % y +6,6 %; EBITDA ajustado OCC +11,5 %, +9,9 % y +8,5 %; margen 54,7 % en 2024 y 56,2 % en 2025 (unos +150 pb); BPA ajustado +14,0 %, +16,3 % y +7,8 % (2025 por debajo de dos dígitos) [8, 12,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 (operación AccuLynx)</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AccuLynx por 2.350 M USD anunciada el 29-jul-2025, con cierre sujeto a la autorización antimonopolio (HSR)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se cerró: Verisk terminó el contrato el 26-dic-2025 al no llegar la autorización; el tribunal de Delaware declaró inválida la terminación en agosto de 2026 y Verisk ha recurrido [18, 21, 36].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Verisk no publicaba guía anual en sus notas de resultados hasta 2023 [48]. Desde entonces el historial es bueno: cumplió o superó la guía de 2024 y 2025 y los objetivos de crecimiento del Investor Day de 2023, salvo el BPA ajustado de 2025 (+7,8 %, sin llegar a dos dígitos) [8, 12, 45, 46, 47]. La guía de 2026 (ingresos 3.190-3.240 M USD, BPA ajustado 7,45-7,75 USD) se mantuvo sin cambios en julio [8, 46], y el Investor Day de marzo de 2026 repitió los objetivos a tres años (ingresos +6-8 % OCC, EBITDA ajustado +7-10 % OCC, +25-75 pb de margen al año, BPA de dos dígitos) y añadió devolver al menos el 75 % del flujo libre [31]. La credibilidad se resiente por AccuLynx: la dirección firmó una compra de 2.350 M USD, la abandonó amparándose en la fecha límite y un tribunal concluyó que no podía hacerlo [21, 36, 37]. El núcleo es estable (CEO y CFO desde 2022, ambos procedentes de la casa o de S&amp;P), pero en 2026 han salido el CIO de más de veinte años y la jefa de RR. HH. [38, 39]. Shavel (58 años) pasó de CFO a CEO; Mann ya ha dirigido una división de forma interina, pero el proxy no identifica un sucesor ni detalla el plan de sucesión [32].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Bruce Hansen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M. Shavel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Dailey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Talento y Retribuciones (presidente), Riesgos,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Gregory Hendrick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e Inversiones, Talento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Samuel G. Liss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Sostenibilidad y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Pradip K. Patiath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Elegido en la junta de mayo de 2026; comisiones no publicadas en el proxy</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J. Perry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e Inversiones, Talento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Sabra R. Purtill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 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Olumide Soroye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e Inversiones (presidente), Riesgos,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Kimberly S. Stevenson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Sostenibilidad y Nombramientos; Riesgos (presidenta);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Therese M. Vaughan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Sostenibilidad y Nombramientos; 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0,77 / ventas 6,90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 / 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12,3 % según el 13G/A de 31-oct-2025 recogido en el proxy [32]; tras la reorganización de Vanguard, The Vanguard Group declaró un 0 % el 27-mar-2026 [42] y Vanguard Capital Management un 7,53 % a 31-mar-2026 [41] (el resto se habría traspasado a otra entidad del grupo sin 13G propio sobre VRSK).</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10.954.427 acciones según su 13G/A de 16-jul-2025 [32]; sin presentaciones posteriores en EDGAR.</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AllianceBernstein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5 % (5,2 %) a 31-mar-2026 [43] y bajó al 4,6 % a 30-jun-2026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681.324 acciones a 27-feb-2026, incluidas opciones ejercitables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413.866.822 acciones en tesorería a 30-jun-2026 frente a 130.136.216 en circulación (544,0 M emitidas): la autocartera es el 76 % de lo emitido y no vota; creció en 8,26 M de acciones en el semestre por los ASR de 1.500 y 200 M USD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Lee M. Shavel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 M. Shavel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 M. Shavel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Kathy Card Beckles (directora jurídica)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 M. Shavel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Samuel G. Liss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Samuel G. Liss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Bruce Hansen (presidente),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Bruce Hansen (presidente),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Christopher J. Perry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Kimberly S. Stevenson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Gregory Hendrick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 M. Shavel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Lee M. Shavel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Elizabeth D. Mann (CFO),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Jeffrey Dailey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Sabra R. Purtill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Gregory Hendrick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del CEO tiene un objetivo del 150 % del salario (1,5 M USD) y depende en un 40 % de los ingresos, un 40 % del EBITDA ajustado y un 20 % de objetivos individuales; en 2025 los ingresos computables (3.024 M USD) quedaron por debajo del objetivo de 3.038 M USD (95 %) y el EBITDA ajustado (1.699 M USD) lo superó (105 %), con un pago del 100 % [32]. El largo plazo, el 81 % del total de Shavel, se reparte entre acciones de rendimiento por TSR relativo frente al S&amp;P 500 (40 %), por ROIC absoluto medio a tres años (20 %, introducido en 2025 para disciplinar las grandes adquisiciones), acciones restringidas (20 %) y opciones (20 %) [32]. Hay recuperación (clawback) obligatoria por reformulación y discrecional por mala conducta [32]. La indemnización del CEO es de 24 meses de salario más dos veces el bonus objetivo; la de los demás, 18 meses [32]. El voto en contra no pasó del 6 % en las tres últimas juntas [33, 34, 35].</w:t>
      </w:r>
    </w:p>
    <w:p>
      <w:pPr>
        <w:pStyle w:val="Heading2"/>
      </w:pPr>
      <w:r>
        <w:t xml:space="preserve">Operaciones vinculadas, estructura de control y defensas</w:t>
      </w:r>
    </w:p>
    <w:p>
      <w:pPr>
        <w:spacing w:after="100"/>
      </w:pPr>
      <w:r>
        <w:t xml:space="preserve">No hay accionista de control: los mayores son gestoras pasivas (Vanguard, 12,3 % en el proxy; BlackRock, 7,8 %) y el consejo y la dirección suman un 0,52 % [32]. Una sola clase de acciones, un voto por acción, elección anual de todos los consejeros por mayoría, acceso al proxy, sin píldora venenosa y, desde la junta de 2025, mayorías simples en lugar de reforzadas y derecho a convocar juntas extraordinarias con un 25 % del capital [32, 34]. En la junta de 2026 los accionistas aprobaron, contra el criterio del consejo, una propuesta para poder actuar por consentimiento escrito (59,4 M de votos a favor frente a 52,1 M en contra) [33]. Las operaciones vinculadas son menores: 3,3 M USD de ingresos de Vantage Group (cuyo CEO es el consejero Hendrick) y 0,5 M USD pagados a Broadridge (presidida por el consejero Perry) [32].</w:t>
      </w:r>
    </w:p>
    <w:p>
      <w:pPr>
        <w:pStyle w:val="Heading2"/>
      </w:pPr>
      <w:r>
        <w:t xml:space="preserve">Señales de alerta</w:t>
      </w:r>
    </w:p>
    <w:p>
      <w:pPr>
        <w:pStyle w:val="ListParagraph"/>
        <w:numPr>
          <w:ilvl w:val="0"/>
          <w:numId w:val="2"/>
        </w:numPr>
        <w:spacing w:after="60"/>
      </w:pPr>
      <w:r>
        <w:t xml:space="preserve">Litigio AccuLynx: el viernes 7-ago-2026 la Court of Chancery de Delaware falló por completo a favor de AccuLynx: declaró inválida la terminación del contrato de compra (2.350 M USD) y ordenó el cumplimiento forzoso (seguir con la operación, incluida la autorización de la FTC) más 3,85 M USD de daños con intereses [36, 37]. Verisk dijo discrepar del fallo [19] y recurrió ante el Supremo de Delaware el 18-ago-2026 [18]. El 10-Q de 2T26, anterior al fallo, no dota provisión y dice que no puede estimar la pérdida posible hasta la decisión del tribunal [4].</w:t>
      </w:r>
    </w:p>
    <w:p>
      <w:pPr>
        <w:pStyle w:val="ListParagraph"/>
        <w:numPr>
          <w:ilvl w:val="0"/>
          <w:numId w:val="2"/>
        </w:numPr>
        <w:spacing w:after="60"/>
      </w:pPr>
      <w:r>
        <w:t xml:space="preserve">Coste de AccuLynx ya incurrido: 33,9 M USD por la amortización anticipada al 101 % de los bonos de 1.500 M USD emitidos para la compra (4T25) y honorarios jurídicos que restaron margen de EBITDA en 2T26 (54,2 % frente a 57,7 %) [4].</w:t>
      </w:r>
    </w:p>
    <w:p>
      <w:pPr>
        <w:pStyle w:val="ListParagraph"/>
        <w:numPr>
          <w:ilvl w:val="0"/>
          <w:numId w:val="2"/>
        </w:numPr>
        <w:spacing w:after="60"/>
      </w:pPr>
      <w:r>
        <w:t xml:space="preserve">Rotación en la alta dirección en 2026: salida del CIO Nick Daffan (más de 20 años en la casa) el 3-ago-2026, con un CIO interino [38], y jubilación anunciada de la jefa de RR. HH. sin sucesor [39].</w:t>
      </w:r>
    </w:p>
    <w:p>
      <w:pPr>
        <w:pStyle w:val="ListParagraph"/>
        <w:numPr>
          <w:ilvl w:val="0"/>
          <w:numId w:val="2"/>
        </w:numPr>
        <w:spacing w:after="60"/>
      </w:pPr>
      <w:r>
        <w:t xml:space="preserve">Ventas de directivos (6,98 M USD en 12 meses, el 65 % con plan 10b5-1) frente a compras de consejeros (0,76 M USD); el consejero Liss vendió 2,05 M USD fuera de plan en junio de 2026 [40].</w:t>
      </w:r>
    </w:p>
    <w:p>
      <w:pPr>
        <w:pStyle w:val="ListParagraph"/>
        <w:numPr>
          <w:ilvl w:val="0"/>
          <w:numId w:val="2"/>
        </w:numPr>
        <w:spacing w:after="60"/>
      </w:pPr>
      <w:r>
        <w:t xml:space="preserve">Votos de protesta en la junta de 2026: Liss, presidente de la comisión de Nombramientos y Gobierno, recibió un 12,9 % en contra, y prosperó la propuesta de consentimiento escrito que el consejo rechazaba [33].</w:t>
      </w:r>
    </w:p>
    <w:p>
      <w:pPr>
        <w:pStyle w:val="ListParagraph"/>
        <w:numPr>
          <w:ilvl w:val="0"/>
          <w:numId w:val="2"/>
        </w:numPr>
        <w:spacing w:after="60"/>
      </w:pPr>
      <w:r>
        <w:t xml:space="preserve">Contingencia heredada: Verisk indemnizó a TransUnion por el acuerdo de 37 M USD con el Departamento de Justicia (marzo de 2024) relativo al antiguo negocio de servicios financieros [50].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reiterada sin cambios el 29-jul-2026 con los resultados del 2T26 [6]: ingresos de 3.190-3.240 M USD, EBITDA ajustado de 1.790-1.830 M (margen del 56,0-56,5 %), BPA diluido ajustado de 7,45-7,75 USD, tipo impositivo del 23-26 %, capex de 260-280 M, amortización de inmovilizado de 270-290 M, de intangibles 60 M, gasto financiero de 190-200 M y dividendo de 2,00 USD por acción. En el 2T26 los ingresos crecieron un 5,8 % orgánico a tipo constante, con un 8,0 % en suscripciones, y la dirección espera que en el segundo semestre el crecimiento vuelva a los objetivos de su día del inversor [6]. La guía no incluye AccuLynx: en agosto de 2026 el Tribunal de Cancillería de Delaware ordenó a Verisk seguir con la compra (2.350 M en efectivo) y Verisk recurrió el 18-ago [18, 19, 21, 36]. Los resultados del 3T26 se publican el 5-nov-2026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 analistas; BPA GAAP diluido (el ajustado de Stock Analysis es 7,71) [52,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 analistas; BPA GAAP diluido (el ajustado de Stock Analysis es 8,70) [52,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 analistas; BPA GAAP diluido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8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195,00 – 260,00</w:t>
            </w:r>
          </w:p>
        </w:tc>
      </w:tr>
    </w:tbl>
    <w:p>
      <w:pPr>
        <w:spacing w:after="160" w:before="0"/>
      </w:pPr>
    </w:p>
    <w:p>
      <w:pPr>
        <w:pStyle w:val="Heading2"/>
      </w:pPr>
      <w:r>
        <w:t xml:space="preserve">Revisiones de estimaciones</w:t>
      </w:r>
    </w:p>
    <w:p>
      <w:pPr>
        <w:spacing w:after="100"/>
      </w:pPr>
      <w:r>
        <w:t xml:space="preserve">Solo MarketScreener da estimaciones completas a tres años [52]; Stock Analysis (datos de S&amp;P Global) sirve de contraste: los mismos 19 analistas y el mismo precio objetivo medio, 230,94 USD (mediana de 230; de 195 a 260), un 30 % sobre el cierre del 9-oct [53, 56]. En octubre, 7 recomiendan compra fuerte, 4 compra y 8 mantener, ninguno vender [53]. Ninguna de las dos publica la evolución de las estimaciones a 3 y 12 meses. Lo que sí consta: la guía de 2026 no se ha movido (reiterada el 29-jul) y el consenso de 2026 está en su centro, con 3.220 M de ingresos y 1.815 M de EBITDA [6, 52]. El BPA de MarketScreener es el GAAP diluido (2025: 6,48 USD, el de las cuentas) [14, 52]; el ajustado de la empresa excluye la amortización de intangibles y otras partidas, y sale unos 0,5 USD más alto.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bl>
    <w:p>
      <w:pPr>
        <w:spacing w:after="160" w:before="0"/>
      </w:pPr>
    </w:p>
    <w:p>
      <w:pPr>
        <w:spacing w:after="100"/>
      </w:pPr>
      <w:r>
        <w:t xml:space="preserve">Rentabilidad total frente al SPY (S&amp;P 500) y al XLI (industriales del S&amp;P 500, el sector GICS de Verisk) [51]. Verisk batió al mercado de 2018 a 2020 y desde entonces se ha quedado muy atrás: −26,2 % en un año frente a +20,5 % del índice, y −9,6 % anual en tres años frente a +23,0 %. La caída máxima, −50,8 %, va del 4-jun-2025 al 14-may-2026 [51]. Los golpes tienen fecha: −6,1 % el 16-oct-2025, −10,4 % el 29-oct-2025 (resultados del 3T25), −10,1 % el 3-feb-2026, −6,0 % el 30-jul-2026 (tras los resultados del 2T26) y −5,5 % el 10-ago-2026, el día en que Verisk respondió al fallo de Delaware que la obliga a seguir con la compra de AccuLynx [19, 51]. Desde el mínimo del 14-may (155,94) ha recuperado un 14 %. La volatilidad de un año, 36,7 %, es la de un valor en revisión, no la de un negocio de suscripción. La posición corta, 3,21 % de las acciones, es de Stock Analysis (datos de la bolsa, no un registro oficial) [54].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Verisk cotiza a 15,3 veces su EBITDA de los últimos doce meses y a 27,3 veces su beneficio, un 42 % y un 34 % por debajo de su media de 2021-2025 (26,4 y 41,4 veces) y por debajo del mínimo de esos cinco cierres (19,8 veces) [51]. La compresión tiene tres causas: el bono a 10 años al 5,24 % [57], el frenazo del crecimiento orgánico del 7,9 % del 1S25 al 4,7-5,8 % de 2026 [6, 7] y la incertidumbre de AccuLynx desde el fallo de agosto [19, 20]. Los precios de cierre son de Yahoo ajustados por dividendos [51], y los de 2021-2022 corresponden a un perímetro con Energy, así que la media está algo inflada frente a hoy.</w:t>
      </w:r>
    </w:p>
    <w:p>
      <w:pPr>
        <w:pStyle w:val="Heading1"/>
      </w:pPr>
      <w:r>
        <w:t xml:space="preserve">18. Comparables cotizados</w:t>
      </w:r>
    </w:p>
    <w:p>
      <w:pPr>
        <w:pStyle w:val="Confianza"/>
        <w:spacing w:after="100"/>
      </w:pPr>
      <w:r>
        <w:t xml:space="preserve">Confianza: Media</w:t>
      </w:r>
    </w:p>
    <w:p>
      <w:pPr>
        <w:spacing w:after="100"/>
      </w:pPr>
      <w:r>
        <w:t xml:space="preserve">Ocho cotizadas de datos propios por suscripción con márgenes altos. Moody's (con RMS, modelos de catástrofes para aseguradoras) es el rival más directo de Verisk en riesgo de seguros; S&amp;P Global, MSCI y FactSet comparten el modelo de datos e índices; Thomson Reuters y RELX (con LexisNexis Risk, que compite en datos de siniestros y suscripción de seguros), información profesional; Equifax y TransUnion, datos de riesgo con exposición a aseguradoras. Fuera: CCC Intelligent Solutions (en conversaciones de venta, cotización distorsionada) y Guidewire (software con EBITDA que excluye la remuneración en acciones). Moody's, MSCI, Thomson Reuters y FactSet salen de la nota de S&amp;P Global del mismo día y S&amp;P Global y RELX de la de Gartner, todas con el cierre del 9-oct-2026 y MarketScreener más Stock Analysis [60, 61, 62, 63, 64, 65, 66, 67]; no se han vuelto a descargar. Equifax y TransUnion se recalculan a 9-oct [68, 69, 70,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TransUnion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13,2x / 16,7x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14,7x / 17,8x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 / 21,4x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 / 5,9x / 9,3x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15,6 + -0,23 × crecimiento; R² = 0,03. El crecimiento explica poco los múltiplos de estos comparables (R² &lt; 0,3): la regresión no se usa en la valoración.</w:t>
      </w:r>
    </w:p>
    <w:p>
      <w:pPr>
        <w:spacing w:after="100"/>
      </w:pPr>
      <w:r>
        <w:t xml:space="preserve">Verisk cotiza a 14,1 veces el EBITDA de los próximos doce meses y a 22,0 veces su beneficio, casi en la mediana del grupo (13,2 y 21,4 veces) [60, 61, 62, 63, 64, 65, 66, 67, 68, 69, 70, 71]. Con la mediana, el valor por acción sería 164,09 USD por EV/EBITDA y 172,92 por PER (168,51 de media, un 5,1 % por debajo del precio). La mediana nos parece exigente para la calidad de Verisk: tiene el segundo margen EBITDA (56,4 %, solo por detrás de MSCI) y el segundo ROIC (37,5 %), pero crece algo menos (6,2 % frente a 7,3 % de Moody's y 10,2 % de MSCI). Los dos burós de crédito (Equifax y TransUnion, 9-10 veces) bajan la mediana con un ROIC de un dígito; sin ellos la mediana sube a 14,8 veces. El crecimiento no explica los múltiplos del grupo (R² 0,03), así que usamos la mediana y no la regresión, con un peso del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AccuLynx (ExactLogix)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Verisk Analytics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para contratistas de tejados y reparaciones, 2.350 M en efectivo [21, 72]. Verisk dio por terminado el acuerdo el 26-dic-2025 al no llegar la autorización de la FTC; en agosto de 2026 el Tribunal de Cancillería de Delaware le ordenó cumplirlo y pagar 3,85 M más intereses de daños, y Verisk ha recurrido [18, 19, 36]. No se publicaron ingresos ni EBITDA del objetivo.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9,15 USD por acción; 7.700 M con deuda y 4.100 M de capital [73]. Múltiplos sobre ventas (2.381,7 M) y EBITDA ajustado (926,6 M) de 2024 [74]. Datos comerciales con crecimiento orgánico bajo.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Duck Creek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Equity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pólizas y siniestros para aseguradoras, 19,00 USD por acción en efectivo: unos 2.600 M de capital y un 46 % sobre el cierre del 6-ene-2023 [75]. Valor empresa, estimación propia: 2.600 M menos 263,9 M de caja e inversiones a corto a 30-nov-2022, sin deuda; ventas del ejercicio a agosto de 2022, 302,9 M [76]. Pérdida operativa: sin múltiplo de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energía de Verisk (Wood Mackenzie)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por 3.100 M más hasta 200 M contingentes; cerrada el 1-feb-2023 [3]. Múltiplos, estimación propia sobre 2022: ingresos de 537,3 M y EBITDA de 212,7 M (ingresos menos coste de ventas y gastos generales, antes del deterioro de 303,7 M)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Neustar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TransUnion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3.100 M en efectivo por un negocio con 575 M de ingresos y 115 M de EBITDA ajustado esperados en 2021 [77]. El múltiplo de EBITDA paga sinergias que el comunicado no cuantifica.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 (Risk Management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Modelos de catástrofes naturales para aseguradoras y reaseguradoras, comprado a DMGT por unos 2.000 M; ingresos esperados de unos 320 M y beneficio operativo ajustado de unos 55 M en el ejercicio a sep-2021 (unas 36 veces) [78]. Es el activo más parecido a la parte de catástrofes de Verisk. No se publicó el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ProQuest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Clarivate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5.300 M con la refinanciación de la deuda; ProQuest facturó 876 M en 2020 con 250 M de EBITDA ajustado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en acciones; valor empresa de 44.000 M con 4.800 M de deuda neta [80]. Múltiplos sobre ingresos (4.287,8 M) y EBITDA ajustado (1.836,7 M) del ejercicio a nov-2020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21,2x (14,6x – 24,0x)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167,46 – 295,04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Los activos de datos y analítica para seguros se han pagado a 6-8 veces las ventas (RMS, Duck Creek), y los de datos con crecimiento de dos cifras o grandes fusiones, a 21-27 veces el EBITDA (Neustar, ProQuest, IHS Markit), casi todos con tipos más bajos que hoy. Los negocios maduros, a 8-15 veces (Dun &amp; Bradstreet, Wood Mackenzie). La venta de Wood Mackenzie por Verisk a 14,6 veces el EBITDA marca lo que el capital privado paga por un negocio de datos con crecimiento bajo. Verisk, con unos 26.800 M de valor empresa, accionariado disperso (sin accionista de control) y un EV/EBITDA de los próximos 12 meses de unas 14 veces, es un objetivo posible por tamaño para el capital privado, pero ningún indicio publicado lo apunta.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ejercicio 2026 está casi cerrado (dos trimestres publicados y guía reiterada): +4,8 %, 3.220 M, el centro de la guía de 3.190-3.240 M y el consenso [6, 52]. El crecimiento publicado queda unos 2 puntos por debajo del orgánico porque 2025 incluye 68 M de Marketing Solutions, vendida [1]. Para 2027-2028 proyectamos +6,5 % y +6,8 %, la mitad baja del objetivo del día del inversor (+6-8 % orgánico) [31] y en línea con el consenso (3.437 y 3.668 M) [52]; la suscripción, el 83 % de los ingresos, crece un 8 % y lo transaccional cae [16]. Después bajamos medio punto al año hasta el 3,5 % de 2035: es el crecimiento de 2021-2025 (5,7 % anual) y no el del objetivo, porque el ciclo de primas del seguro se está frenando [1].</w:t>
      </w:r>
    </w:p>
    <w:p>
      <w:pPr>
        <w:keepNext/>
        <w:spacing w:after="100"/>
      </w:pPr>
      <w:r>
        <w:rPr>
          <w:b/>
          <w:bCs/>
        </w:rPr>
        <w:t xml:space="preserve">Márgenes.</w:t>
      </w:r>
    </w:p>
    <w:p>
      <w:pPr>
        <w:spacing w:after="100"/>
      </w:pPr>
      <w:r>
        <w:t xml:space="preserve">El margen EBITDA (sin partidas no recurrentes) fue del 52,6 % en 2021 y del 55,8 % en 2025, con unos 80 puntos básicos al año de mejora [1]. Para 2026 tomamos el 56,3 %, el centro de la guía de EBITDA ajustado (56,0-56,5 %), que no excluye la remuneración en acciones [6]. Después sumamos 25-50 puntos básicos al año, la parte baja del objetivo de +25-75 [31], hasta el 58,0 % de 2031, y lo mantenemos: por encima de Moody's y S&amp;P (51,1 %) y por debajo de MSCI (60,8 %) [60, 61, 62]. No proyectamos más expansión porque la dirección reinvierte en IA y en tecnología, y los costes de nube y de modelos suben con el uso.</w:t>
      </w:r>
    </w:p>
    <w:p>
      <w:pPr>
        <w:keepNext/>
        <w:spacing w:after="100"/>
      </w:pPr>
      <w:r>
        <w:rPr>
          <w:b/>
          <w:bCs/>
        </w:rPr>
        <w:t xml:space="preserve">Inversión y circulante.</w:t>
      </w:r>
    </w:p>
    <w:p>
      <w:pPr>
        <w:spacing w:after="100"/>
      </w:pPr>
      <w:r>
        <w:t xml:space="preserve">La guía de 2026 da capex de 260-280 M (8,4 % de las ventas) y amortizaciones de 330-350 M (10,9 %), con 60 M de intangibles de compras [6]. El capex de 2023-2025 fue del 7,8-8,6 % de las ventas [1]. Mantenemos el capex en el 8,4-8,5 % (desarrollo de software capitalizado, sobre todo) y llevamos la amortización del 10,9 % al 8,5 % en 2035, para que en el estado estacionario el capex iguale a la amortización. El circulante se queda en el −11,0 % de las ventas, la media de 2021-2025 (−9,1 % a −14,2 %): la facturación anticipada de las suscripciones financia el crecimiento. Tipo impositivo del 23,5 %, en el rango de la guía (23-26 %) y cerca del 22,5 % de 2025 [6].</w:t>
      </w:r>
    </w:p>
    <w:p>
      <w:pPr>
        <w:keepNext/>
        <w:spacing w:after="100"/>
      </w:pPr>
      <w:r>
        <w:rPr>
          <w:b/>
          <w:bCs/>
        </w:rPr>
        <w:t xml:space="preserve">Coste del capital.</w:t>
      </w:r>
    </w:p>
    <w:p>
      <w:pPr>
        <w:spacing w:after="100"/>
      </w:pPr>
      <w:r>
        <w:t xml:space="preserve">Tasa libre del 5,24 %, el bono del Tesoro a 10 años del 9-oct-2026 [57]. Beta de 0,79: la mensual de cinco años frente al SPY (0,69), ajustada hacia 1 [51]; descartamos la semanal de dos años (0,15) porque en ese periodo la acción se ha movido por AccuLynx y por sus resultados, no con el mercado. Prima de mercado del 5,5 %, sin prima adicional: vende en EE. UU. (82 % de los ingresos) y Reino Unido [1]. Coste de la deuda antes de impuestos del 5,8 % (estimación propia: bono a 10 años más 0,6 puntos de diferencial de un emisor con grado de inversión) y peso de la deuda del 16,2 % a valor de mercado [4]. Resulta un WACC del 8,75 % y un coste de los fondos propios del 9,59 %.</w:t>
      </w:r>
    </w:p>
    <w:p>
      <w:pPr>
        <w:keepNext/>
        <w:spacing w:after="100"/>
      </w:pPr>
      <w:r>
        <w:rPr>
          <w:b/>
          <w:bCs/>
        </w:rPr>
        <w:t xml:space="preserve">Valor terminal.</w:t>
      </w:r>
    </w:p>
    <w:p>
      <w:pPr>
        <w:spacing w:after="100"/>
      </w:pPr>
      <w:r>
        <w:t xml:space="preserve">Gordon con un crecimiento del 3,5 % nominal en USD: un 1 % real más una inflación del 2,5 %, entre la inflación esperada y la tasa libre menos medio punto (4,74 %). El valor terminal implica 13,0 veces el EBITDA de 2035, en la mediana de los comparables de hoy (13,2 veces el de los próximos doce meses) y muy por debajo de la mediana histórica de la propia Verisk (26,4 veces) [51]. El valor terminal pesa un 64 % del valor empresa. Con un terminal del 3,0 % el valor por acción baja a 175,42 USD; con el 4,0 %, sube a 203,55.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174,99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232,43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 M (-4 % del NOPAT)</w:t>
            </w:r>
          </w:p>
        </w:tc>
      </w:tr>
    </w:tbl>
    <w:p>
      <w:pPr>
        <w:spacing w:after="160" w:before="0"/>
      </w:pPr>
    </w:p>
    <w:p>
      <w:pPr>
        <w:spacing w:after="100"/>
      </w:pPr>
      <w:r>
        <w:t xml:space="preserve">La proyección apenas necesita inversión neta de la amortización (reinversión acumulada de -666 M, con un capex bruto medio del 8,4 % de las ventas). En un negocio de activos ligeros, el crecimiento medio del 5,4 %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la subida anual de las tarifas de formularios, reglas y costes de siniestralidad y de los modelos de catástrofes, que explica la mayor parte del crecimiento de Underwriting [6]. Volumen: soluciones nuevas a clientes actuales en antifraude y propiedad [6]. Otros: la venta de Marketing Solutions (−68 M, −2,2 puntos) y la compra de SuranceBay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en torno al 4 %, por debajo del +5,6 % orgánico de Underwriting en el 2T26 [6], porque las aseguradoras reconstruyen márgenes y negocian; volumen de nuevas soluciones (catástrofes, Xactimate, antifraude) y vuelta del transaccional a crecer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compras. El volumen sube algo con la recuperación del transaccional tras dos años de poca meteorología severa [15, 16]; el precio sigue ligado a la inflación de la siniestralidad.</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patrón: la suscripción (83 %) crece por precio y venta cruzada; la proyección queda en la mitad baja del objetivo del día del inversor (+6-8 %) [31].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Empieza la convergencia al terminal: menos venta cruzada nueva y precios algo por encima de la inflación.</w:t>
            </w:r>
          </w:p>
        </w:tc>
      </w:tr>
    </w:tbl>
    <w:p>
      <w:pPr>
        <w:spacing w:after="160" w:before="0"/>
      </w:pPr>
    </w:p>
    <w:p>
      <w:pPr>
        <w:spacing w:after="100"/>
      </w:pPr>
      <w:r>
        <w:rPr>
          <w:b/>
        </w:rPr>
        <w:t xml:space="preserve">Sí.</w:t>
      </w:r>
      <w:r>
        <w:t xml:space="preserve"> La proyección (5,4 % de crecimiento medio) no necesita capital: el capex se queda en el 8,4-8,5 % de las ventas, por debajo de la amortización hasta 2035, y el circulante negativo financia el crecimiento, de modo que la reinversión neta acumulada es negativa (−666 M). La prueba es entonces el poder de precios y la cuota. El precio lo ha demostrado: las subidas anuales de ISO y de los modelos de catástrofes sostienen un +5,6 % orgánico en Underwriting con volúmenes planos [6], el 83 % de los ingresos es suscripción y los 50 primeros clientes pesan un 42 % estable [1]. Proyectamos menos crecimiento (6,5-6,8 % en 2027-2028) que el 6,9 % orgánico de 2025 y que el objetivo del 6-8 %. No calculamos la cuota implícita porque el tamaño del mercado de los estudios (15.200 M) mide programas de análisis y no datos, y su perímetro no es el de Verisk [27, 28].</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55,6 % (base: 58,0 %)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(WACC: 8,8 %)</w:t>
            </w:r>
          </w:p>
        </w:tc>
      </w:tr>
    </w:tbl>
    <w:p>
      <w:pPr>
        <w:spacing w:after="160" w:before="0"/>
      </w:pPr>
    </w:p>
    <w:p>
      <w:pPr>
        <w:spacing w:after="100"/>
      </w:pPr>
      <w:r>
        <w:t xml:space="preserve">El DCF da 188,14 USD por acción, un 5,9 % sobre el precio de 177,63, con un WACC del 8,75 % y el valor terminal en el 64 % del valor. El DCF inverso dice que el precio descuenta un crecimiento del 4,8 % anual en 2027-2035 y un margen EBITDA del 55,6 %, frente al 5,5 % y el 58,0 % de nuestro caso base, o, dicho de otro modo, una rentabilidad anual del 9,0 % con nuestras cifras. No es una exigencia alta: es menos que el 5,7 % de 2021-2025 y que el 6-8 % que promete la dirección, y el margen implícito está por debajo del de 2025 (55,8 %). El precio ya descuenta un frenazo, pero no un deterioro. Lo que separa al precio de nuestro valor no es tanto la proyección (coincide con el consenso en 2026-2028 con diferencias del 0,1-0,3 %) como la tasa: con el bono al 5,24 % nuestro WACC es del 8,75 %, y con la prima que hoy pide el mercado (4,2 %) el WACC baja al 7,89 % y el DCF sube a 230,96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aseguradoras usan la IA para construir sus propios modelos de fraude y de siniestros y negocian a la baja las renovaciones; el ciclo de primas se enfría y el transaccional sigue cayendo, como en 2026 (−6,1 % en el 1T26). El crecimiento se queda en el 3-4 % y el margen deja de subir. Verisk pierde el recurso, cierra AccuLynx con sobreprecio y el apalancamiento sube a unas 3,5 veces.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6,5-6,8 % en 2027-2028, la mitad baja del objetivo, con la suscripción al 7-8 % y el transaccional estable; el margen gana 25-50 puntos básicos al año hasta el 58 %. AccuLynx se resuelve con un coste esperado de unos 300 M.</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refuerza el valor de los datos propios de Verisk (3.600 millones de registros al año) y acelera la venta de nuevas soluciones; el crecimiento se acerca al 8 % que logró en 2023-2024 y el margen sube hacia el 59 %. Gana el recurso de AccuLynx y sigue recomprando acciones.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77,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186,75 USD (+5,1 %).</w:t>
      </w:r>
    </w:p>
    <w:p>
      <w:pPr>
        <w:spacing w:after="100"/>
      </w:pPr>
      <w:r>
        <w:t xml:space="preserve">El alcista da 243,38 USD (+37,0 %) y el bajista 127,32 USD (−28,3 %): una asimetría de 1,31 veces con nuestro WACC, que no compensa del todo la pérdida, porque el bajista es verosímil (Verisk ya creció solo un 4,7 % orgánico en el 1T26 y el mercado le ha quitado un 42 % de múltiplo). Con la prima del mercado (4,2 %) la asimetría sube a 4,97 veces (305,68 frente a 151,85 USD). Damos un 25 % a cada extremo: el bajista no es improbable porque la IA es un riesgo de largo plazo y AccuLynx ya tiene un fallo en contra; el alcista tampoco, porque la guía se ha reiterado y la suscripción acelera.</w:t>
      </w:r>
    </w:p>
    <w:p>
      <w:pPr>
        <w:pStyle w:val="Heading1"/>
      </w:pPr>
      <w:r>
        <w:t xml:space="preserve">22. Suma de partes</w:t>
      </w:r>
    </w:p>
    <w:p>
      <w:pPr>
        <w:pStyle w:val="Confianza"/>
        <w:spacing w:after="100"/>
      </w:pPr>
      <w:r>
        <w:t xml:space="preserve">Confianza: Media</w:t>
      </w:r>
    </w:p>
    <w:p>
      <w:pPr>
        <w:spacing w:after="100"/>
      </w:pPr>
      <w:r>
        <w:t xml:space="preserve">No aplica: Verisk informa de un único segmento (Insurance), con dos líneas de ingresos (Underwriting y Claims) que comparten datos, clientes y márgenes, sin resultado por línea [1]. Tras vender Energy, 3E, Financial Services y Marketing Solutions es un negocio puro de datos para seguros.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77,6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182,74 USD (+2,9 % sobre 177,63).</w:t>
      </w:r>
    </w:p>
    <w:p>
      <w:pPr>
        <w:spacing w:after="100"/>
      </w:pPr>
      <w:r>
        <w:t xml:space="preserve">Pesamos el DCF un 40 % y los escenarios un 35 %, porque Verisk es un negocio estable de suscripciones cuyo valor depende de la duración del crecimiento, y los comparables un 25 %: el grupo es de buena calidad pero mezcla modelos distintos y no explica los múltiplos por el crecimiento. Las transacciones (257,04 USD por la mediana) pesan cero: llevan prima de control, la mayoría son de 2021, con tipos muy bajos, y no esperamos una oferta por Verisk. Los métodos se separan poco: DCF 188,14, escenarios 186,75 y comparables 168,51, con el precio dentro del rango. El puente (a 30-jun-2026) suma 4.473,5 M de deuda y 551,4 M de caja, y 223,1 M de participaciones a valor contable [4]. Añadimos en otros ajustes 300 M de coste esperado de AccuLynx (estimación propia, unos 2,30 USD por acción): un 50 % de probabilidad de que se confirme el cumplimiento forzoso por un sobreprecio de un 25 % sobre los 2.350 M, más costes legales [19, 20, 37]. Pagar la compra no cambia el puente si se paga lo que vale.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aceleración que prometió la dirección para el 2S (suscripción al 8 %) y de la cautela sobre el transaccional; primera actualización tras el fallo de AccuLynx [16, 55]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ingresos de 2027 queda dentro del +6-8 % orgánico, confirma nuestro caso base; por debajo, el bajista gana peso [31]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 fijada)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Tribunal Supremo de Delaware sobre AccuLynx</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confirma el cumplimiento forzoso, Verisk tendrá que intentar cerrar una compra de 2.350 M que quiso abandonar; si lo revoca, desaparece el coste esperado de unos 300 M [18,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FTC sobre la compra de AccuLynx</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FTC la bloquea, la condición falla sin culpa de Verisk y el caso se cierra a su favor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préstamo a plazo de 250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o devolución con caja; condiciona el ritmo de las recompras pendientes (800 M de autorización) [4,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Renovación anual de precios de formularios, reglas y costes de siniestralidad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Fija el crecimiento por precio de Underwriting en 2027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abarata que las aseguradoras construyan sus propios modelos de fraude, siniestros y suscripción, o que entren tecnológicas horizontales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aportados por los clientes que nadie más tiene (3.600 millones de registros al año) y formularios integrados en las pólizas y en las presentaciones ante 50 reguladores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suscripción por debajo del 6 % o bajas de clientes grandes [1,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AccuLynx: el Supremo de Delaware confirma el cumplimiento forzoso y Verisk paga 2.350 M por un negocio que quiso abandonar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ya descontado en el puente; −5 % si el sobreprecio llega a la mitad del precio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en curso; la compra sigue sujeta a la FTC; el fallo solo impuso 3,85 M de daños [18,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Fallo del Supremo de Delaware y decisión de la FTC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crecimiento con el ciclo blando del seguro: la parte transaccional (16 % de los ingresos) cae con poca meteorología severa y menos propiedad comercial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(un punto menos de crecimiento al año,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83 % de los ingresos es suscripción con contratos de uno a cinco años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por debajo del 5 % dos trimestres seguidos (1T26: 4,7 %) [7]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los nichos que crecen (catástrofes, telemática, siniestros) frente a Moody's RMS y LexisNexis Risk</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(estimación propia: medio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y costes de siniestralidad de referencia; margen operativo del 43,7 % frente al 33-37 % de los rivales [1, 23,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en seguros sigue creciendo al doble que Verisk (+15 % frente a +6,9 % en 2025) [24]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con patrimonio negativo y tipos altos: recompras financiadas con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con medio punto más de WACC (169,18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2,2 veces el EBITDA, vencimientos repartidos hasta 2050 y covenants holgados (≤ 3,75 veces)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3 veces el EBITDA (con AccuLynx, unas 3,5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privacidad y litigios por el uso de datos (telemática de vehículos conectados)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 sin provisión porque la empresa no puede estimar la pérdida; afectan a una línea pequeña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demandas colectivas o leyes estatales de privacidad que limiten los datos aportados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en tecnología y personas en plena transición a la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y CFO estables desde 2022; CIO interino con el responsable de tecnología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 del nuevo CIO y de la nueva jefa de RR. HH. [38, 39]</w:t>
            </w:r>
          </w:p>
        </w:tc>
      </w:tr>
    </w:tbl>
    <w:p>
      <w:pPr>
        <w:spacing w:after="160" w:before="0"/>
      </w:pPr>
    </w:p>
    <w:p>
      <w:pPr>
        <w:pStyle w:val="Heading2"/>
      </w:pPr>
      <w:r>
        <w:t xml:space="preserve">Pre-mortem</w:t>
      </w:r>
    </w:p>
    <w:p>
      <w:pPr>
        <w:spacing w:after="100"/>
      </w:pPr>
      <w:r>
        <w:t xml:space="preserve">Es octubre de 2029 y Verisk vale un 40 % menos. La historia más probable empieza en 2027: el Supremo de Delaware confirma el fallo, la FTC no se opone y Verisk cierra AccuLynx por 2.350 M con deuda nueva; el apalancamiento pasa de 2,2 a unas 3,5 veces y las recompras se paran. Al mismo tiempo, las grandes aseguradoras, que ya preguntaban por la IA en la conferencia del 2T26 [16], ponen en producción sus propios modelos de fraude y de estimación de siniestros sobre sus datos y negocian a la baja las renovaciones de 2027 y 2028. El crecimiento de la suscripción baja del 8 % al 4 %, el transaccional sigue cayendo y la dirección recorta el objetivo de +6-8 %. El margen deja de subir porque Verisk tiene que gastar más en nube y modelos. Con un crecimiento del 3-4 %, el mercado valora a Verisk como un proveedor maduro de información, a 11-12 veces el EBITDA, el múltiplo de FactSet hoy. El indicador que lo habría anticipado es el crecimiento de la suscripción: por debajo del 6 % durante dos trimestres. El segundo, la tasa de renovación de los 50 primeros clientes, que la empresa no publica.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(vía Saxo)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ESG 16,47, «bajo» (ambiental 0,17; social 13,01; gobierno 3,29)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r>
    </w:tbl>
    <w:p>
      <w:pPr>
        <w:spacing w:after="160" w:before="0"/>
      </w:pPr>
    </w:p>
    <w:p>
      <w:pPr>
        <w:pStyle w:val="Heading2"/>
      </w:pPr>
      <w:r>
        <w:t xml:space="preserve">Asuntos materiales</w:t>
      </w:r>
    </w:p>
    <w:p>
      <w:pPr>
        <w:spacing w:after="100"/>
      </w:pPr>
      <w:r>
        <w:t xml:space="preserve">El asunto material es el social: privacidad y seguridad de los datos, que explica 13,0 de los 16,5 puntos de riesgo de Sustainalytics [30]. Verisk custodia datos personales sujetos a la FCRA, la GLBA, la HIPAA, la CCPA y el RGPD, y su base antifraude busca coincidencias por número de la Seguridad Social, carné de conducir o matrícula [1]; una brecha o un cambio legal sobre el uso de esos datos golpearía a la vez los ingresos y la materia prima. El segundo es el clima, más oportunidad que coste: las pérdidas por catástrofes de 2020-2025 duplicaron las del sexenio anterior y alimentan la demanda de modelos y de valoración de daños [1]. El riesgo ambiental propio es mínimo (0,17 puntos) [30]. El tercero, la gobernanza de la IA en la tarificación y los siniestros, que los reguladores estatales revisan [1].</w:t>
      </w:r>
    </w:p>
    <w:p>
      <w:pPr>
        <w:pStyle w:val="Heading2"/>
      </w:pPr>
      <w:r>
        <w:t xml:space="preserve">Controversias</w:t>
      </w:r>
    </w:p>
    <w:p>
      <w:pPr>
        <w:spacing w:after="100"/>
      </w:pPr>
      <w:r>
        <w:t xml:space="preserve">No hay sanciones regulatorias publicadas en los tres últimos años. Litigios abiertos: demandas colectivas desde 2024 por compartir con aseguradoras datos de conducción de vehículos conectados de GM-OnStar y Hyundai sin consentimiento, ahora en el litigio consolidado de Georgia (Dinitz contra Verisk) [1]; el pleito con AccuLynx por la terminación de la compra, con juicio en junio de 2026 y recurso de Verisk ante el Supremo de Delaware el 18 de agosto [4, 18]; y una reclamación de indemnización de diciembre de 2023 por una inspección fiscal en Nepal de la filial sanitaria vendida en 2016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AccuLynx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valor da hoy la dirección a AccuLynx frente a los 2.350 M pactados, y cómo financiaría la compra si pierde el recurso?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un coste de 300 M y uno de más de 1.000 M, y la dirección no lo mencionó en las dos últimas conferencias [15,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grandes han reducido el alcance de un contrato por usar sus propios modelos, y cómo se protegen los datos aportados frente a esos modelos?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escenario bajista depende de esto y la empresa no publica tasas de renovación [1,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2026 viene de la subida de tarifas y qué parte de volumen o de soluciones nuevas?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ese desglose no se puede separar el poder de precios del ciclo del seguro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la parte transaccional supone el objetivo de +6-8 % y cuánto depende de la meteorología?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transaccional cayó un 6,1 % y un 4,2 % en 2026 y explica el frenazo [15,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apalancamiento máximo acepta el consejo con el patrimonio negativo, y se paran las recompras si cierra AccuLynx?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(6.611 M en 2021-2025) son el principal uso de la caja [1,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cuestan al año los modelos de IA y la nube, y por qué la mejora del margen se mantiene en +25-75 puntos básicos si suben con el uso?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proyecta el margen hasta el 58 %; cada punto de margen vale unos 4 USD por acción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crece Moody's en seguros al +15 % y Verisk solo un 6,9 % orgánico?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señal más clara de pérdida de cuota en un nicho que crece [24].</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(colaboradores: fuente RSS de VRSK y artículo de agosto)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único análisis de colaborador de los últimos tres meses sube la acción a «comprar»: la caída de múltiplo da margen de seguridad, las suscripciones sostienen el crecimiento y las herramientas de IA (XactAI) son una opción adicional; el riesgo que admite es la debilidad del negocio transaccional. En primavera los títulos eran más prudentes (la IA como amenaza a la recalificación) [82, 83].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Redes sociales resumidas por Quiver Quantitative (X/Stocktwits y similares)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mensajes que recoge giran en torno a un crecimiento modesto, un PER por debajo de su media histórica, la compra de McKenzie Intelligence y una posible recuperación técnica; los dos comentarios de mercado del mes atribuyen la caída del 10 de agosto al fallo sobre AccuLynx y el rebote del 18 a la búsqueda de gangas [86, 87, 88].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Titulares sindicados en Yahoo Finance (Simply Wall St, Zacks, StockStory, TechStock²) vía Google News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sesenta titulares de agosto a octubre: conviven «infravalorada» y «sobrevalorada» del mismo editor, piezas sobre si la IA abre preguntas para Verisk, la pérdida de valor por el caso AccuLynx, el clima suave que frena las reclamaciones y una ristra de ventas de directivos con planes preestablecidos [84, 85].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(columnistas)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Quitan importancia a la venta del consejero delegado (plan 10b5-1, fracción pequeña de su participación) y ven la caída de la acción como mejor precio para un negocio que sigue creciendo; en la conferencia del 2T26 los analistas preguntaron si las aseguradoras que desarrollan sus propios modelos de lenguaje pueden prescindir de los datos de Verisk [89, 92].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StockStory (análisis independiente)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«Underperform»: el crecimiento de ventas es lento frente a otros servicios a empresas y el múltiplo sigue siendo caro para ese crecimiento; reconoce márgenes altos y un buen trimestre de caja [90].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Zacks (notas de su equipo, replicadas en Yahoo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 la acción a Rank #2 (Comprar) a finales de septiembre por revisiones al alza del beneficio y repite «mantener en cartera» por las suscripciones, la IA y la caja, con la deuda y los costes de personal como contrapeso [91].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Disputa con AccuLynx: el tribunal de Delaware obliga a seguir con una compra que Verisk quiso abandonar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tema que más movió la acción en el trimestre: el fallo de agosto exige a Verisk esfuerzos comercialmente razonables para lograr la autorización de competencia y reabre la posibilidad de tener que cerrar la compra de 2.350 M$ o pagar daños; Verisk recurrió al Supremo de Delaware a mediados de agosto [85, 87]. La gente acierta en que es un riesgo binario sin fecha, pero tiende a ignorar que la autorización de competencia sigue pendiente: hay que llevarlo a contingencias y escenarios con el 10-Q, no descontarlo como pérdida segura.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herramienta que refuerza los datos de Verisk o sustituto que los abarata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alcistas ven en XactAI y en los conectores para modelos de lenguaje una fuente de precio y venta cruzada [83]; los bajistas, que las aseguradoras construyan sus propios modelos. La dirección admitió en la conferencia del 2T26 que hay clientes desarrollando sus propios modelos, aunque defiende que sus datos estructurados y exclusivos son el insumo que esos modelos necesitan [92]. El debate es legítimo y no se resuelve con cifras de un trimestre: la prueba está en las renovaciones y en el crecimiento de las suscripciones.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lento frente a un múltiplo que ya ha bajado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bando (StockStory) dice que el múltiplo sigue caro para lo que crece; otro (colaborador de Seeking Alpha, Zacks, Motley Fool) que la compresión del PER ya da margen de seguridad [83, 89, 90, 91]. La acción va muy por detrás del mercado en el año [94] mientras la compañía mantiene la guía de 2026 y espera un segundo semestre algo mejor [92]: la discusión es de múltiplo, no de deterioro del negocio, y la responde la valoración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ventas de directivos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valora la recompra acelerada de 200 M$ terminada tras el 2T26 y el saldo de autorización restante [88, 92]. Las ventas de directivos que se repiten en los titulares son en su mayoría planes 10b5-1 y ejercicio de opciones, sin señal clara [84, 89]; conviene contrastarlas con los Form 4 en la sección de directivos.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Clima suave y negocio transaccional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Algún titular de septiembre atribuye la falta de impulso a un año de pocas catástrofes que reduce los volúmenes de reclamaciones [84], y el propio colaborador alcista lo señala como riesgo para la guía [83]. Es un efecto real pero cíclico sobre la parte transaccional, minoritaria frente a las suscripciones.</w:t>
            </w:r>
          </w:p>
        </w:tc>
      </w:tr>
    </w:tbl>
    <w:p>
      <w:pPr>
        <w:spacing w:after="160" w:before="0"/>
      </w:pPr>
    </w:p>
    <w:p>
      <w:pPr>
        <w:spacing w:after="100"/>
      </w:pPr>
      <w:r>
        <w:t xml:space="preserve">El sentimiento no es extremo: ni euforia ni capitulación. Tras una fuerte caída anual, los comentaristas se reparten entre quienes ven una compañía de calidad a un múltiplo ya razonable (y algunas mejoras de recomendación en agosto y septiembre) y quienes ven crecimiento mediocre y dos amenazas sin resolver: la IA y el pleito con AccuLynx. Frente a la primavera, el tono mejora algo [82, 93]: la IA se discute más como herramienta que como sustituto. Lo que aporta a la decisión es una lista de riesgos que el informe debe cuantificar: el desenlace del recurso en Delaware y la autorización de competencia, y la evolución de las renovaciones de suscripciones como prueba de que la IA no erosiona el foso. No contradice al consenso de analistas; los particulares apenas se dejan ver en lo que se pudo abrir.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17 controles correctos y 2 explicados. Fuentes: 94 (53 primarias); citas distintas en el texto: 93.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-11,0 % frente a -11,1 % real: genera una variación de circulante de -13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3,50 %. Explicación: El 3,5 % es nominal en USD con el bono a 10 años al 5,24 %: queda entre la inflación esperada (≈ 2,5 %) y la tasa libre menos medio punto (4,74 %), que es la regla del prompt, y es el mismo terminal que usamos para S&amp;P Global. Verisk fija sus precios cada año sobre costes de siniestralidad que suben con la inflación; con un terminal del 3,0 % el DCF bajaría a 175,42 USD y la recomendación no cambia.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0,03: el crecimiento no explica los múltiplos de estos comparables; no uses el valor de la regresión. Explicación: Con ocho comparables de modelos distintos (calificaciones, índices, burós de crédito, información profesional) el crecimiento no explica los múltiplos (R² 0,03): no usamos el valor de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94 fuentes (53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y transcripciones (no citan el consenso); 2) transcripciones FactSet de 1T26 y 2T26 (los analistas no lo mencionan); 3) no se buscó en prensa por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ejercicios 2016-2020 con perímetro actual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2022 reexpresa 2020 sin Energy (ingresos 2.269,4 M) pero el balance de 2020 no está reexpresado; 2) companyfacts XBRL: 2019 y anteriores incluyen Energy; 3) no hay reexpresión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serie 2021-2025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día del inversor de Verisk de marzo de 2026: solo se encontró la nota de prensa, sin tamaño de mercado; las direcciones probables del PDF de diapositivas dan 404 y las páginas de inversores no listan PDF; 2) 10-K de Verisk, CCC, Guidewire y Moody's e informe anual de RELX: ninguno publica una serie del mercado; 3) estudios de mercado (Research and Markets, IMARC): solo dan un año base y una previsión, con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Documentos de Verisk (10-K 2025, día del inversor 2026); 2) informes de competidores (RELX, Moody's, CCC, Guidewire); 3) estudios de mercado: Research and Markets e IMARC solo publican previsiones (14,8 % en 2023-2030 y 8,58 % en 2026-2034)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Estudios de mercado (IMARC, Research and Markets): no publican cuotas en sus resúmenes; 2) informes de competidores: ninguno da su cuota; 3) cálculo propio: la suma de cuatro proveedores (≈ 6.650 M USD) equivale al 44 % del mercado de IMARC, pero los perímetros no son homogéneos (IMARC mide sobre todo programas de análisis)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ISS,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Verisk: carga por JavaScript, sin cifra; 2) búsqueda web de las calificaciones: solo Sustainalytics a través de Saxo; 3) 10-K 2025: no publica calificaciones ni emisiones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de febrero en EDGAR: la de 4T22 (28-feb-2023) no trae guía y remite a la conferencia del 1-mar-2023; 2) transcripciones de conferencias (no consultadas por presupuesto de búsquedas); 3) Investor Day de marzo de 2023 como primer objetivo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Verisk no publicaba guía anual cuantitativa antes de 2023 en sus notas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2023 (guía anual dada en la conferencia del 1-mar-2023)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4T22: no la incluye; 2) 8-K de marzo de 2023: no la incluyen; 3) Se usan los objetivos del Investor Day de 14-mar-2023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sustituido por los objetivos del Investor Day</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de comisiones tras la junta de mayo de 2026 (presidencia de Auditoría tras la salida de Kathleen Hogenson; comisiones de Patiath)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recoge la composición anterior a la junta; 2) Página de composición de comisiones de investor.verisk.com: la tabla no se lee sin JavaScript; 3) 8-K de mayo de 2026: no informa de cambios de comisiones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las comisiones del proxy</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Texto de la sentencia de la Court of Chancery (alcance exacto del cumplimiento forzoso y fecha límite)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18-ago-2026: solo anuncia el recurso; 2) Comunicado de Verisk de 10-ago-2026: no da detalles; 3) Prensa (MLex) y Cornerstone Research: dan el sentido del fallo y los 3,85 M USD, no el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fallo se describe con prensa citada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de Jeff Negrete (CIO interino)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no es directivo nombrado; 2) Form 4: sin presentaciones suyas en 12 meses; 3) 8-K de 28-jul-2026: no lo indica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estimaciones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(solo un gráfico, sin cifras); 2) MarketScreener, página de finanzas (sin histórico de revisiones); 3) Stock Analysis, previsiones (sin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 la estabilidad de la guía y la posición del consenso dentro de ella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AccuLynx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Verisk del 30-jul-2025 (sin ingresos ni EBITDA); 2) 8-K del acuerdo y 10-Q del 2T26 (solo precio); 3) búsqueda en prensa (sin cifras oficiales)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solo el valor de 2.350 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RMS y de Duck Creek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Moody's reproducido por BIIA (solo beneficio operativo ajustado); 2) companyfacts de Duck Creek (pérdida operativa); 3) comunicado de Duck Creek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EV/ventas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y rendimiento de mercado de los bonos de Verisk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del 2T26 (solo valor razonable agregado de los bonos); 2) 10-K de 2025 sin rating explícito en las partes leídas; 3) derivado: bono a 10 años más ~0,6 puntos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 (Stocktwits, Reddit, comentarios de lectores)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y web dan 403; 2) Reddit search.json: 403; Simply Wall St y TechStock² (ts2.tech): 403; enlaces de Google News redirigen a la página de consentimiento; 3) Quiver Quantitative como resumen de redes sociales y titulares sindicados en Yahoo Finance; Stockchase redirige a otra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sentimiento se basa en colaboradores, columnistas, resúmenes de redes y titulares, no en hilos de particulares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 menciona agencias ni nota); 2) 10-Q 2T26 y 8-K de los bonos de feb-26 (no la citan); 3) folletos y prensa sin un documento que publique la nota vigente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Verisk Analytics,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https://www.sec.gov/Archives/edgar/data/1442145/000143774926004452/vrsk20251231_10k.htm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Verisk Analytics,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https://www.sec.gov/Archives/edgar/data/1442145/000143774924004939/vrsk20231231c_10k.htm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https://www.sec.gov/Archives/edgar/data/1442145/000143774923004945/vrsk20221231_10k.htm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https://www.sec.gov/Archives/edgar/data/1442145/000143774926024749/vrsk20260630_10q.htm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Form 10-Q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https://www.sec.gov/Archives/edgar/data/1442145/000143774926013729/vrsk20260331_10q.htm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Second Quarter 2026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https://www.sec.gov/Archives/edgar/data/1442145/000143774926024748/ex_968691.htm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First Quarter 2026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https://www.sec.gov/Archives/edgar/data/1442145/000143774926013728/ex_926417.htm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Fourth Quarter and Full Year 2025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https://www.sec.gov/Archives/edgar/data/1442145/000143774926004451/ex_895228.htm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Third Quarter 2025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https://www.sec.gov/Archives/edgar/data/1442145/000143774925032072/ex_856088.htm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Second Quarter 2025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https://www.sec.gov/Archives/edgar/data/1442145/000143774925023861/ex_820890.htm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First Quarter 2025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https://www.sec.gov/Archives/edgar/data/1442145/000143774925014906/ex_770468.htm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Fourth Quarter and Full Year 2024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https://www.sec.gov/Archives/edgar/data/1442145/000143774925005158/ex_702488.htm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Third Quarter 2024 Financial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https://www.sec.gov/Archives/edgar/data/1442145/000143774924032535/ex_716872.htm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companyfacts de Verisk (CIK 0001442145): series trimestrales de ingresos, EBIT, amortizaciones y BPA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https://data.sec.gov/api/xbrl/companyfacts/CIK0001442145.json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Q1 2026 Earnings Call, Corrected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 Verisk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https://s29.q4cdn.com/767340216/files/doc_financials/2026/q1/CORRECTED-TRANSCRIPT-Verisk-Analytics-Inc-VRSK-US-Q1-2026-Earnings-Call-29-April-2026-8-30-AM-ET.pdf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Q2 2026 Earnings Call, Corrected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CallStreet / Verisk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https://s29.q4cdn.com/767340216/files/doc_financials/2026/q2/CORRECTED-TRANSCRIPT-Verisk-Analytics-Inc-VRSK-US-Q2-2026-Earnings-Call-29-July-2026-8-30-AM-ET.pdf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préstamo a plazo de 500 M y recompras aceleradas de 1.500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https://www.sec.gov/Archives/edgar/data/1442145/000119312526062488/d56543d8k.htm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recurso ante el Tribunal Supremo de Delaware en el caso AccuLynx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https://www.sec.gov/Archives/edgar/data/1442145/000119312526355652/d172499d8k.htm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Responds to Delaware Chancery Court Ruling Regarding AccuLynx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https://s29.q4cdn.com/767340216/files/doc_news/Verisk-Responds-to-Delaware-Chancery-Court-Ruling-Regarding-AccuLynx-2026.pdf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Delaware judge orders Verisk to try completing AccuLynx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Journal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https://www.insurancejournal.com/news/east/2026/08/11/880962.htm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aviso de amortización obligatoria de los bonos 2030 y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https://www.sec.gov/Archives/edgar/data/1442145/000119312525332544/d98951d8k.htm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Inc. Form 10-K ejercicio 2015 (historia y compra de Wood Mackenzie)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https://www.sec.gov/Archives/edgar/data/1442145/000144214516000057/vrsk10k12312015.htm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Annual Report 2025: Market segments (Risk, LexisNexis Risk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https://www.relx.com/~/media/Files/R/RELX-Group/documents/reports/annual-reports/2025-ar-sections/relx-2025-market-segments.pdf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https://www.sec.gov/Archives/edgar/data/1059556/000162828026009136/mco-20251231.htm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CCC Intelligent Solutions Holdings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CCC Intelligent Solutions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https://www.sec.gov/Archives/edgar/data/1818201/000119312526067448/ccc-20251231.htm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Guidewire Software, Inc. Form 10-K ejercicio a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Guidewire Software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https://www.sec.gov/Archives/edgar/data/1528396/000152839626000046/gwre-20260731.htm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Analytics Market Report 2024-2030 (Research and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GlobeNewswire / 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https://www.globenewswire.com/news-release/2024/08/30/2938412/28124/en/Insurance-Analytics-Market-Report-2024-2030-Why-Insurers-are-Rushing-to-Embrace-Analytics-Boost-Underwriting-Fight-Fraud-and-Meet-Growing-Customer-Demands.html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Insurance Analytics Market Size, Share, Trends and Forecast 2026-2034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https://www.imarcgroup.com/insurance-analytics-market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U.K. Pound Sterling Spot Exchange Rate, media anual (AEXUSUK)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https://fred.stlouisfed.org/series/AEXUSUK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ficha con puntuación de riesgo ESG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https://www.home.saxo/fr-fr/markets/stocks/vrsk-xnas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Reiterates its Growth Targets and Outlines Strategy at 2026 Investor Day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https://s29.q4cdn.com/767340216/files/doc_news/Verisk-Reiterates-its-Growth-Targets-and-Outlines-Strategy-for-its-Next-Phase-of-Compounding-Growth-at-2026-Investor-Day-2026.pdf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https://www.sec.gov/Archives/edgar/data/1442145/000119312526141398/d23242ddef14a.htm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https://www.sec.gov/Archives/edgar/data/1442145/000119312526234734/d286718d8k.htm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puntos 5.03 y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https://www.sec.gov/Archives/edgar/data/1442145/000119312525127567/d908167d8k.htm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https://www.sec.gov/Archives/edgar/data/1442145/000119312524141725/d838826d8k.htm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Trial Victory in M&amp;A Litigation in the Delaware Court of Chancery (Verisk v. AccuLynx)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Cornerstone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https://www.cornerstone.com/insights/cases/trial-victory-in-ma-litigation-in-the-delaware-court-of-chancery/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must try to complete AccuLynx merger, pay $3.85m, Delaware judge says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https://www.mlex.com/mlex/amp/articles/2511602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5.02: salida del CIO Nick Daffan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https://www.sec.gov/Archives/edgar/data/1442145/000119312526321243/d86289d8k.htm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 5.02: jubilación de la Chief Human Relations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https://www.sec.gov/Archives/edgar/data/1442145/000119312526385242/d133172d8k.htm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Verisk (12-oct-2025 a 12-oct-2026), 60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https://www.sec.gov/cgi-bin/browse-edgar?action=getcompany&amp;CIK=0001442145&amp;type=4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Verisk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https://www.sec.gov/Archives/edgar/data/1442145/000210011926001223/xslSCHEDULE_13G_X02/primary_doc.xml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Verisk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https://www.sec.gov/Archives/edgar/data/1442145/000010290926002508/xslSCHEDULE_13G_X02/primary_doc.xml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AllianceBernstein sobre Verisk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https://www.sec.gov/Archives/edgar/data/1442145/000110944826000147/xslSCHEDULE_13G_X02/primary_doc.xml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AllianceBernstein sobre Verisk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https://www.sec.gov/Archives/edgar/data/1442145/000110944826000257/xslSCHEDULE_13G_X02/primary_doc.xml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Reports Fourth-Quarter 2023 and Full-Year 2023 Financial Results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https://www.sec.gov/Archives/edgar/data/1442145/000143774924004938/ex_584024.htm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segundo trimestre de 2026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https://www.sec.gov/Archives/edgar/data/1442145/000143774926024748/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Hosts Investor Day in Jersey City, New Jersey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https://s29.q4cdn.com/767340216/files/doc_news/Verisk-Hosts-Investor-Day-in-Jersey-City-New-Jersey-Today-2023.pdf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resultados del cuarto trimestre y del ejercicio 2022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https://www.sec.gov/Archives/edgar/data/1442145/000143774923004943/ex_431591.htm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contrato de fusión con ExactLogix (AccuLynx) por 2.350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https://www.sec.gov/Archives/edgar/data/1442145/000095010325009565/dp232275_8k.htm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37 M USD del antiguo negocio de servicios financieros con el Departamento de Justicia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https://www.sec.gov/Archives/edgar/data/1442145/000119312524065946/d767419d8k.htm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VRSK, SPY y XLI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https://finance.yahoo.com/quote/VRSK/history/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to Announce Fiscal Third-Quarter 2026 Results on November 5,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https://www.verisk.com/company/newsroom/verisk-to-announce-fiscal-third-quarter-2026-results-on-november-5-2026/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https://www.marketscreener.com/quote/stock/FACTSET-RESEARCH-SYSTEMS--12584/finances/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https://www.marketscreener.com/quote/stock/RELX-PLC-9590187/finances/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MSCI, FactSet (FDS) y Thomson Reuters (TRI):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y RELX: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https://www.marketscreener.com/quote/stock/EQUIFAX-INC-12424/finances/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https://www.marketscreener.com/quote/stock/TRANSUNION-22619502/finances/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(TRU)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Signs Definitive Agreement to Acquire AccuLynx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https://s29.q4cdn.com/767340216/files/doc_news/Verisk-Signs-Definitive-Agreement-to-Acquire-AccuLynx-2025.pdf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Clearlake Capital Group to Acquire Dun &amp; Bradstreet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resultados del cuarto trimestre y del año 2024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https://www.sec.gov/Archives/edgar/data/1799208/000179920825000008/yearend2024prexhibit991.htm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Duck Creek Agrees to be Acquired by Vista Equity Partners for $2.6 Billion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Duck Creek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https://www.sec.gov/Archives/edgar/data/1160951/000119312523004161/d442317dex991.htm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Duck Creek Technologies (CIK 0001160951)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https://data.sec.gov/api/xbrl/companyfacts/CIK0001160951.json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to Acquire Neustar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https://www.sec.gov/Archives/edgar/data/1552033/000119312521270765/d188220dex991.htm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to Acquire RMS, Leader in Climate and Natural Disaster Risk (reproducción del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https://www.biia.com/moodys-to-acquire-rms-leader-in-climate-natural-disaster-risk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Clarivate to acquire ProQuest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Clarivate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https://www.sec.gov/Archives/edgar/data/1764046/000110465921067259/tm2116608d1_ex99-1.htm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in all-stock transaction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https://www.sec.gov/Archives/edgar/data/64040/000119312520304880/d60362dex991.htm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fourth quarter and full year 2020 results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https://www.sec.gov/Archives/edgar/data/1598014/000159801421000005/ex991q420.htm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Inc. - News and Analysis (fuente RSS de análisis y noticias, feb-sep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https://seekingalpha.com/api/sa/combined/VRSK.xml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High-Single-Digits Subscription Growth And Cheap Valuation (Rating Upgrade)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(colaborador)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https://seekingalpha.com/article/4929182-verisk-analytics-high-single-digits-subscription-growth-and-cheap-valuation-rating-upgrade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sobre Verisk de los últimos 75 días (agregador)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https://news.google.com/rss/search?q=Verisk+VRSK+when:75d&amp;hl=en-US&amp;gl=US&amp;ceid=US:en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sobre Verisk y AccuLynx de los últimos 90 días (agregador)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https://news.google.com/rss/search?q=Verisk+AccuLynx+when:90d&amp;hl=en-US&amp;gl=US&amp;ceid=US:en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Stock (VRSK) Opinions on Earnings and Acquisitions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https://www.quiverquant.com/news/Verisk+Analytics+Stock+(VRSK)+Opinions+on+Earnings+and+Acquisitions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Slides as Court Revives AccuLynx Deal Fight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https://www.quiverquant.com/news/Verisk+Slides+as+Court+Revives+AccuLynx+Deal+Fight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Verisk Analytics (VRSK) Stock Is Up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https://www.quiverquant.com/news/Why+Verisk+Analytics+(VRSK)+Stock+Is+Up+Today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CEO Lee Shavel Sells 2,500 Shares for $550,000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https://www.fool.com/coverage/filings/2026/08/07/verisk-analytics-ceo-lee-shavel-sells-2500-shares-for-550000/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(VRSK) Research Report: Q2 2026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https://stockstory.org/us/stocks/nasdaq/vrsk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 News for VRSK (notas de Zacks Equity Research, 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https://www.zacks.com/stock/research/VRSK/all-news/zacks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https://www.fool.com/earnings/call-transcripts/2026/08/07/verisk-analytics-vrsk-q2-2026-earnings-call-transcript/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News, Articles, and Analysis (artículos de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https://www.trefis.com/stock/vrsk/articles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 VRSK - Stock Price &amp; News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https://www.fool.com/quote/nasdaq/vrsk/</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91,8 %</w:t>
      </w:r>
      <w:r>
        <w:t xml:space="preserve"> · Secciones con menos del 60 % de campos cubiertos: </w:t>
      </w:r>
      <w:r>
        <w:rPr>
          <w:b/>
          <w:bCs/>
        </w:rPr>
        <w:t xml:space="preserve">ninguna</w:t>
      </w:r>
      <w:r>
        <w:t xml:space="preserve"> · Generado el 12 oct 2026.</w:t>
      </w:r>
    </w:p>
    <w:p>
      <w:pPr>
        <w:pStyle w:val="Nota"/>
        <w:spacing w:after="100"/>
      </w:pPr>
      <w:r>
        <w:t xml:space="preserve">Precio de cierre del viernes 9-oct-2026: el lunes 12-oct, fecha de corte, la sesión del Nasdaq no había cerrado [51]. La serie de cuenta (2021-2025) es la de operaciones continuadas del perímetro actual, sin Energy (Wood Mackenzie, vendida el 1-feb-2023), con las cifras reexpresadas de los 10-K de 2022, 2023 y 2025 [1, 2, 3]. 2021 y 2022 incluyen todavía 3E y Verisk Financial Services (255,6 M y 60,0 M de ingresos), vendidas en 2022 y no tratadas como discontinuadas, y 2025 incluye Marketing Solutions (68,0 M), vendida el 31-dic-2025 [1, 3]. El balance de 2021-2022 lleva Energy como mantenida para la venta, los flujos de 2021-2022 la incluyen sin reexpresar y el balance de 2025 lleva 1.500 M de caja de los bonos emitidos para AccuLynx y amortizados en enero de 2026 [1, 21]: los ratios de balance y el ROIC de esos años no son del todo comparables (declarado en cambios de perímetro). Los ejercicios anteriores a 2021 quedan fuera porque no hay balance reexpresado. Seis de los ocho comparables se tomaron de las notas de S&amp;P Global y Gartner con el cierre del mismo 9-oct-2026; Equifax y TransUnion se recalcularon [60, 61, 62, 63, 64, 65, 66, 67, 68, 69, 70, 71]. La vida media de la deuda (9 años) es estimación propia con el calendario de vencimientos. El coste esperado del litigio de AccuLynx (300 M en el puente) es estimación propia, explicada en la síntesis de valoración.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Verisk Analytics, Inc. (VRSK)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177,63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(155,94 – 245,69)</c:v>
                </c:pt>
                <c:pt idx="1">
                  <c:v>Precio objetivo de los analistas (195,00 – 260,00)</c:v>
                </c:pt>
                <c:pt idx="2">
                  <c:v>Comparables: EV/EBITDA NTM (130,89 – 215,37)</c:v>
                </c:pt>
                <c:pt idx="3">
                  <c:v>Comparables: PER NTM (146,05 – 197,36)</c:v>
                </c:pt>
                <c:pt idx="4">
                  <c:v>Transacciones precedentes (EV/EBITDA) (167,46 – 295,04)</c:v>
                </c:pt>
                <c:pt idx="5">
                  <c:v>DCF (WACC y g ± 0,5) (158,89 – 230,88)</c:v>
                </c:pt>
                <c:pt idx="6">
                  <c:v>Escenarios (bajista – alcista) (127,32 – 243,38)</c:v>
                </c:pt>
                <c:pt idx="7">
                  <c:v>DCF con la prima implícita del mercado (4,2 %)</c:v>
                </c:pt>
                <c:pt idx="8">
                  <c:v>Precio actual (177,63)</c:v>
                </c:pt>
              </c:strCache>
            </c:strRef>
          </c:cat>
          <c:val>
            <c:numRef>
              <c:f>Hoja1!$B$2:$B$10</c:f>
              <c:numCache>
                <c:formatCode>#,##0</c:formatCode>
                <c:ptCount val="9"/>
                <c:pt idx="0">
                  <c:v>155.94</c:v>
                </c:pt>
                <c:pt idx="1">
                  <c:v>195</c:v>
                </c:pt>
                <c:pt idx="2">
                  <c:v>130.89</c:v>
                </c:pt>
                <c:pt idx="3">
                  <c:v>146.05</c:v>
                </c:pt>
                <c:pt idx="4">
                  <c:v>167.46</c:v>
                </c:pt>
                <c:pt idx="5">
                  <c:v>158.89</c:v>
                </c:pt>
                <c:pt idx="6">
                  <c:v>127.32</c:v>
                </c:pt>
                <c:pt idx="7">
                  <c:v>204.24</c:v>
                </c:pt>
                <c:pt idx="8">
                  <c:v>176.74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(155,94 – 245,69)</c:v>
                </c:pt>
                <c:pt idx="1">
                  <c:v>Precio objetivo de los analistas (195,00 – 260,00)</c:v>
                </c:pt>
                <c:pt idx="2">
                  <c:v>Comparables: EV/EBITDA NTM (130,89 – 215,37)</c:v>
                </c:pt>
                <c:pt idx="3">
                  <c:v>Comparables: PER NTM (146,05 – 197,36)</c:v>
                </c:pt>
                <c:pt idx="4">
                  <c:v>Transacciones precedentes (EV/EBITDA) (167,46 – 295,04)</c:v>
                </c:pt>
                <c:pt idx="5">
                  <c:v>DCF (WACC y g ± 0,5) (158,89 – 230,88)</c:v>
                </c:pt>
                <c:pt idx="6">
                  <c:v>Escenarios (bajista – alcista) (127,32 – 243,38)</c:v>
                </c:pt>
                <c:pt idx="7">
                  <c:v>DCF con la prima implícita del mercado (4,2 %)</c:v>
                </c:pt>
                <c:pt idx="8">
                  <c:v>Precio actual (177,63)</c:v>
                </c:pt>
              </c:strCache>
            </c:strRef>
          </c:cat>
          <c:val>
            <c:numRef>
              <c:f>Hoja1!$C$2:$C$10</c:f>
              <c:numCache>
                <c:formatCode>#,##0</c:formatCode>
                <c:ptCount val="9"/>
                <c:pt idx="0">
                  <c:v>89.75</c:v>
                </c:pt>
                <c:pt idx="1">
                  <c:v>65</c:v>
                </c:pt>
                <c:pt idx="2">
                  <c:v>84.48000000000002</c:v>
                </c:pt>
                <c:pt idx="3">
                  <c:v>51.31</c:v>
                </c:pt>
                <c:pt idx="4">
                  <c:v>127.58000000000001</c:v>
                </c:pt>
                <c:pt idx="5">
                  <c:v>71.99000000000001</c:v>
                </c:pt>
                <c:pt idx="6">
                  <c:v>116.06</c:v>
                </c:pt>
                <c:pt idx="7">
                  <c:v>60.339999999999975</c:v>
                </c:pt>
                <c:pt idx="8">
                  <c:v>1.7800000000000011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Underwriting (suscripción de riesgos)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1555.1</c:v>
                </c:pt>
                <c:pt idx="1">
                  <c:v>1734.5</c:v>
                </c:pt>
                <c:pt idx="2">
                  <c:v>1892.7</c:v>
                </c:pt>
                <c:pt idx="3">
                  <c:v>2024.3</c:v>
                </c:pt>
                <c:pt idx="4">
                  <c:v>2179.9</c:v>
                </c:pt>
              </c:numCache>
            </c:numRef>
          </c:val>
        </c:ser>
        <c:ser>
          <c:idx val="1"/>
          <c:order val="1"/>
          <c:tx>
            <c:strRef>
              <c:f>Hoja1!$C$1</c:f>
              <c:strCache>
                <c:ptCount val="1"/>
                <c:pt idx="0">
                  <c:v>Claims (siniestros)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651.8</c:v>
                </c:pt>
                <c:pt idx="1">
                  <c:v>702.5</c:v>
                </c:pt>
                <c:pt idx="2">
                  <c:v>788.7</c:v>
                </c:pt>
                <c:pt idx="3">
                  <c:v>857.4</c:v>
                </c:pt>
                <c:pt idx="4">
                  <c:v>892.8</c:v>
                </c:pt>
              </c:numCache>
            </c:numRef>
          </c:val>
        </c:ser>
        <c:ser>
          <c:idx val="2"/>
          <c:order val="2"/>
          <c:tx>
            <c:strRef>
              <c:f>Hoja1!$D$1</c:f>
              <c:strCache>
                <c:ptCount val="1"/>
                <c:pt idx="0">
                  <c:v>Negocios vendidos (3E y Financial Services)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255.6</c:v>
                </c:pt>
                <c:pt idx="1">
                  <c:v>60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Underwriting (suscripción de riesgos)</c:v>
                </c:pt>
                <c:pt idx="1">
                  <c:v>Claims (siniestros)</c:v>
                </c:pt>
                <c:pt idx="2">
                  <c:v>Negocios vendidos (3E y Financial Services)</c:v>
                </c:pt>
              </c:strCache>
            </c:strRef>
          </c:cat>
          <c:val>
            <c:numRef>
              <c:f>Hoja1!$B$2:$B$4</c:f>
              <c:numCache>
                <c:formatCode>General</c:formatCode>
                <c:ptCount val="3"/>
                <c:pt idx="0">
                  <c:v>70.9</c:v>
                </c:pt>
                <c:pt idx="1">
                  <c:v>29.1</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c:v>
                </c:pt>
                <c:pt idx="1">
                  <c:v>Reino Unido</c:v>
                </c:pt>
                <c:pt idx="2">
                  <c:v>Otros países</c:v>
                </c:pt>
              </c:strCache>
            </c:strRef>
          </c:cat>
          <c:val>
            <c:numRef>
              <c:f>Hoja1!$B$2:$B$4</c:f>
              <c:numCache>
                <c:formatCode>0"%"</c:formatCode>
                <c:ptCount val="3"/>
                <c:pt idx="0">
                  <c:v>82.1</c:v>
                </c:pt>
                <c:pt idx="1">
                  <c:v>8.1</c:v>
                </c:pt>
                <c:pt idx="2">
                  <c:v>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Verisk</c:v>
                </c:pt>
                <c:pt idx="1">
                  <c:v>RELX — LexisNexis Risk Solutions (segmento Risk)</c:v>
                </c:pt>
                <c:pt idx="2">
                  <c:v>Moody's — Moody's Analytics (RMS, seguros)</c:v>
                </c:pt>
                <c:pt idx="3">
                  <c:v>CCC Intelligent Solutions</c:v>
                </c:pt>
                <c:pt idx="4">
                  <c:v>Guidewire Software</c:v>
                </c:pt>
                <c:pt idx="5">
                  <c:v>Cotality (antes CoreLogic)</c:v>
                </c:pt>
              </c:strCache>
            </c:strRef>
          </c:cat>
          <c:val>
            <c:numRef>
              <c:f>Hoja1!$B$2:$B$7</c:f>
              <c:numCache>
                <c:formatCode>0.0"%"</c:formatCode>
                <c:ptCount val="6"/>
                <c:pt idx="0">
                  <c:v>45.2</c:v>
                </c:pt>
                <c:pt idx="1">
                  <c:v>37.4</c:v>
                </c:pt>
                <c:pt idx="2">
                  <c:v>33.1</c:v>
                </c:pt>
                <c:pt idx="3">
                  <c:v>8.9</c:v>
                </c:pt>
                <c:pt idx="4">
                  <c:v>10.2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2462.5</c:v>
                </c:pt>
                <c:pt idx="1">
                  <c:v>2497</c:v>
                </c:pt>
                <c:pt idx="2">
                  <c:v>2681.4</c:v>
                </c:pt>
                <c:pt idx="3">
                  <c:v>2881.7</c:v>
                </c:pt>
                <c:pt idx="4">
                  <c:v>3072.7</c:v>
                </c:pt>
                <c:pt idx="5">
                  <c:v>3220</c:v>
                </c:pt>
                <c:pt idx="6">
                  <c:v>3430</c:v>
                </c:pt>
                <c:pt idx="7">
                  <c:v>3663</c:v>
                </c:pt>
                <c:pt idx="8">
                  <c:v>3901</c:v>
                </c:pt>
                <c:pt idx="9">
                  <c:v>4143</c:v>
                </c:pt>
                <c:pt idx="10">
                  <c:v>4383</c:v>
                </c:pt>
                <c:pt idx="11">
                  <c:v>4615</c:v>
                </c:pt>
                <c:pt idx="12">
                  <c:v>4837</c:v>
                </c:pt>
                <c:pt idx="13">
                  <c:v>5040</c:v>
                </c:pt>
                <c:pt idx="14">
                  <c:v>5216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1295.6</c:v>
                </c:pt>
                <c:pt idx="1">
                  <c:v>1290.8999999999999</c:v>
                </c:pt>
                <c:pt idx="2">
                  <c:v>1431.8999999999999</c:v>
                </c:pt>
                <c:pt idx="3">
                  <c:v>1575</c:v>
                </c:pt>
                <c:pt idx="4">
                  <c:v>1714.8</c:v>
                </c:pt>
                <c:pt idx="5">
                  <c:v>1813</c:v>
                </c:pt>
                <c:pt idx="6">
                  <c:v>1948</c:v>
                </c:pt>
                <c:pt idx="7">
                  <c:v>2095</c:v>
                </c:pt>
                <c:pt idx="8">
                  <c:v>2243</c:v>
                </c:pt>
                <c:pt idx="9">
                  <c:v>2394</c:v>
                </c:pt>
                <c:pt idx="10">
                  <c:v>2542</c:v>
                </c:pt>
                <c:pt idx="11">
                  <c:v>2677</c:v>
                </c:pt>
                <c:pt idx="12">
                  <c:v>2805</c:v>
                </c:pt>
                <c:pt idx="13">
                  <c:v>2923</c:v>
                </c:pt>
                <c:pt idx="14">
                  <c:v>3025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65.3</c:v>
                </c:pt>
                <c:pt idx="1">
                  <c:v>67</c:v>
                </c:pt>
                <c:pt idx="2">
                  <c:v>67.3</c:v>
                </c:pt>
                <c:pt idx="3">
                  <c:v>68.7</c:v>
                </c:pt>
                <c:pt idx="4">
                  <c:v>69.9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52.6</c:v>
                </c:pt>
                <c:pt idx="1">
                  <c:v>51.7</c:v>
                </c:pt>
                <c:pt idx="2">
                  <c:v>53.4</c:v>
                </c:pt>
                <c:pt idx="3">
                  <c:v>54.7</c:v>
                </c:pt>
                <c:pt idx="4">
                  <c:v>55.8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42.5</c:v>
                </c:pt>
                <c:pt idx="1">
                  <c:v>42.1</c:v>
                </c:pt>
                <c:pt idx="2">
                  <c:v>42.9</c:v>
                </c:pt>
                <c:pt idx="3">
                  <c:v>44</c:v>
                </c:pt>
                <c:pt idx="4">
                  <c:v>45.2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24.6</c:v>
                </c:pt>
                <c:pt idx="1">
                  <c:v>41.7</c:v>
                </c:pt>
                <c:pt idx="2">
                  <c:v>28.7</c:v>
                </c:pt>
                <c:pt idx="3">
                  <c:v>33</c:v>
                </c:pt>
                <c:pt idx="4">
                  <c:v>29.6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7</c:v>
                </c:pt>
                <c:pt idx="1">
                  <c:v>8.6</c:v>
                </c:pt>
                <c:pt idx="2">
                  <c:v>7</c:v>
                </c:pt>
                <c:pt idx="3">
                  <c:v>7.8</c:v>
                </c:pt>
                <c:pt idx="4">
                  <c:v>5.9</c:v>
                </c:pt>
                <c:pt idx="5">
                  <c:v>5.9</c:v>
                </c:pt>
                <c:pt idx="6">
                  <c:v>3.9</c:v>
                </c:pt>
                <c:pt idx="7">
                  <c:v>4.3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6.8</c:v>
                </c:pt>
                <c:pt idx="1">
                  <c:v>8.6</c:v>
                </c:pt>
                <c:pt idx="2">
                  <c:v>7.9</c:v>
                </c:pt>
                <c:pt idx="3">
                  <c:v>7.9</c:v>
                </c:pt>
                <c:pt idx="4">
                  <c:v>5.5</c:v>
                </c:pt>
                <c:pt idx="5">
                  <c:v>5.2</c:v>
                </c:pt>
                <c:pt idx="6">
                  <c:v>4.7</c:v>
                </c:pt>
                <c:pt idx="7">
                  <c:v>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44</c:v>
                </c:pt>
                <c:pt idx="1">
                  <c:v>42</c:v>
                </c:pt>
                <c:pt idx="2">
                  <c:v>45</c:v>
                </c:pt>
                <c:pt idx="3">
                  <c:v>55</c:v>
                </c:pt>
                <c:pt idx="4">
                  <c:v>50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112</c:v>
                </c:pt>
                <c:pt idx="1">
                  <c:v>130</c:v>
                </c:pt>
                <c:pt idx="2">
                  <c:v>142</c:v>
                </c:pt>
                <c:pt idx="3">
                  <c:v>101</c:v>
                </c:pt>
                <c:pt idx="4">
                  <c:v>126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869.1</c:v>
                </c:pt>
                <c:pt idx="1">
                  <c:v>770</c:v>
                </c:pt>
                <c:pt idx="2">
                  <c:v>815</c:v>
                </c:pt>
                <c:pt idx="3">
                  <c:v>898.2</c:v>
                </c:pt>
                <c:pt idx="4">
                  <c:v>1168.8000000000002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607</c:v>
                </c:pt>
                <c:pt idx="1">
                  <c:v>1041.7</c:v>
                </c:pt>
                <c:pt idx="2">
                  <c:v>768.6</c:v>
                </c:pt>
                <c:pt idx="3">
                  <c:v>951.4</c:v>
                </c:pt>
                <c:pt idx="4">
                  <c:v>908.3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13.3</c:v>
                </c:pt>
                <c:pt idx="1">
                  <c:v>15.2</c:v>
                </c:pt>
                <c:pt idx="2">
                  <c:v>20.8</c:v>
                </c:pt>
                <c:pt idx="3">
                  <c:v>34.1</c:v>
                </c:pt>
                <c:pt idx="4">
                  <c:v>37.5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21.6</c:v>
                </c:pt>
                <c:pt idx="1">
                  <c:v>45.6</c:v>
                </c:pt>
                <c:pt idx="2">
                  <c:v>74.6</c:v>
                </c:pt>
                <c:pt idx="3">
                  <c:v>464</c:v>
                </c:pt>
                <c:pt idx="4">
                  <c:v>444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2.47</c:v>
                </c:pt>
                <c:pt idx="1">
                  <c:v>2.81</c:v>
                </c:pt>
                <c:pt idx="2">
                  <c:v>1.79</c:v>
                </c:pt>
                <c:pt idx="3">
                  <c:v>1.76</c:v>
                </c:pt>
                <c:pt idx="4">
                  <c:v>1.49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2027</c:v>
                </c:pt>
                <c:pt idx="1">
                  <c:v>2029</c:v>
                </c:pt>
                <c:pt idx="2">
                  <c:v>2031</c:v>
                </c:pt>
                <c:pt idx="3">
                  <c:v>2033</c:v>
                </c:pt>
                <c:pt idx="4">
                  <c:v>2034</c:v>
                </c:pt>
                <c:pt idx="5">
                  <c:v>2035</c:v>
                </c:pt>
                <c:pt idx="6">
                  <c:v>2036</c:v>
                </c:pt>
                <c:pt idx="7">
                  <c:v>2045+</c:v>
                </c:pt>
              </c:strCache>
            </c:strRef>
          </c:cat>
          <c:val>
            <c:numRef>
              <c:f>Hoja1!$B$2:$B$9</c:f>
              <c:numCache>
                <c:formatCode>#,##0</c:formatCode>
                <c:ptCount val="8"/>
                <c:pt idx="0">
                  <c:v>250</c:v>
                </c:pt>
                <c:pt idx="1">
                  <c:v>600</c:v>
                </c:pt>
                <c:pt idx="2">
                  <c:v>500</c:v>
                </c:pt>
                <c:pt idx="3">
                  <c:v>500</c:v>
                </c:pt>
                <c:pt idx="4">
                  <c:v>600</c:v>
                </c:pt>
                <c:pt idx="5">
                  <c:v>700</c:v>
                </c:pt>
                <c:pt idx="6">
                  <c:v>500</c:v>
                </c:pt>
                <c:pt idx="7">
                  <c:v>850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289.8</c:v>
                </c:pt>
                <c:pt idx="1">
                  <c:v>448.9</c:v>
                </c:pt>
                <c:pt idx="2">
                  <c:v>83.3</c:v>
                </c:pt>
                <c:pt idx="3">
                  <c:v>23.4</c:v>
                </c:pt>
                <c:pt idx="4">
                  <c:v>184.8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188.2</c:v>
                </c:pt>
                <c:pt idx="1">
                  <c:v>195.2</c:v>
                </c:pt>
                <c:pt idx="2">
                  <c:v>196.8</c:v>
                </c:pt>
                <c:pt idx="3">
                  <c:v>221.3</c:v>
                </c:pt>
                <c:pt idx="4">
                  <c:v>251.1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475</c:v>
                </c:pt>
                <c:pt idx="1">
                  <c:v>1662.5</c:v>
                </c:pt>
                <c:pt idx="2">
                  <c:v>2799.8</c:v>
                </c:pt>
                <c:pt idx="3">
                  <c:v>1050</c:v>
                </c:pt>
                <c:pt idx="4">
                  <c:v>624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10</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 / Vanguard Capital Management</c:v>
                </c:pt>
                <c:pt idx="1">
                  <c:v>BlackRock, Inc.</c:v>
                </c:pt>
                <c:pt idx="2">
                  <c:v>AllianceBernstein L.P.</c:v>
                </c:pt>
                <c:pt idx="3">
                  <c:v>Consejeros y directivos (16 personas)</c:v>
                </c:pt>
                <c:pt idx="4">
                  <c:v>Autocartera</c:v>
                </c:pt>
              </c:strCache>
            </c:strRef>
          </c:cat>
          <c:val>
            <c:numRef>
              <c:f>Hoja1!$B$2:$B$6</c:f>
              <c:numCache>
                <c:formatCode>0.0"%"</c:formatCode>
                <c:ptCount val="5"/>
                <c:pt idx="0">
                  <c:v>12.3</c:v>
                </c:pt>
                <c:pt idx="1">
                  <c:v>7.8</c:v>
                </c:pt>
                <c:pt idx="2">
                  <c:v>4.6</c:v>
                </c:pt>
                <c:pt idx="3">
                  <c:v>0.52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5.6</c:v>
                </c:pt>
                <c:pt idx="1">
                  <c:v>18.3</c:v>
                </c:pt>
                <c:pt idx="2">
                  <c:v>13.6</c:v>
                </c:pt>
                <c:pt idx="3">
                  <c:v>37.9</c:v>
                </c:pt>
                <c:pt idx="4">
                  <c:v>39.9</c:v>
                </c:pt>
                <c:pt idx="5">
                  <c:v>10.9</c:v>
                </c:pt>
                <c:pt idx="6">
                  <c:v>-22.3</c:v>
                </c:pt>
                <c:pt idx="7">
                  <c:v>36.2</c:v>
                </c:pt>
                <c:pt idx="8">
                  <c:v>16</c:v>
                </c:pt>
                <c:pt idx="9">
                  <c:v>-18.2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31.3</c:v>
                </c:pt>
                <c:pt idx="6">
                  <c:v>24.5</c:v>
                </c:pt>
                <c:pt idx="7">
                  <c:v>26.4</c:v>
                </c:pt>
                <c:pt idx="8">
                  <c:v>26.7</c:v>
                </c:pt>
                <c:pt idx="9">
                  <c:v>19.8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26.4</c:v>
                </c:pt>
                <c:pt idx="1">
                  <c:v>26.4</c:v>
                </c:pt>
                <c:pt idx="2">
                  <c:v>26.4</c:v>
                </c:pt>
                <c:pt idx="3">
                  <c:v>26.4</c:v>
                </c:pt>
                <c:pt idx="4">
                  <c:v>26.4</c:v>
                </c:pt>
                <c:pt idx="5">
                  <c:v>26.4</c:v>
                </c:pt>
                <c:pt idx="6">
                  <c:v>26.4</c:v>
                </c:pt>
                <c:pt idx="7">
                  <c:v>26.4</c:v>
                </c:pt>
                <c:pt idx="8">
                  <c:v>26.4</c:v>
                </c:pt>
                <c:pt idx="9">
                  <c:v>26.4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Verisk</c:v>
                </c:pt>
                <c:pt idx="1">
                  <c:v>Moody's</c:v>
                </c:pt>
                <c:pt idx="2">
                  <c:v>S&amp;P Global</c:v>
                </c:pt>
                <c:pt idx="3">
                  <c:v>MSCI</c:v>
                </c:pt>
                <c:pt idx="4">
                  <c:v>FactSet</c:v>
                </c:pt>
                <c:pt idx="5">
                  <c:v>Thomson Reuters</c:v>
                </c:pt>
                <c:pt idx="6">
                  <c:v>RELX</c:v>
                </c:pt>
                <c:pt idx="7">
                  <c:v>Equifax</c:v>
                </c:pt>
                <c:pt idx="8">
                  <c:v>TransUnion</c:v>
                </c:pt>
              </c:strCache>
            </c:strRef>
          </c:cat>
          <c:val>
            <c:numRef>
              <c:f>Hoja1!$B$2:$B$10</c:f>
              <c:numCache>
                <c:formatCode>0.0"x"</c:formatCode>
                <c:ptCount val="9"/>
                <c:pt idx="0">
                  <c:v>14.1</c:v>
                </c:pt>
                <c:pt idx="1">
                  <c:v>18.4</c:v>
                </c:pt>
                <c:pt idx="2">
                  <c:v>16.1</c:v>
                </c:pt>
                <c:pt idx="3">
                  <c:v>20.3</c:v>
                </c:pt>
                <c:pt idx="4">
                  <c:v>11.4</c:v>
                </c:pt>
                <c:pt idx="5">
                  <c:v>13.5</c:v>
                </c:pt>
                <c:pt idx="6">
                  <c:v>12.9</c:v>
                </c:pt>
                <c:pt idx="7">
                  <c:v>9.6</c:v>
                </c:pt>
                <c:pt idx="8">
                  <c:v>8.8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Verisk</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6.2</c:v>
                </c:pt>
              </c:numCache>
            </c:numRef>
          </c:xVal>
          <c:yVal>
            <c:numRef>
              <c:f>Hoja1!$C$2</c:f>
              <c:numCache>
                <c:formatCode>0.0"x"</c:formatCode>
                <c:ptCount val="1"/>
                <c:pt idx="0">
                  <c:v>14.1</c:v>
                </c:pt>
              </c:numCache>
            </c:numRef>
          </c:yVal>
          <c:smooth val="0"/>
        </c:ser>
        <c:ser>
          <c:idx val="1"/>
          <c:order val="1"/>
          <c:tx>
            <c:strRef>
              <c:f>Hoja1!$A$3</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7.3</c:v>
                </c:pt>
              </c:numCache>
            </c:numRef>
          </c:xVal>
          <c:yVal>
            <c:numRef>
              <c:f>Hoja1!$C$3</c:f>
              <c:numCache>
                <c:formatCode>0.0"x"</c:formatCode>
                <c:ptCount val="1"/>
                <c:pt idx="0">
                  <c:v>18.4</c:v>
                </c:pt>
              </c:numCache>
            </c:numRef>
          </c:yVal>
          <c:smooth val="0"/>
        </c:ser>
        <c:ser>
          <c:idx val="2"/>
          <c:order val="2"/>
          <c:tx>
            <c:strRef>
              <c:f>Hoja1!$A$4</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1.7</c:v>
                </c:pt>
              </c:numCache>
            </c:numRef>
          </c:xVal>
          <c:yVal>
            <c:numRef>
              <c:f>Hoja1!$C$4</c:f>
              <c:numCache>
                <c:formatCode>0.0"x"</c:formatCode>
                <c:ptCount val="1"/>
                <c:pt idx="0">
                  <c:v>16.1</c:v>
                </c:pt>
              </c:numCache>
            </c:numRef>
          </c:yVal>
          <c:smooth val="0"/>
        </c:ser>
        <c:ser>
          <c:idx val="3"/>
          <c:order val="3"/>
          <c:tx>
            <c:strRef>
              <c:f>Hoja1!$A$5</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10.2</c:v>
                </c:pt>
              </c:numCache>
            </c:numRef>
          </c:xVal>
          <c:yVal>
            <c:numRef>
              <c:f>Hoja1!$C$5</c:f>
              <c:numCache>
                <c:formatCode>0.0"x"</c:formatCode>
                <c:ptCount val="1"/>
                <c:pt idx="0">
                  <c:v>20.3</c:v>
                </c:pt>
              </c:numCache>
            </c:numRef>
          </c:yVal>
          <c:smooth val="0"/>
        </c:ser>
        <c:ser>
          <c:idx val="4"/>
          <c:order val="4"/>
          <c:tx>
            <c:strRef>
              <c:f>Hoja1!$A$6</c:f>
              <c:strCache>
                <c:ptCount val="1"/>
                <c:pt idx="0">
                  <c:v>FactSet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6.3</c:v>
                </c:pt>
              </c:numCache>
            </c:numRef>
          </c:xVal>
          <c:yVal>
            <c:numRef>
              <c:f>Hoja1!$C$6</c:f>
              <c:numCache>
                <c:formatCode>0.0"x"</c:formatCode>
                <c:ptCount val="1"/>
                <c:pt idx="0">
                  <c:v>11.4</c:v>
                </c:pt>
              </c:numCache>
            </c:numRef>
          </c:yVal>
          <c:smooth val="0"/>
        </c:ser>
        <c:ser>
          <c:idx val="5"/>
          <c:order val="5"/>
          <c:tx>
            <c:strRef>
              <c:f>Hoja1!$A$7</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8.2</c:v>
                </c:pt>
              </c:numCache>
            </c:numRef>
          </c:xVal>
          <c:yVal>
            <c:numRef>
              <c:f>Hoja1!$C$7</c:f>
              <c:numCache>
                <c:formatCode>0.0"x"</c:formatCode>
                <c:ptCount val="1"/>
                <c:pt idx="0">
                  <c:v>13.5</c:v>
                </c:pt>
              </c:numCache>
            </c:numRef>
          </c:yVal>
          <c:smooth val="0"/>
        </c:ser>
        <c:ser>
          <c:idx val="6"/>
          <c:order val="6"/>
          <c:tx>
            <c:strRef>
              <c:f>Hoja1!$A$8</c:f>
              <c:strCache>
                <c:ptCount val="1"/>
                <c:pt idx="0">
                  <c:v>RELX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5.9</c:v>
                </c:pt>
              </c:numCache>
            </c:numRef>
          </c:xVal>
          <c:yVal>
            <c:numRef>
              <c:f>Hoja1!$C$8</c:f>
              <c:numCache>
                <c:formatCode>0.0"x"</c:formatCode>
                <c:ptCount val="1"/>
                <c:pt idx="0">
                  <c:v>12.9</c:v>
                </c:pt>
              </c:numCache>
            </c:numRef>
          </c:yVal>
          <c:smooth val="0"/>
        </c:ser>
        <c:ser>
          <c:idx val="7"/>
          <c:order val="7"/>
          <c:tx>
            <c:strRef>
              <c:f>Hoja1!$A$9</c:f>
              <c:strCache>
                <c:ptCount val="1"/>
                <c:pt idx="0">
                  <c:v>Equifax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9.6</c:v>
                </c:pt>
              </c:numCache>
            </c:numRef>
          </c:xVal>
          <c:yVal>
            <c:numRef>
              <c:f>Hoja1!$C$9</c:f>
              <c:numCache>
                <c:formatCode>0.0"x"</c:formatCode>
                <c:ptCount val="1"/>
                <c:pt idx="0">
                  <c:v>9.6</c:v>
                </c:pt>
              </c:numCache>
            </c:numRef>
          </c:yVal>
          <c:smooth val="0"/>
        </c:ser>
        <c:ser>
          <c:idx val="8"/>
          <c:order val="8"/>
          <c:tx>
            <c:strRef>
              <c:f>Hoja1!$A$10</c:f>
              <c:strCache>
                <c:ptCount val="1"/>
                <c:pt idx="0">
                  <c:v>TransUnion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9.8</c:v>
                </c:pt>
              </c:numCache>
            </c:numRef>
          </c:xVal>
          <c:yVal>
            <c:numRef>
              <c:f>Hoja1!$C$10</c:f>
              <c:numCache>
                <c:formatCode>0.0"x"</c:formatCode>
                <c:ptCount val="1"/>
                <c:pt idx="0">
                  <c:v>8.8</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AccuLynx (ExactLogix)</c:v>
                </c:pt>
                <c:pt idx="1">
                  <c:v>Dun &amp; Bradstreet</c:v>
                </c:pt>
                <c:pt idx="2">
                  <c:v>Duck Creek Technologies</c:v>
                </c:pt>
                <c:pt idx="3">
                  <c:v>Negocio de energía de Verisk (Wood Mackenzie)</c:v>
                </c:pt>
                <c:pt idx="4">
                  <c:v>Neustar</c:v>
                </c:pt>
                <c:pt idx="5">
                  <c:v>RMS (Risk Management Solutions)</c:v>
                </c:pt>
                <c:pt idx="6">
                  <c:v>ProQuest</c:v>
                </c:pt>
                <c:pt idx="7">
                  <c:v>IHS Markit</c:v>
                </c:pt>
              </c:strCache>
            </c:strRef>
          </c:cat>
          <c:val>
            <c:numRef>
              <c:f>Hoja1!$B$2:$B$9</c:f>
              <c:numCache>
                <c:formatCode>0.0"x"</c:formatCode>
                <c:ptCount val="8"/>
                <c:pt idx="1">
                  <c:v>8.3</c:v>
                </c:pt>
                <c:pt idx="3">
                  <c:v>14.6</c:v>
                </c:pt>
                <c:pt idx="4">
                  <c:v>27</c:v>
                </c:pt>
                <c:pt idx="6">
                  <c:v>21.2</c:v>
                </c:pt>
                <c:pt idx="7">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1212</c:v>
                </c:pt>
                <c:pt idx="1">
                  <c:v>1311</c:v>
                </c:pt>
                <c:pt idx="2">
                  <c:v>1409</c:v>
                </c:pt>
                <c:pt idx="3">
                  <c:v>1506</c:v>
                </c:pt>
                <c:pt idx="4">
                  <c:v>1605</c:v>
                </c:pt>
                <c:pt idx="5">
                  <c:v>1700</c:v>
                </c:pt>
                <c:pt idx="6">
                  <c:v>1780</c:v>
                </c:pt>
                <c:pt idx="7">
                  <c:v>1859</c:v>
                </c:pt>
                <c:pt idx="8">
                  <c:v>1932</c:v>
                </c:pt>
                <c:pt idx="9">
                  <c:v>1995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10360</c:v>
                </c:pt>
                <c:pt idx="1">
                  <c:v>18143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177,63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127.32</c:v>
                </c:pt>
                <c:pt idx="1">
                  <c:v>188.14</c:v>
                </c:pt>
                <c:pt idx="2">
                  <c:v>243.38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177,63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(155,94 – 245,69)</c:v>
                </c:pt>
                <c:pt idx="1">
                  <c:v>Precio objetivo de los analistas (195,00 – 260,00)</c:v>
                </c:pt>
                <c:pt idx="2">
                  <c:v>Comparables: EV/EBITDA NTM (130,89 – 215,37)</c:v>
                </c:pt>
                <c:pt idx="3">
                  <c:v>Comparables: PER NTM (146,05 – 197,36)</c:v>
                </c:pt>
                <c:pt idx="4">
                  <c:v>Transacciones precedentes (EV/EBITDA) (167,46 – 295,04)</c:v>
                </c:pt>
                <c:pt idx="5">
                  <c:v>DCF (WACC y g ± 0,5) (158,89 – 230,88)</c:v>
                </c:pt>
                <c:pt idx="6">
                  <c:v>Escenarios (bajista – alcista) (127,32 – 243,38)</c:v>
                </c:pt>
                <c:pt idx="7">
                  <c:v>DCF con la prima implícita del mercado (4,2 %)</c:v>
                </c:pt>
                <c:pt idx="8">
                  <c:v>Precio actual (177,63)</c:v>
                </c:pt>
              </c:strCache>
            </c:strRef>
          </c:cat>
          <c:val>
            <c:numRef>
              <c:f>Hoja1!$B$2:$B$10</c:f>
              <c:numCache>
                <c:formatCode>#,##0</c:formatCode>
                <c:ptCount val="9"/>
                <c:pt idx="0">
                  <c:v>155.94</c:v>
                </c:pt>
                <c:pt idx="1">
                  <c:v>195</c:v>
                </c:pt>
                <c:pt idx="2">
                  <c:v>130.89</c:v>
                </c:pt>
                <c:pt idx="3">
                  <c:v>146.05</c:v>
                </c:pt>
                <c:pt idx="4">
                  <c:v>167.46</c:v>
                </c:pt>
                <c:pt idx="5">
                  <c:v>158.89</c:v>
                </c:pt>
                <c:pt idx="6">
                  <c:v>127.32</c:v>
                </c:pt>
                <c:pt idx="7">
                  <c:v>204.24</c:v>
                </c:pt>
                <c:pt idx="8">
                  <c:v>176.74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(155,94 – 245,69)</c:v>
                </c:pt>
                <c:pt idx="1">
                  <c:v>Precio objetivo de los analistas (195,00 – 260,00)</c:v>
                </c:pt>
                <c:pt idx="2">
                  <c:v>Comparables: EV/EBITDA NTM (130,89 – 215,37)</c:v>
                </c:pt>
                <c:pt idx="3">
                  <c:v>Comparables: PER NTM (146,05 – 197,36)</c:v>
                </c:pt>
                <c:pt idx="4">
                  <c:v>Transacciones precedentes (EV/EBITDA) (167,46 – 295,04)</c:v>
                </c:pt>
                <c:pt idx="5">
                  <c:v>DCF (WACC y g ± 0,5) (158,89 – 230,88)</c:v>
                </c:pt>
                <c:pt idx="6">
                  <c:v>Escenarios (bajista – alcista) (127,32 – 243,38)</c:v>
                </c:pt>
                <c:pt idx="7">
                  <c:v>DCF con la prima implícita del mercado (4,2 %)</c:v>
                </c:pt>
                <c:pt idx="8">
                  <c:v>Precio actual (177,63)</c:v>
                </c:pt>
              </c:strCache>
            </c:strRef>
          </c:cat>
          <c:val>
            <c:numRef>
              <c:f>Hoja1!$C$2:$C$10</c:f>
              <c:numCache>
                <c:formatCode>#,##0</c:formatCode>
                <c:ptCount val="9"/>
                <c:pt idx="0">
                  <c:v>89.75</c:v>
                </c:pt>
                <c:pt idx="1">
                  <c:v>65</c:v>
                </c:pt>
                <c:pt idx="2">
                  <c:v>84.48000000000002</c:v>
                </c:pt>
                <c:pt idx="3">
                  <c:v>51.31</c:v>
                </c:pt>
                <c:pt idx="4">
                  <c:v>127.58000000000001</c:v>
                </c:pt>
                <c:pt idx="5">
                  <c:v>71.99000000000001</c:v>
                </c:pt>
                <c:pt idx="6">
                  <c:v>116.06</c:v>
                </c:pt>
                <c:pt idx="7">
                  <c:v>60.339999999999975</c:v>
                </c:pt>
                <c:pt idx="8">
                  <c:v>1.7800000000000011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