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 Ensign Group, Inc.</w:t>
      </w:r>
    </w:p>
    <w:p>
      <w:pPr>
        <w:spacing w:after="60"/>
        <w:rPr>
          <w:color w:val="52514E"/>
          <w:sz w:val="22"/>
          <w:szCs w:val="22"/>
        </w:rPr>
      </w:pPr>
      <w:r>
        <w:rPr>
          <w:color w:val="52514E"/>
          <w:sz w:val="22"/>
          <w:szCs w:val="22"/>
        </w:rPr>
        <w:t xml:space="preserve">ENSG · Nasdaq Global Select Market · ISIN US29358P1012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173,05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170,30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-1,4 % (base +6,4 %)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92,27 USD · mercado 104,10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10.296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 Ensign Group,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ENSG / US29358P1012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Centros y servicios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Juan Capistrano (California) · 1999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https://www.ensigngroup.net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173,05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141,58 – 218,00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10.296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10.177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63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170,30 USD</w:t>
      </w:r>
      <w:r>
        <w:t xml:space="preserve"> frente a 173,05 · Rentabilidad a 12 meses </w:t>
      </w:r>
      <w:r>
        <w:rPr>
          <w:b/>
          <w:bCs/>
        </w:rPr>
        <w:t xml:space="preserve">-1,4 % (base +6,4 %)</w:t>
      </w:r>
      <w:r>
        <w:t xml:space="preserve"> · Valor intrínseco 92,27 USD · con la prima implícita del mercado: 104,10 (-39,8 %) · Alcista / bajista -46,6 % / -72,1 %</w:t>
      </w:r>
    </w:p>
    <w:p>
      <w:pPr>
        <w:spacing w:after="100"/>
      </w:pPr>
      <w:r>
        <w:t xml:space="preserve">The Ensign Group gestiona 398 residencias y centros de cuidados en 17 estados de EE. UU. (sobre todo Arizona, California y Texas): cuidados de enfermería y rehabilitación tras una hospitalización y vida asistida, más una inmobiliaria propia, Standard Bearer, dueña de 177 inmuebles [1, 2]. Facturó 5.487 M USD en los últimos 12 meses con un EBITDA de 582 M y un BPA GAAP de 6,38 USD [2, 10]. Crece rápido (+16,6 % previsto para 2026) comprando residencias con problemas y arreglándolas, y lleva años subiendo la guía: tres veces en 2026 [3].</w:t>
      </w:r>
    </w:p>
    <w:p>
      <w:pPr>
        <w:spacing w:after="100"/>
      </w:pPr>
      <w:r>
        <w:t xml:space="preserve">La calidad pasa. El ROIC del motor es del 18,9 % frente a un WACC del 9,8 % (+9,1 puntos) y el crecimiento es sostenible: el mercado crece ≈ 6 % y Ensign tiene el 2,3 % [11]. Con dos matices: el capital no incluye ≈ 1.990 M de arrendamientos (con ellos, ROIC ≈ 11 %) y el ROIC baja desde el 25 % de 2020 porque ahora compra inmuebles.</w:t>
      </w:r>
    </w:p>
    <w:p>
      <w:pPr>
        <w:spacing w:after="100"/>
      </w:pPr>
      <w:r>
        <w:t xml:space="preserve">La valoración no. El DCF da 81,60 USD (−52,8 %) y los escenarios 48-92 USD: el flujo después de compras es casi nulo y el precio solo se explica si las compras siguen rindiendo muy por encima del coste de capital durante una década. La regla a 12 meses, con un PER de 22,5 veces sobre un BPA GAAP de 2028e de 8,17 USD, da un objetivo base de 183,83 USD (+6,4 %) y ponderado de 170,30 (−1,4 %): Mantener. Señal de venta por encima de 189,51 USD.</w:t>
      </w:r>
    </w:p>
    <w:p>
      <w:pPr>
        <w:spacing w:after="100"/>
      </w:pPr>
      <w:r>
        <w:t xml:space="preserve">Los riesgos son regulatorios y concretos. Medicaid paga el 45 % de las ventas y la OBBB recorta los pagos dirigidos un 10 % al año desde 2028 y obliga a revisar la elegibilidad cada 6 meses desde 2027; Medicare (24 %) puede recortar el «case-mix creep». La plantilla mínima federal se derogó, pero el personal es el 60 % de los gastos. En junio, Hunterbrook y Muddy Waters publicaron informes bajistas (plantilla insuficiente, licencias de administradores) y la acción cayó un 16 % en un mes; ningún regulador ha actuado y la empresa respondió con recompras, pero hay una demanda colectiva y un CID del DOJ abierto desde 2024. El riesgo de IA es bajo y mixto (ayuda en lo administrativo; los algoritmos de las aseguradoras acortan estancias).</w:t>
      </w:r>
    </w:p>
    <w:p>
      <w:pPr>
        <w:spacing w:after="100"/>
      </w:pPr>
      <w:r>
        <w:t xml:space="preserve">Regla 13: no cambia; no hay hecho pendiente con fecha que mueva el precio más de un 5 %. El valor intrínseco del informe (DCF, escenarios y comparables) es de 92,27 USD, un 47 % bajo el precio.</w:t>
      </w:r>
    </w:p>
    <w:p>
      <w:pPr>
        <w:spacing w:after="100"/>
      </w:pPr>
      <w:r>
        <w:t xml:space="preserve">Convicción media: las dos reglas (absoluta y relativa) y la de 12 meses coinciden en no comprar y el precio está lejos de los umbrales (venta por encima de 189,51; compra solo por debajo de 92), pero el negocio es bueno y el BPA podría sorprender al alza otra vez. Subiría la convicción una actuación regulatoria por los informes bajistas o recortes de Medicaid ya concretados (hacia Vender); la bajaría una guía de 2027 muy fuerte con compras al ritmo de 2026. Conclusión: buena empresa, cara. Mantener, sin posición nueva.</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170,30 USD</w:t>
      </w:r>
      <w:r>
        <w:t xml:space="preserve"> (rentabilidad -1,4 % (base +6,4 %)) · Valor intrínseco: 92,27 USD (-46,7 % sobre 173,05) · con la prima implícita del mercado: 104,10 (-39,8 %)</w:t>
      </w:r>
    </w:p>
    <w:p>
      <w:pPr>
        <w:spacing w:after="100"/>
      </w:pPr>
      <w:r>
        <w:t xml:space="preserve">Ensign es el mejor operador de residencias de EE. UU. por historial (20 años creciendo con ROIC alto) y por modelo (centros autónomos, compras pequeñas y baratas). Pero a 173 USD el precio ya paga muchos años de compras rentables: el DCF da 82 USD y la regla a 12 meses, con el PER de su propia historia, solo un +6 % base. Con Medicaid como primer pagador y recortes ya legislados, no hay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 × 6,48 = 116,64 · 22,5x × 8,17 = 183,83 · 22,5x × 8,75 = 196,88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220,00 (nuestro base -16,4 %)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 / -72,1 %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9,8 %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(8,4 % anual proyectado; financiable al ROIC actual: 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92,27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92,27 y 189,51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189,51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del valor intrínseco (92,27 USD): Comprar, si la regla a 12 meses sigue dando ≥ 15 % ponderada y ≥ 12 % base.</w:t>
      </w:r>
    </w:p>
    <w:p>
      <w:pPr>
        <w:pStyle w:val="ListParagraph"/>
        <w:numPr>
          <w:ilvl w:val="0"/>
          <w:numId w:val="2"/>
        </w:numPr>
        <w:spacing w:after="60"/>
      </w:pPr>
      <w:r>
        <w:t xml:space="preserve">Precio por encima de 189,51 USD: Vender (ponderada ≤ −10 %).</w:t>
      </w:r>
    </w:p>
    <w:p>
      <w:pPr>
        <w:pStyle w:val="ListParagraph"/>
        <w:numPr>
          <w:ilvl w:val="0"/>
          <w:numId w:val="2"/>
        </w:numPr>
        <w:spacing w:after="60"/>
      </w:pPr>
      <w:r>
        <w:t xml:space="preserve">Un expediente regulatorio federal por los informes bajistas: rehacer el informe.</w:t>
      </w:r>
    </w:p>
    <w:p>
      <w:pPr>
        <w:pStyle w:val="ListParagraph"/>
        <w:numPr>
          <w:ilvl w:val="0"/>
          <w:numId w:val="2"/>
        </w:numPr>
        <w:spacing w:after="60"/>
      </w:pPr>
      <w:r>
        <w:t xml:space="preserve">Recorte de tarifas de Medicaid de más de un 3 % en un estado grande: rebajar el BPA.</w:t>
      </w:r>
    </w:p>
    <w:p>
      <w:pPr>
        <w:pStyle w:val="ListParagraph"/>
        <w:numPr>
          <w:ilvl w:val="0"/>
          <w:numId w:val="2"/>
        </w:numPr>
        <w:spacing w:after="60"/>
      </w:pPr>
      <w:r>
        <w:t xml:space="preserve">Compras que se frenan (menos de 15 operaciones al año): rebajar el crecimiento y el múltiplo.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Ensign seguirá comprando centros y subiendo la guía muchos años, con un objetivo medio de 220 USD (≈ 25 veces el BPA ajustado de 2027).</w:t>
      </w:r>
    </w:p>
    <w:p>
      <w:pPr>
        <w:keepNext/>
        <w:spacing w:after="100"/>
      </w:pPr>
      <w:r>
        <w:rPr>
          <w:b/>
          <w:bCs/>
        </w:rPr>
        <w:t xml:space="preserve">Lo que creemos nosotros.</w:t>
      </w:r>
    </w:p>
    <w:p>
      <w:pPr>
        <w:spacing w:after="100"/>
      </w:pPr>
      <w:r>
        <w:t xml:space="preserve">Compartimos la calidad, pero el valor real (92,27 USD; 104,10 con la prima del mercado) está muy por debajo del precio y el PER de la propia historia solo da +6 % base a 12 meses.</w:t>
      </w:r>
    </w:p>
    <w:p>
      <w:pPr>
        <w:keepNext/>
        <w:spacing w:after="100"/>
      </w:pPr>
      <w:r>
        <w:rPr>
          <w:b/>
          <w:bCs/>
        </w:rPr>
        <w:t xml:space="preserve">Por qué podemos tener razón.</w:t>
      </w:r>
    </w:p>
    <w:p>
      <w:pPr>
        <w:spacing w:after="100"/>
      </w:pPr>
      <w:r>
        <w:t xml:space="preserve">Los analistas valoran por múltiplos del historial; el DCF muestra que el flujo después de compras es casi nulo y que la OBBB recorta Medicaid desde 2027-2028.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73,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Historial</w:t>
      </w:r>
      <w:r>
        <w:t xml:space="preserve">: 20 años creciendo, guía subida tres veces en 2026; ocupación del 82,9 % y mezcla de Medicare al alza [3].</w:t>
      </w:r>
    </w:p>
    <w:p>
      <w:pPr>
        <w:pStyle w:val="ListParagraph"/>
        <w:numPr>
          <w:ilvl w:val="0"/>
          <w:numId w:val="2"/>
        </w:numPr>
        <w:spacing w:after="60"/>
      </w:pPr>
      <w:r>
        <w:rPr>
          <w:b/>
        </w:rPr>
        <w:t xml:space="preserve">Calidad</w:t>
      </w:r>
      <w:r>
        <w:t xml:space="preserve">: ROIC del 18,9 % frente a un WACC del 9,8 % y deuda casi nula (caja neta de 123 M) [2].</w:t>
      </w:r>
    </w:p>
    <w:p>
      <w:pPr>
        <w:pStyle w:val="ListParagraph"/>
        <w:numPr>
          <w:ilvl w:val="0"/>
          <w:numId w:val="2"/>
        </w:numPr>
        <w:spacing w:after="60"/>
      </w:pPr>
      <w:r>
        <w:rPr>
          <w:b/>
        </w:rPr>
        <w:t xml:space="preserve">Mercado</w:t>
      </w:r>
      <w:r>
        <w:t xml:space="preserve">: el envejecimiento hace crecer la demanda y el sector está fragmentado (cuota del 2,3 %) [11].</w:t>
      </w:r>
    </w:p>
    <w:p>
      <w:pPr>
        <w:pStyle w:val="ListParagraph"/>
        <w:numPr>
          <w:ilvl w:val="0"/>
          <w:numId w:val="2"/>
        </w:numPr>
        <w:spacing w:after="60"/>
      </w:pPr>
      <w:r>
        <w:rPr>
          <w:b/>
        </w:rPr>
        <w:t xml:space="preserve">Regulación de personal</w:t>
      </w:r>
      <w:r>
        <w:t xml:space="preserve">: plantilla mínima federal derogada y aplazada hasta 2034 [2, 14].</w:t>
      </w:r>
    </w:p>
    <w:p>
      <w:pPr>
        <w:pStyle w:val="ListParagraph"/>
        <w:numPr>
          <w:ilvl w:val="0"/>
          <w:numId w:val="2"/>
        </w:numPr>
        <w:spacing w:after="60"/>
      </w:pPr>
      <w:r>
        <w:rPr>
          <w:b/>
        </w:rPr>
        <w:t xml:space="preserve">Standard Bearer</w:t>
      </w:r>
      <w:r>
        <w:t xml:space="preserve">: 177 inmuebles propios que bajan la dependencia de los alquileres [2].</w:t>
      </w:r>
    </w:p>
    <w:p>
      <w:pPr>
        <w:pStyle w:val="Heading2"/>
      </w:pPr>
      <w:r>
        <w:t xml:space="preserve">En contra</w:t>
      </w:r>
    </w:p>
    <w:p>
      <w:pPr>
        <w:pStyle w:val="ListParagraph"/>
        <w:numPr>
          <w:ilvl w:val="0"/>
          <w:numId w:val="2"/>
        </w:numPr>
        <w:spacing w:after="60"/>
      </w:pPr>
      <w:r>
        <w:rPr>
          <w:b/>
        </w:rPr>
        <w:t xml:space="preserve">Valor real</w:t>
      </w:r>
      <w:r>
        <w:t xml:space="preserve">: DCF de 81,60 USD, un 53 % bajo el precio; ni el escenario alcista llega a 93.</w:t>
      </w:r>
    </w:p>
    <w:p>
      <w:pPr>
        <w:pStyle w:val="ListParagraph"/>
        <w:numPr>
          <w:ilvl w:val="0"/>
          <w:numId w:val="2"/>
        </w:numPr>
        <w:spacing w:after="60"/>
      </w:pPr>
      <w:r>
        <w:rPr>
          <w:b/>
        </w:rPr>
        <w:t xml:space="preserve">Medicaid</w:t>
      </w:r>
      <w:r>
        <w:t xml:space="preserve">: 45 % de las ventas, con recortes de la OBBB desde 2027-2028 [2].</w:t>
      </w:r>
    </w:p>
    <w:p>
      <w:pPr>
        <w:pStyle w:val="ListParagraph"/>
        <w:numPr>
          <w:ilvl w:val="0"/>
          <w:numId w:val="2"/>
        </w:numPr>
        <w:spacing w:after="60"/>
      </w:pPr>
      <w:r>
        <w:rPr>
          <w:b/>
        </w:rPr>
        <w:t xml:space="preserve">Informes bajistas y CID del DOJ</w:t>
      </w:r>
      <w:r>
        <w:t xml:space="preserve">: incertidumbre legal sin fecha de cierre [2, 25].</w:t>
      </w:r>
    </w:p>
    <w:p>
      <w:pPr>
        <w:pStyle w:val="ListParagraph"/>
        <w:numPr>
          <w:ilvl w:val="0"/>
          <w:numId w:val="2"/>
        </w:numPr>
        <w:spacing w:after="60"/>
      </w:pPr>
      <w:r>
        <w:rPr>
          <w:b/>
        </w:rPr>
        <w:t xml:space="preserve">Arrendamientos</w:t>
      </w:r>
      <w:r>
        <w:t xml:space="preserve">: con ≈ 1.990 M de alquileres como deuda, el ROIC baja a ≈ 11 % [2].</w:t>
      </w:r>
    </w:p>
    <w:p>
      <w:pPr>
        <w:pStyle w:val="ListParagraph"/>
        <w:numPr>
          <w:ilvl w:val="0"/>
          <w:numId w:val="2"/>
        </w:numPr>
        <w:spacing w:after="60"/>
      </w:pPr>
      <w:r>
        <w:rPr>
          <w:b/>
        </w:rPr>
        <w:t xml:space="preserve">Directivos</w:t>
      </w:r>
      <w:r>
        <w:t xml:space="preserve">: venden 13,6 M en 12 meses y no compran [20].</w:t>
      </w:r>
    </w:p>
    <w:p>
      <w:pPr>
        <w:pStyle w:val="Heading2"/>
      </w:pPr>
      <w:r>
        <w:t xml:space="preserve">Qué tiene que pasar para que la tesis funcione</w:t>
      </w:r>
    </w:p>
    <w:p>
      <w:pPr>
        <w:spacing w:after="100"/>
      </w:pPr>
      <w:r>
        <w:t xml:space="preserve">Las tarifas de Medicaid de California, Texas y Arizona y cómo aplican los estados la OBBB; la propuesta de Medicare de FY28 (abril de 2027); cualquier actuación regulatoria a partir de los informes bajistas; y el margen EBITDA trimestral (personal).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7,75-7,85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7,75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regla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orgánico.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personal frente a tarifas.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Medicaid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Recorte de tarifas en CA, TX o AZ</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OBBB.</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Operaciones nuevas al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(2025); 23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inorgánico.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 / 20,5x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Ensign nació en 1999 en California, fundada por Roy Christensen y su hijo Christopher con la idea de comprar residencias con problemas y darles autonomía local [1]. Salió a bolsa en el Nasdaq en 2007. En 2014 escindió sus inmuebles en CareTrust REIT, y en octubre de 2019 su negocio de cuidados en casa, hospicio y vida asistida en The Pennant Group [1]. En 2019 Barry Port sustituyó a Christopher Christensen como consejero delegado, y en septiembre de 2025 asumió también la presidencia cuando Christensen se retiró [1]. Desde 2022 los inmuebles propios están en Standard Bearer, una REIT cautiva. Ha pasado de 245 operaciones en 2021 a 398 en 2026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California por la familia Christensen.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los inmuebles en CareTrust REIT.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The Pennant Group (cuidados en casa, hospicio, vida asistida); Barry Port,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Standard Bearer Healthcare REIT agrupa los inmuebles propios.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48 M USD por el caso de directores médicos; CID del Departamento de Justicia sobre facturación en Texas.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operaciones nuevas; Christopher Christensen se retira y Port preside el consejo.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 Hunterbrook y Muddy Waters (junio); 20 centros comprados en Texas; línea de crédito de 800 M.</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Ensign es el mayor operador cotizado de residencias de cuidados especializados («skilled nursing facilities», SNF) de EE. UU. por número de centros: 398 operaciones en 17 estados a julio de 2026, 32 de ellas con vida asistida en el mismo campus [3]. Atiende sobre todo a dos tipos de paciente: el de corta estancia que sale del hospital y necesita rehabilitación o cuidados de enfermería (pagado por Medicare o por seguros privados de Medicare Advantage) y el residente de larga estancia con dependencia, pagado mayoritariamente por Medicaid [1]. Cada centro es una filial con su propio director y su plantilla; un «Service Center» central da contabilidad, nóminas, sistemas y compras, y una filial cautiva asegura la responsabilidad profesional [1]. Desde 2022 los inmuebles propios están en Standard Bearer, una REIT cautiva que alquila a los centros de Ensign y a terceros (177 inmuebles a junio de 2026) [3]. La empresa crece comprando centros con malos resultados y mejorándolos: 102 operaciones nuevas desde 2024 [3].</w:t>
      </w:r>
    </w:p>
    <w:p>
      <w:pPr>
        <w:pStyle w:val="Heading2"/>
      </w:pPr>
      <w:r>
        <w:t xml:space="preserve">Cómo gana dinero</w:t>
      </w:r>
    </w:p>
    <w:p>
      <w:pPr>
        <w:spacing w:after="100"/>
      </w:pPr>
      <w:r>
        <w:t xml:space="preserve">Cobra por día de estancia: en el 2T26 la tarifa media de enfermería fue de 435 USD/día, 822 USD con Medicare, 609 con seguros privados y 314 con Medicaid [3]. El margen depende de tres cosas: la ocupación (82,9 % en el 2T26), la mezcla de pacientes de alta complejidad (50 % de los ingresos de enfermería) y el coste de personal, que es alrededor del 60 % de todos los gastos [1, 3]. El alquiler de los centros arrendados es el segundo coste fijo (239 M en 2025, el 4,7 % de las ventas) [1]. Hay apalancamiento operativo: con la plantilla mínima cubierta, cada punto de ocupación adicional deja mucho margen. Por eso un centro comprado con el 70 % de ocupación tarda dos o tres años en llegar al margen de los maduros. Ingresos casi sin estacionalidad (algo más en invierno por las gripes)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enfermería (Skilled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Standard Bearer (inmobiliaria)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(vida asistida, auxiliares y servicios centrales)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enfermería (Skilled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Standard Bearer (inmobiliaria)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(vida asistida, auxiliares y servicios centrales)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«cliente» es el pagador público o privado de cada estancia. En el 2T26 Medicaid supuso el 39,6 % de los ingresos de servicios, Medicare el 23,7 % y Medicaid de cuidados especializados el 5,6 %: el 68,9 % depende de programas públicos; seguros privados de Medicare Advantage y otros («managed care») el 18,5 % y privados y otros el 12,6 % [3]. Por días, Medicaid es el 58,6 % de las estancias de enfermería [3]. No hay contratos de duración: las tarifas de Medicare las fija CMS cada año (+3,2 % para el año fiscal 2026 y +2,4 % para 2027) y las de Medicaid cada estado [2]. El poder de precio es limitado y regulado; la empresa lo compensa con mezcla (más pacientes de Medicare y seguros, con tarifas de 609-822 USD/día frente a 314 USD de Medicaid)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acumuladas (centros)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(2025); 398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245 en 2021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 (camas operativas,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82,9 % en el 2T26; 84,1 % en los centros iguales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Mezcla de pacientes de alta complejidad (% de ingresos de enfermería)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 en el 2T26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diaria media de Medicare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800,94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822,24 en el 2T26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diaria media de Medicaid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313,78 en el 2T26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Inmuebles propios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144 explotados por filiales de Ensign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de residencias de cuidados especializados y de larga estancia en EE. UU.: gasto nacional en «nursing care facilities and continuing care retirement communities» de las cuentas sanitarias de CMS, que incluye todos los pagadores [11]. Es más amplio que lo que Ensign vende (incluye comunidades de jubilación), pero es la única serie oficial y homogénea; la proyección del actuario de CMS (Skilled Nursing News) se usa para los años futuros, con la advertencia de que partía de una cifra de 2024 más alta (228.800 M) que la definitiva (219.900 M) [11,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219.900 M USD en 2024 (+7,3 %)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5e en adelante: estimación propia con las tasas del actuario de CM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(mayores de 80 años)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actuario de CMS proyecta un crecimiento del gasto del 6,2 % anual en 2026-2027 y del 5,6 % en 2028-2033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en el año fiscal 2026 y +2,4 % en 2027 (cesta de mercado 3,3 % − productividad 0,9)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Medicaid por los estados (OBBB)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Congela nuevos impuestos a proveedores (las residencias quedan exentas), limita los pagos dirigidos un 10 % al año desde 2028 y obliga a revisar la elegibilidad cada seis meses desde 2027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y disponibilidad de personal de enfermería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personal es ~60 % de los gastos de Ensign; muchos estados tienen ratios mínimos propios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Desplazamiento hacia cuidados en casa y Medicare Advantage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seguros privados pagan menos por día que Medicare tradicional (609 frente a 822 USD en Ensign) y acortan estancias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Oferta: cierres de centros y poca construcción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número de residencias ha bajado ligeramente en los últimos años, según la empresa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Miles de operadores locales y regionales; se compite por derivaciones de hospitales y por calidad (estrellas de CMS) más que por precio, porque la tarifa la fija el pagador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Medicare, Medicaid y Medicare Advantage pagan el 87 % de los ingresos y fijan las tarifas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de enfermería escaso y caro (~60 % de los gastos) y propietarios REIT con contratos de alquiler a largo plazo con subidas anuales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estatales y certificados de necesidad en muchos estados limitan las camas nuevas; entrar es comprar centros existentes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Cuidados en casa, hospitales de rehabilitación y vida asistida para los menos dependientes; la OBBB facilita a los estados financiar cuidados en casa [2].</w:t>
            </w:r>
          </w:p>
        </w:tc>
      </w:tr>
    </w:tbl>
    <w:p>
      <w:pPr>
        <w:spacing w:after="160" w:before="0"/>
      </w:pPr>
    </w:p>
    <w:p>
      <w:pPr>
        <w:pStyle w:val="Heading2"/>
      </w:pPr>
      <w:r>
        <w:t xml:space="preserve">Ciclo</w:t>
      </w:r>
    </w:p>
    <w:p>
      <w:pPr>
        <w:spacing w:after="100"/>
      </w:pPr>
      <w:r>
        <w:t xml:space="preserve">La ocupación de Ensign sigue subiendo (80,5 % en 2024, 82,2 % en 2025, 82,9 % en el 2T26) tras el hundimiento de la COVID, y el gasto nacional creció un 8,7 % en 2023 y un 7,3 % en 2024 [1, 3, 11]. El sector es poco cíclico frente a la economía (2008-09 apenas le afectó), pero sí frente a la política: en 2020 la COVID vació residencias y solo las ayudas federales sostuvieron márgenes; en 2022-2023 la falta de personal disparó los costes de agencias. El riesgo del ciclo hoy es fiscal: los recortes federales a Medicaid desde 2027-2028 [2].</w:t>
      </w:r>
    </w:p>
    <w:p>
      <w:pPr>
        <w:pStyle w:val="Heading2"/>
      </w:pPr>
      <w:r>
        <w:t xml:space="preserve">Regulación</w:t>
      </w:r>
    </w:p>
    <w:p>
      <w:pPr>
        <w:spacing w:after="100"/>
      </w:pPr>
      <w:r>
        <w:t xml:space="preserve">Medicare paga por el sistema PDPM con una subida del 2,4 % desde el 1-oct-2026; CMS pidió información sobre el aumento de la complejidad declarada («case-mix creep»), que podría traer recortes en la regla de 2028 [13]. La norma federal de plantilla mínima de 2024 (3,48 horas por residente y día y enfermera titulada 24/7) quedó suspendida hasta 2034 por la OBBB y CMS la derogó el 2-dic-2025; sigue vigente la enfermera 8 horas diarias y las ratios de cada estado [2, 14]. La OBBB (4-jul-2025) recorta la financiación de Medicaid de forma gradual desde 2027-2028 [2].</w:t>
      </w:r>
    </w:p>
    <w:p>
      <w:pPr>
        <w:pStyle w:val="Heading2"/>
      </w:pPr>
      <w:r>
        <w:t xml:space="preserve">Tendencias y disrupción</w:t>
      </w:r>
    </w:p>
    <w:p>
      <w:pPr>
        <w:spacing w:after="100"/>
      </w:pPr>
      <w:r>
        <w:t xml:space="preserve">Tres tendencias. Medicare Advantage gana peso y paga menos por día (en Ensign el 18,5 % de los ingresos) [3]. Los datos públicos de plantilla y calidad de CMS (Care Compare, Payroll Based Journal) son cada vez más usados por reguladores, demandantes y vendedores en corto, como se vio en junio de 2026 [16, 17]. Y la consolidación: operadores en quiebra o vendedores (Genesis) y REIT que buscan inquilinos nuevos dan a Ensign un flujo de compras que la empresa describe como el mejor de su historia [3]. La IA y la automatización afectan sobre todo al papeleo (documentación clínica, facturación) y no al cuidado directo.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operador cotizado de residencias de EE. UU. por centros (398) y segundo por ingresos tras PACS Group (5.551 M frente a 5.487 M en los últimos 12 meses); ≈ 2,3 % del gasto nacional en residencias de 2024 (5.058 M de 219.900 M, estimación propia) [11,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PACS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modelo de compra y mejora, más joven y más endeudado; margen EBITDA LTM del 8,6 % (Yahoo)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Genesis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líder; no cotiza y entró en concurso de acreedores en 2025 (Skilled Nursing News).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NHC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del sureste, propietario de sus inmuebles; margen EBITDA LTM del 12,2 % (Yahoo)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Brookdale Senior Living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BKD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asistida (no enfermería especializada); pérdidas en 2022-2025 y deuda alta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Encompass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EHC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de rehabilitación: compite por el mismo paciente que sale del hospital; margen EBITDA del 23,6 % con inmuebles propios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Pennant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PNTG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Escindida de Ensign en 2019: cuidados en casa, hospicio y vida asistida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«clusters» locales comparten prácticas y derivaciones de hospitales, pero no hay efecto de red propiamente dicho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paciente o el hospital eligen centro en cada ingreso.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estatales y certificados de necesidad protegen las camas existentes; la reputación clínica (calificaciones de CMS un 23 % mejores que la media de sus estados, más del 80 % con 4 o 5 estrellas en calidad) atrae derivaciones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descentralizado y escala en compras, sistemas y seguros; el EBIT del segmento de enfermería es el 12,7 % de sus ventas en 2025 frente a un margen EBITDA del 8,6 % de PACS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locales con oferta limitada, pero sin barreras para que otro operador compre al lado.</w:t>
            </w:r>
          </w:p>
        </w:tc>
      </w:tr>
    </w:tbl>
    <w:p>
      <w:pPr>
        <w:spacing w:after="160" w:before="0"/>
      </w:pPr>
    </w:p>
    <w:p>
      <w:pPr>
        <w:pStyle w:val="Heading2"/>
      </w:pPr>
      <w:r>
        <w:t xml:space="preserve">Amenazas</w:t>
      </w:r>
    </w:p>
    <w:p>
      <w:pPr>
        <w:spacing w:after="100"/>
      </w:pPr>
      <w:r>
        <w:t xml:space="preserve">La principal amenaza no es un competidor sino el pagador: si los estados recortan Medicaid (el 39,6 % de los ingresos más el 5,6 % de Medicaid de cuidados especializados) o si CMS corrige el «case-mix creep» del PDPM, el margen baja para todo el sector [2, 3, 13]. La segunda es reputacional y regulatoria: las acusaciones de Hunterbrook (plantilla un 26,8 % por debajo de lo recomendado por CMS en 2024) y de Muddy Waters (licencias de administradores «alquiladas» en el ~20 % de los centros visitados) atacan justo la ventaja de calidad [16, 17]. La tercera, el precio de las compras: con más compradores (PACS, fondos) los centros con potencial de mejora se encarecen.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2020-2025: ingresos </w:t>
      </w:r>
      <w:r>
        <w:rPr>
          <w:b/>
          <w:bCs/>
        </w:rPr>
        <w:t xml:space="preserve">16,1 %</w:t>
      </w:r>
      <w:r>
        <w:t xml:space="preserve">, EBITDA </w:t>
      </w:r>
      <w:r>
        <w:rPr>
          <w:b/>
          <w:bCs/>
        </w:rPr>
        <w:t xml:space="preserve">13,8 %</w:t>
      </w:r>
      <w:r>
        <w:t xml:space="preserve">, BPA </w:t>
      </w:r>
      <w:r>
        <w:rPr>
          <w:b/>
          <w:bCs/>
        </w:rPr>
        <w:t xml:space="preserve">13,8 %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2.402,6 M USD en 2020 a 5.057,8 M en 2025 (TCAC del 16 %, según la propia empresa) y a 5.486,7 M en los doce meses a junio de 2026 [1, 3]. Más o menos la mitad del crecimiento es comprado: en 2025 los centros adquiridos desde 2024 sumaron 489,2 M de los 797,4 M de aumento, y el resto vino de ocupación (+2,1 puntos, al 82,2 %), más pacientes de alta complejidad («skilled mix» del 49,4 % de los ingresos de enfermería) y tarifas [1]. En el 2T26 los centros «iguales» (comprados antes de 2023) crecieron un 6,6 % y el total un 17,3 % [3]. El margen EBITDA (EBIT + amortizaciones) fue del 11,6 % en 2020, 12,0 % en 2021 y 11,9 % en 2022; cayó al 8,8 % en 2023 por el litigio de 60,8 M (10,4 % sin él) y se ha recuperado al 10,5 % en 2025 y al 10,9 % en el 1S26 [1, 3, 7]. Los centros recién comprados tienen menos ocupación (76,6 % en el 2T26) y diluyen el margen hasta que maduran [3].</w:t>
      </w:r>
    </w:p>
    <w:p>
      <w:pPr>
        <w:pStyle w:val="Heading2"/>
      </w:pPr>
      <w:r>
        <w:t xml:space="preserve">Ajustes y partidas no recurrentes</w:t>
      </w:r>
    </w:p>
    <w:p>
      <w:pPr>
        <w:spacing w:after="100"/>
      </w:pPr>
      <w:r>
        <w:t xml:space="preserve">Cifras GAAP. La empresa publica un BPA «ajustado» que excluye la remuneración en acciones (48,3 M en 2025, 30,1 M en el 1S26), los costes de implantación de sistemas, los costes de compras, la amortización de la «base de pacientes» comprada y los litigios fuera del curso normal [3, 5]. La diferencia es grande y recurrente: 6,57 USD ajustado frente a 5,84 GAAP en 2025 y 3,77 frente a 3,35 en el 1S26 [3, 5]. Como la remuneración en acciones es un coste real que se repite, el informe trabaja en GAAP; solo se trata como no recurrente el litigio de directores médicos de 2023 (60,8 M dentro del EBITDA; acuerdo de 48 M en enero de 2024) [7]. En 2020-2023 los ingresos incluyen ayudas estatales ligadas a la COVID (75,2 M en 2021, 81,8 M en 2022, 64,8 M en 2023) [7].</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(27-jul-2026) la dirección subió por tercera vez la guía de 2026: BPA ajustado de 7,75-7,85 USD (antes 7,48-7,62; la inicial de febrero era 7,41-7,61) e ingresos de 5.870-5.920 M [3, 4, 5]. El BPA ajustado de 1,92 USD batió en 0,07 la previsión media y los ingresos quedaron en línea (titulares de Seeking Alpha). El mensaje cambió respecto al 1T: además de ocupación (84,1 % en los centros iguales, +2,7 %) y mezcla de pacientes, el consejero delegado dedicó el comunicado a la calidad clínica (calificaciones de CMS un 23 % mejores que la media de sus estados, ningún centro en la lista de «Special Focus Facilities», rotación de directores un 46 % menor) y a la plantilla, en clara respuesta a los informes bajistas de junio, sin nombrarlos [3]. El responsable de inversiones advirtió que los 20 centros comprados en Texas tienen ocupación baja y «retos clínicos y operativos importantes» [3]. La empresa no ha respondido públicamente punto por punto a Hunterbrook y Muddy Waters; a UBS le dijo que los datos de plantilla del «Payroll Based Journal» de CMS están incompletos y que solo 6 de sus 396 centros tenían el administrador en transición (Orange County Business Journal).</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si no se cuentan los arrendamientos: 262,3 M de caja frente a 139,7 M de deuda hipotecaria a junio de 2026 [2]. La caja bajó desde 503,9 M en diciembre porque las compras del semestre (376,0 M, casi todo inmuebles de 20 centros en Texas) y las recompras (40 M) superaron al flujo operativo (272,1 M) [2]. El circulante comercial (clientes − proveedores) ronda el 10,5 % de las ventas y los días de cobro han estado estables en ~45 días [1]. El apalancamiento real está en los alquileres: 2.110,6 M de pasivo por arrendamiento, unas 3,6 veces el EBITDA, con contratos de muy largo plazo con REIT (CareTrust, Omega, Sabra) y con Pennant [1,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1.544</w:t>
      </w:r>
      <w:r>
        <w:t xml:space="preserve">, conversión </w:t>
      </w:r>
      <w:r>
        <w:rPr>
          <w:b/>
          <w:bCs/>
        </w:rPr>
        <w:t xml:space="preserve">107 %</w:t>
      </w:r>
      <w:r>
        <w:t xml:space="preserve"> del beneficio neto; adquisiciones 779, dividendos 76, recompras 85.</w:t>
      </w:r>
    </w:p>
    <w:p>
      <w:pPr>
        <w:spacing w:after="100"/>
      </w:pPr>
      <w:r>
        <w:t xml:space="preserve">El flujo operativo fue de 564,3 M en 2025 (347,2 en 2024 y 376,7 en 2023), una conversión de 1,6 veces el beneficio neto, ayudada por la remuneración en acciones (48,3 M) y por el aumento de salarios y provisiones de autoseguro devengadas (82,8 y 35,3 M) [1]. La inversión en inmovilizado (193,6 M en 2025, el 3,8 % de las ventas) mezcla mantenimiento y reformas de centros comprados; la empresa no separa el de mantenimiento (estimación propia: ~1,5-2 % de las ventas, cerca de la amortización). Las compras son la inversión de crecimiento: 323,3 M en 2025 y 376,0 M solo en el 1S26, sobre todo inmuebles que pasan a Standard Bearer [1, 2]. Con compras, el flujo libre de 2025 fue de 47,4 M; sin ellas, 370,7 M [1]. Dividendos pequeños (14,4 M) y recompras de 20 M en 2025 y 40 M en el 1S26 [1,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en US GAAP con opinión favorable de Deloitte [1]. Tres puntos piden atención. Primero, la remuneración en acciones es alta y creciente (48,3 M en 2025, 1 % de las ventas; 202,6 M pendientes de reconocer a junio de 2026) y la empresa la excluye de su BPA ajustado [2, 5]. Segundo, los ingresos se reconocen por estancias con tarifas pactadas más consideración variable (ajustes de Medicare y Medicaid), y las cuentas a cobrar crecieron con las ventas (637 M, 12,6 % de las ventas) [1]. Tercero, las acusaciones de junio de 2026 (Hunterbrook y Muddy Waters) no son contables, pero tocan la base de los ingresos: si un centro no tiene administrador con licencia, Medicare y Medicaid pueden reclamar lo cobrado; la empresa no ha provisionado nada ni ha anunciado una investigación interna [2]. El Beneish y el Piotroski del motor salen sin alertas en 2024-2025; el Altman Z es alto porque el pasivo por arrendamiento no entra como deuda.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excluida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48,3 M en 2025 (0,73 USD de diferencia entre BPA ajustado y GAAP)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CID del Departamento de Justicia sin resolver (Medicare y Medicaid de Texas desde 2016)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Recibida en enero de 2024; sin provisión ni estimación [2]. En 2024 pagó 48 M por otro caso de la Ley de Reclamaciones Falsas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Acusaciones de vendedores en corto sobre plantilla y licencias de administradores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acción de ningún regulador cuatro meses después; demanda colectiva de accionistas presentada en octubre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98 M en 2025 (el 6 % del capital invertido medio); ha subido más de un 5 % en 3 de 5 años: comprador en serie. ROIC publicado 18,9 %; sin fondo de comercio, 20,1 %.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14,5 % · </w:t>
      </w:r>
      <w:r>
        <w:rPr>
          <w:b/>
          <w:bCs/>
        </w:rPr>
        <w:t xml:space="preserve">WACC</w:t>
      </w:r>
      <w:r>
        <w:t xml:space="preserve">: 9,8 %.</w:t>
      </w:r>
    </w:p>
    <w:p>
      <w:pPr>
        <w:spacing w:after="100"/>
      </w:pPr>
      <w:r>
        <w:t xml:space="preserve">Ensign crea valor desde hace años con el ROIC del motor: 25,2 % en 2020 y 18,9 % en 2025, frente a un WACC del 9,8 % (+9,1 puntos), y un ROIC incremental del 14,5 % en 2020-2025 [1, 10]. Lo mueve la rotación (≈ 1,0 veces el activo) más que el margen (6,8 % neto): el modelo es alquilar o comprar barato residencias con problemas y subir la ocupación y la mezcla de pacientes de Medicare. El ROIC baja año a año (de 25 % a 19 %) porque desde 2024 compra más inmuebles (Standard Bearer) en vez de alquilarlos: 155 M en 2024, 327 M en 2025 y 375 M solo en el 1S26 [1, 2]. Ojo: el capital invertido no incluye los arrendamientos de los centros (≈ 1.990 M de pasivo [2]); tratándolos como deuda, el ROIC baja a ≈ 11 %, solo 1-2 puntos por encima del WACC [2]. PACS, el rival más parecido, tiene márgenes menores (8,6 % de EBITDA frente al 10,6 %) [28].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262,3 M USD a 30-jun-2026 y 591,6 M disponibles en la línea de crédito; la línea se amplió a 800 M con vencimiento en agosto de 2031 (8-K del 20-ago-2026) [2,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deuda financiera son préstamos hipotecarios a largo plazo asegurados por HUD sobre inmuebles propios (139,7 M a 30-jun-2026; 124,5 M vencen después de 2030) [1, 2]. Los arrendamientos operativos de 253 centros suman 2.110,6 M de pasivo (121,1 corto + 1.989,5 largo) y 242 M de pagos en 2025; en US GAAP el alquiler ya resta en el EBITDA y no se suman a la deuda [1, 2]. Seguros propios (filial cautiva): provisiones de autoseguro de 295,8 M frente a 268,6 M de inversiones y depósitos de la filial (210,1 + 58,5) [2]. Litigios: acuerdo de 12 M por demandas laborales en California (provisionado), CID del Departamento de Justicia de enero de 2024 sobre facturación a Medicare y Medicaid de Texas desde 2016 (sin provisión ni estimación) y la revisión de la oficina de costes sanitarios de California (OHCA), recurrida en los tribunales [2].</w:t>
      </w:r>
    </w:p>
    <w:p>
      <w:pPr>
        <w:pStyle w:val="Heading1"/>
      </w:pPr>
      <w:r>
        <w:t xml:space="preserve">12. Asignación de capital</w:t>
      </w:r>
    </w:p>
    <w:p>
      <w:pPr>
        <w:pStyle w:val="Confianza"/>
        <w:spacing w:after="100"/>
      </w:pPr>
      <w:r>
        <w:t xml:space="preserve">Confianza: Media</w:t>
      </w:r>
    </w:p>
    <w:p>
      <w:pPr>
        <w:spacing w:after="100"/>
      </w:pPr>
      <w:r>
        <w:t xml:space="preserve">Prioridad declarada: crecer comprando o alquilando residencias con problemas (sobre todo en Arizona, California, Texas y el oeste) y, desde hace dos años, comprar los inmuebles a través de Standard Bearer, su inmobiliaria cautiva (177 inmuebles a junio de 2026) [1, 2]. Dividendo pequeño (0,065 USD por trimestre, ≈ 0,15 % de rentabilidad) subido 23 años seguidos [5]. Recompras oportunistas: 20 M en el 1S25 y 40 M en el 2T26 (257.000 acciones a ≈ 156 USD), con una autorización ampliada a 100 M en junio de 2026, tras los informes bajistas [2, 23]. Deuda casi nula (139,7 M de hipotecas frente a 262,3 M de caja) y una línea de crédito renovada en agosto de 2026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enfermería e inmuebles (compras y arrendamientos a largo plazo)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las operaciones pasan de 228 a 245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enfermería e inmuebles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enfermería e inmuebles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del fondo de comercio en 2023-2025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e inmuebles (154,9 M de inmuebles)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Ocupación de los centros iguales al alza;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 residencias de enfermería, 5 de vida asistida y 1 campus en varios estados (4.175 camas); 326,7 M de inmuebles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 9 de los 24 puntos de crecimiento de 2025;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(1S)</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residencias de enfermería y 2 campus en cuatro estados; 375,3 M de inmuebles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pronto; maduran en 2-3 años [2].</w:t>
            </w:r>
          </w:p>
        </w:tc>
      </w:tr>
    </w:tbl>
    <w:p>
      <w:pPr>
        <w:spacing w:after="160" w:before="0"/>
      </w:pPr>
    </w:p>
    <w:p>
      <w:pPr>
        <w:spacing w:after="100"/>
      </w:pPr>
      <w:r>
        <w:t xml:space="preserve">Es un comprador en serie disciplinado: compra centros pequeños, baratos y con problemas (casi nunca empresas con fondo de comercio: 98 M, el 6 % del capital) y los arregla en 2-3 años, sin deterioros publicados en 2023-2025 y con caja propia [1]. El cambio reciente es de forma de pago: compra más inmuebles en vez de alquilar, lo que sube el capital invertido, baja el ROIC publicado y hace caer el flujo libre después de compras a 47 M en 2025 (419 M antes de compras en el LTM). El crecimiento de los últimos años (≈ 16-24 % de ventas) lleva dentro 5-9 puntos de compras: el orgánico ronda el 7-9 % [1, 3]. Las recompras de junio (≈ 156 USD) fueron una respuesta a los informes bajistas, no una política.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R. Port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Ensign desde 2006; presidente de Keystone (Texas) y director de operaciones de Ensign Services 2012-2019; consejero delegado desde mayo de 2019 y presidente desde septiembre de 2025. Con él los ingresos se han duplicado y el BPA GAAP ha crecido un 14 % anual entre 2020 y 2025 [3,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Suzanne D. Snapper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y vicepresidenta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Ensign desde abril de 2007, directora financiera desde agosto de 2009 y consejera desde 2022; llevó las escisiones de CareTrust (2014) y Pennant (2019) y la creación de Standard Bearer (2022)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Chad A. Keetch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inversiones y vicepresidente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las compras y de Standard Bearer; 102 operaciones nuevas desde 2024 [3,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W. Burton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de Ensign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día a día de los centros desde la escisión de Pennant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Marivic Uychiat Pison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de servicios clínicos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Enfermera, 22 años en la empresa; consejera desde septiembre de 2025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6,22-6,38 USD (julio de 2025), elevada a 6,34-6,46 y a 6,48-6,54 (noviembre)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6,57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7,41-7,61 USD (febrero), elevada a 7,48-7,62 (abril) y a 7,75-7,85 (julio); ingresos 5.870-5.920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3,77 USD en el 1S26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formado dentro de la casa: el consejero delegado lleva en Ensign desde 2006 y la directora financiera desde 2007 [18, 21]. La guía se cumple y se eleva casi cada trimestre (2025 cerró en 6,57 frente a una última guía de 6,48-6,54) [3]. La sucesión del fundador fue ordenada (2019 consejero delegado, 2025 presidencia) [21]. El punto débil es la credibilidad pública tras junio de 2026: la dirección respondió con una recompra y mensajes de calidad, no con una refutación detallada, y la demanda colectiva nombra al consejero delegado y a la directora financiera [23, 25,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R. Port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Suzanne D. Snapper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directora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Marivic Uychiat Pison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vicepresidenta de servicios clínicos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M.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Swati B. Abbott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Daren J. Shaw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S. Blouin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cumplimiento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O. Agwunobi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Calidad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V. Parkinson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y cumplimiento;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12,59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del 13G/A de octubre de 2024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febrero de 2026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Wasatch Advisors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(13G/A de febrero de 2026)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R. Christensen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del consejo desde septiembre de 2025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opciones ejercitables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Barry R. Port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Spencer W. Burton (director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Beverly B. Wittekind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Suzanne D. Snapper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M. Smith (consejero; 700 acciones al mes)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la cúpula es casi toda variable y anual: el consejero delegado cobró 13,8 M USD en 2025, de ellos 0,55 M de fijo, 10,3 M de incentivo anual en efectivo y 2,9 M en acciones [18]. El incentivo sale de un fondo de directivos (41,9 M en 2025) calculado con una fórmula sobre el beneficio antes de impuestos ajustado, que el comité reparte mirando también criterios clínicos (inspecciones, reingresos, rotación de enfermería, estrellas de CMS) y de gobierno; en 2025 se restaron del cálculo la remuneración en acciones y el litigio laboral de 12 M; por encima de 5 M de fondo, el 25 % se paga en acciones con un año de permanencia [18]. No hay métricas de rentabilidad del capital (ROIC) ni de rentabilidad para el accionista a varios años: premia crecer el beneficio, también comprando centros. Ratio con el empleado mediano: 290 a 1 [18]. El voto consultivo de 2026 fue favorable (48,6 M a favor, 2,8 M en contra) [19]. Al fundador que se retiró se le pagó un bono de 2,07 M y se le aceleraron opciones [22].</w:t>
      </w:r>
    </w:p>
    <w:p>
      <w:pPr>
        <w:pStyle w:val="Heading2"/>
      </w:pPr>
      <w:r>
        <w:t xml:space="preserve">Operaciones vinculadas, estructura de control y defensas</w:t>
      </w:r>
    </w:p>
    <w:p>
      <w:pPr>
        <w:spacing w:after="100"/>
      </w:pPr>
      <w:r>
        <w:t xml:space="preserve">No hay accionista de control: el mayor es BlackRock (12,2 %) y la familia fundadora tiene ~2 % [18]. Una acción, un voto y mayoría para elegir consejeros, pero el consejo está escalonado en tres clases (cada consejero se elige cada tres años), lo que frena un cambio de control hostil [18]. En agosto de 2026 el consejo reformó los estatutos para endurecer los requisitos de las propuestas y candidaturas de accionistas (plazo de 90-120 días) [24]. Hay familiares de directivos en puestos de la empresa (hermano del fundador, cuñados del director de operaciones y del de inversiones), declarados como partes vinculadas de importe menor [18].</w:t>
      </w:r>
    </w:p>
    <w:p>
      <w:pPr>
        <w:pStyle w:val="Heading2"/>
      </w:pPr>
      <w:r>
        <w:t xml:space="preserve">Señales de alerta</w:t>
      </w:r>
    </w:p>
    <w:p>
      <w:pPr>
        <w:pStyle w:val="ListParagraph"/>
        <w:numPr>
          <w:ilvl w:val="0"/>
          <w:numId w:val="2"/>
        </w:numPr>
        <w:spacing w:after="60"/>
      </w:pPr>
      <w:r>
        <w:t xml:space="preserve">Demanda colectiva de accionistas Perusek v. The Ensign Group (C.D. Cal., 8:26-cv-02963), periodo 10-feb-2022 a 18-jun-2026, contra la empresa, el consejero delegado y la directora financiera; plazo para el demandante principal: 7-dic-2026 [25].</w:t>
      </w:r>
    </w:p>
    <w:p>
      <w:pPr>
        <w:pStyle w:val="ListParagraph"/>
        <w:numPr>
          <w:ilvl w:val="0"/>
          <w:numId w:val="2"/>
        </w:numPr>
        <w:spacing w:after="60"/>
      </w:pPr>
      <w:r>
        <w:t xml:space="preserve">CID del Departamento de Justicia (enero de 2024) sobre facturación a Medicare y Medicaid de Texas desde 2016, sin resolver [2].</w:t>
      </w:r>
    </w:p>
    <w:p>
      <w:pPr>
        <w:pStyle w:val="ListParagraph"/>
        <w:numPr>
          <w:ilvl w:val="0"/>
          <w:numId w:val="2"/>
        </w:numPr>
        <w:spacing w:after="60"/>
      </w:pPr>
      <w:r>
        <w:t xml:space="preserve">Informes de Hunterbrook y Muddy Waters (junio de 2026) sobre plantilla y licencias de administradores; la empresa negó en privado (a UBS) y no ha publicado una refutación [26].</w:t>
      </w:r>
    </w:p>
    <w:p>
      <w:pPr>
        <w:pStyle w:val="ListParagraph"/>
        <w:numPr>
          <w:ilvl w:val="0"/>
          <w:numId w:val="2"/>
        </w:numPr>
        <w:spacing w:after="60"/>
      </w:pPr>
      <w:r>
        <w:t xml:space="preserve">Presidente y consejero delegado en la misma persona desde septiembre de 2025, con consejo escalonado [18,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(27-jul-2026): BPA ajustado de 7,75-7,85 USD (+18,7 % en el punto medio) e ingresos de 5.870-5.920 M, con 59,5 M de acciones diluidas y un 25 % de impuesto; excluye remuneración en acciones, costes de sistemas y de compras, e incluye solo las compras que cierren hasta el 3T [3]. Es la tercera subida del año (inicial: 7,41-7,61). No hay plan a medio plazo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5 analistas (BPA ajustado)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5 analistas (BPA ajustado)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207,00 – 230,00</w:t>
            </w:r>
          </w:p>
        </w:tc>
      </w:tr>
    </w:tbl>
    <w:p>
      <w:pPr>
        <w:spacing w:after="160" w:before="0"/>
      </w:pPr>
    </w:p>
    <w:p>
      <w:pPr>
        <w:pStyle w:val="Heading2"/>
      </w:pPr>
      <w:r>
        <w:t xml:space="preserve">Revisiones de estimaciones</w:t>
      </w:r>
    </w:p>
    <w:p>
      <w:pPr>
        <w:spacing w:after="100"/>
      </w:pPr>
      <w:r>
        <w:t xml:space="preserve">Las estimaciones suben: el BPA de 2026 pasó de 7,56 USD hace 90 días a 7,81 y el de 2027 de 8,33 a 8,59, tras la subida de guía del 2T [28]. En 3 meses los objetivos se mantienen en 207-230 USD (RBC de 222 a 228 en julio; Oppenheimer 210 en septiembre; Truist mantener en octubre) [29]. Son estimaciones ajustadas (sin remuneración en acciones): la diferencia con el GAAP ronda los 0,85-0,90 USD por acción en 2026. Solo hay una fuente con estimaciones completas (Yahoo); Stock Analysis confirma el objetivo medio (220 USD) y el BPA de 2026 (7,81) [28, 29].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bl>
    <w:p>
      <w:pPr>
        <w:spacing w:after="160" w:before="0"/>
      </w:pPr>
    </w:p>
    <w:p>
      <w:pPr>
        <w:spacing w:after="100"/>
      </w:pPr>
      <w:r>
        <w:t xml:space="preserve">Ensign ha sido una de las mejores acciones del sector sanitario a largo plazo: +25,5 % anual en 10 años y +18,8 % en 5, frente a +15,4 % y +12,7 % del S&amp;P 500 [27]. En los últimos 12 meses va un −4,8 % frente al +16,6 % del índice: marcó máximos en 218 USD el 2-mar-2026, cayó hasta 141,58 el 11-jun tras los informes de Hunterbrook y Muddy Waters (−31,8 % desde máximos) y recuperó un 15 % tras los resultados del 2T26 [16, 17, 27]. La beta es baja (0,66 mensual a 5 años; 0,11 semanal a 2 años) y la volatilidad del 27,7 % [27].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 / +1,3 % / -12,4 % / -3,6 %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-19,8 % / +17,6 %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21 sesiones hasta el 22-oct-2025 (184,79 USD), antes de los resultados del 3T25 (3-nov, guía elevada); no hay un hecho propio que la explique en el día [6,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y guía de 2026 (4-feb): +13,8 % el 5-feb y máximo histórico de 218 USD el 2-mar [5,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gradual del 2-mar al 11-may (de 216 a 169 USD), sin ningún día de −5 %; los resultados del 1T (30-abr) subieron la guía. Sin hecho propio identificado: corrección del múltiplo tras la subida de febrero [4,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Informes bajistas: Hunterbrook (8-jun, plantilla insuficiente y pagos a filiales; −8,2 % en el día) y Muddy Waters (11-jun, licencias de administradores «alquiladas»; −3,0 %); mínimo de 141,58 USD [16, 17, 27]. La empresa amplió la recompra a 100 M y compró 40 M en el trimestre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2T26 (27-jul): ocupación y tarifas al alza y tercera subida de la guía de 2026 (BPA ajustado 7,75-7,85 USD) [3,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Hunterbrook publica que muchos centros de Ensign tienen menos plantilla de la que declaran y que pagó 339 M USD a filiales; posición corta declarada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un regulador (CMS, DOJ, un estado) abre un expediente nuevo sobre esos hechos, se rehace el informe.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Muddy Waters, corto: licencias de administradores «alquiladas» en 12 de 57 centros revisados; habla de sanciones teóricas de 7.000 M USD y de un EBIT de 2027 un 35 % menor [17]. La empresa dice a UBS que solo 6 de 396 centros tenían el administrador en transición; ningún regulador ha actuado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ampliada a 100 M USD; 257.000 acciones compradas por 40 M en el 2T26 (≈ 156 USD) [2,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Perusek v. The Ensign Group (C.D. Cal.) por las caídas de junio; plazo para el demandante principal el 7-dic-2026. Es la consecuencia habitual de los informes bajistas; sin fecha de decisión que mueva el precio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Requerimiento civil (CID) del Departamento de Justicia sobre la facturación a Medicare y Medicaid de centros de Texas desde 2016, sin resolver y sin fecha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DOJ presenta demanda o pide una cifra, se recalcula.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2025-10/2026-10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por 13,6 M USD en 12 meses, todas con planes 10b5-1 (Port 5,1 M); ninguna compra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2026-07/2026-10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analistas, 4 comprar y 1 mantener; objetivos de 207-230 USD sin recortes en 3 meses (RBC sube a 228 en julio) [28,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previstos hacia el 2-nov (fecha estimada, sin confirmar por la empresa)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está un 20 % por debajo del máximo de marzo y en tendencia bajista suave (−4,7 % bajo la media de 200). La caída de junio tiene una causa conocida, los informes de Hunterbrook y Muddy Waters, que este análisis recoge en riesgos y en el escenario bajista; los resultados del 2T26 la recuperaron en parte. No hay un hecho pendiente con fecha (colocación, ampliación, decisión regulatoria o judicial) que pueda mover el precio más de un 5 %: la demanda colectiva solo tiene plazos procesales y el CID del DOJ no tiene fecha. Los directivos venden con planes programados, sin compras. Veredicto: no cambia (y la acción no es compra por valoración, no por este bloque).</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PER GAAP de los últimos doce meses al cierre de cada año: 23,8 veces en 2020, 24,5 en 2021, 24,0 en 2022, 30,7 en 2023 (beneficio hundido por el litigio), 25,9 en 2024 y 29,8 en 2025 [27]. Hoy, 27,1 veces el BPA GAAP de los últimos 12 meses (6,38 USD) y 20,2 el ajustado del consenso de 2027 [28]. La caída desde marzo devolvió el múltiplo a la parte baja de su rango de cinco años: el mercado descuenta el riesgo regulatorio y legal de junio, no un peor negocio.</w:t>
      </w:r>
    </w:p>
    <w:p>
      <w:pPr>
        <w:pStyle w:val="Heading1"/>
      </w:pPr>
      <w:r>
        <w:t xml:space="preserve">18. Comparables cotizados</w:t>
      </w:r>
    </w:p>
    <w:p>
      <w:pPr>
        <w:pStyle w:val="Confianza"/>
        <w:spacing w:after="100"/>
      </w:pPr>
      <w:r>
        <w:t xml:space="preserve">Confianza: Media</w:t>
      </w:r>
    </w:p>
    <w:p>
      <w:pPr>
        <w:spacing w:after="100"/>
      </w:pPr>
      <w:r>
        <w:t xml:space="preserve">Operadores cotizados de EE. UU. de cuidados posagudos y de larga estancia que cobran de Medicare, Medicaid y seguros: PACS (el más parecido), National HealthCare, Encompass (rehabilitación hospitalaria), Pennant (cuidados en casa y vida asistida, escindida de Ensign), Addus (cuidados personales pagados por Medicaid) y Option Care (infusión en casa). Fuera: las REIT (CareTrust, Omega, Sabra), porque su BPA y su margen son de propietario; Brookdale, con pérdidas; y Select Medical, sin datos completos en la fuente.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Ensign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PACS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Encompass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Pennant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Addus HomeCare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Option Care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National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 / 17,0x / 18,5x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bl>
    <w:p>
      <w:pPr>
        <w:spacing w:after="160" w:before="0"/>
      </w:pPr>
    </w:p>
    <w:p>
      <w:pPr>
        <w:spacing w:after="100"/>
      </w:pPr>
      <w:r>
        <w:t xml:space="preserve">Ensign cotiza a 20.5 veces el BPA ajustado de los próximos 12 meses, por encima de la mediana de sus comparables (17) y por debajo solo de Pennant (26,2) [28]. La prima se apoya en el crecimiento (ventas NTM +17.3 % frente a +7-15 % del grupo) y en su historial de 20 años; PACS, con un crecimiento parecido, cotiza a 17 veces, con más deuda y menos historia [28]. Los múltiplos EV/EBITDA no se usan: el EBITDA de los operadores ya resta el alquiler y el valor empresa de la fuente suma los arrendamientos operativos, con perímetros muy distintos (Encompass es propietaria, PACS alquila casi todo). Usaría el PER.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es la guía (5.870-5.920 M, punto medio +16,6 %) con dos trimestres publicados [3]; el 2027e es el consenso de ventas (+11,2 %) [28]: unos 6 puntos orgánicos (ocupación del 82-84 %, mezcla de Medicare y tarifas: Medicare +2,4 % en FY27 [13]) y unos 5 de compras. Después las compras se van apagando y el orgánico converge al 4 % en 2033e. Las compras recientes inflan el crecimiento: el orgánico de los centros iguales ronda el 7-9 % [3].</w:t>
      </w:r>
    </w:p>
    <w:p>
      <w:pPr>
        <w:keepNext/>
        <w:spacing w:after="100"/>
      </w:pPr>
      <w:r>
        <w:rPr>
          <w:b/>
          <w:bCs/>
        </w:rPr>
        <w:t xml:space="preserve">Márgenes.</w:t>
      </w:r>
    </w:p>
    <w:p>
      <w:pPr>
        <w:spacing w:after="100"/>
      </w:pPr>
      <w:r>
        <w:t xml:space="preserve">Margen EBITDA (después del alquiler y de la remuneración en acciones) del 10,5 % en 2025 y del 10,9 % en el 1S26; sube despacio al 11,2 % al madurar los centros comprados y se queda ahí, por debajo del 11,6-12,0 % de 2020-2022 (años con ayudas COVID) [1, 3]. El personal es ≈ 60 % de los gastos: cada punto de salarios por encima de las tarifas resta ≈ 0,6 puntos de margen [1, 2].</w:t>
      </w:r>
    </w:p>
    <w:p>
      <w:pPr>
        <w:keepNext/>
        <w:spacing w:after="100"/>
      </w:pPr>
      <w:r>
        <w:rPr>
          <w:b/>
          <w:bCs/>
        </w:rPr>
        <w:t xml:space="preserve">Inversión y circulante.</w:t>
      </w:r>
    </w:p>
    <w:p>
      <w:pPr>
        <w:spacing w:after="100"/>
      </w:pPr>
      <w:r>
        <w:t xml:space="preserve">Capex = inmovilizado (≈ 3,4 % de las ventas) + compras de centros e inmuebles: 12,3 % en 2026e (525 M de compras previstas, 376 M ya gastados en el 1S [2]) bajando al 3,9 % en 2033e. Circulante del 10,5 % de las ventas (cobros a Medicare y Medicaid).</w:t>
      </w:r>
    </w:p>
    <w:p>
      <w:pPr>
        <w:keepNext/>
        <w:spacing w:after="100"/>
      </w:pPr>
      <w:r>
        <w:rPr>
          <w:b/>
          <w:bCs/>
        </w:rPr>
        <w:t xml:space="preserve">Coste del capital.</w:t>
      </w:r>
    </w:p>
    <w:p>
      <w:pPr>
        <w:spacing w:after="100"/>
      </w:pPr>
      <w:r>
        <w:t xml:space="preserve">Tasa libre 5,15 % (Tesoro a 10 años, 19-oct-2026 [30]), beta ajustada 0,77 (mensual a 5 años, 0,66 sin ajustar [27]), prima de mercado 5,5 % y 0,5 puntos más por el riesgo regulatorio y legal concreto (CID del DOJ, informes bajistas, demanda colectiva). Coste de la deuda 5,6 %, peso del 2 %. WACC 9,77 %. Con la prima implícita del mercado (4,2 % [31]) el valor sube a 96,89 USD.</w:t>
      </w:r>
    </w:p>
    <w:p>
      <w:pPr>
        <w:keepNext/>
        <w:spacing w:after="100"/>
      </w:pPr>
      <w:r>
        <w:rPr>
          <w:b/>
          <w:bCs/>
        </w:rPr>
        <w:t xml:space="preserve">Valor terminal.</w:t>
      </w:r>
    </w:p>
    <w:p>
      <w:pPr>
        <w:spacing w:after="100"/>
      </w:pPr>
      <w:r>
        <w:t xml:space="preserve">Gordon al 3 %: la demanda crece con el envejecimiento (los mayores de 85 años crecen ≈ 4 % al año) pero las tarifas dependen de presupuestos públicos. El valor terminal es el 73 % del total.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 M (60 %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 (ROIC 18,9 %)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frente al 8,4 %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(histórico: 14,5 %)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 (hoy: 2,3 %)</w:t>
            </w:r>
          </w:p>
        </w:tc>
      </w:tr>
    </w:tbl>
    <w:p>
      <w:pPr>
        <w:spacing w:after="160" w:before="0"/>
      </w:pPr>
    </w:p>
    <w:p>
      <w:pPr>
        <w:spacing w:after="100"/>
      </w:pPr>
      <w:r>
        <w:t xml:space="preserve">La proyección reinvierte el 60 % del NOPAT. Con el ROIC del último ejercicio (18,9 %), eso financia un crecimiento del 11,4 % anual, frente al 8,4 % de ingresos proyectado. Supone que el capital nuevo rinde un 12,8 %, frente a un ROIC incremental histórico del 14,5 %; la cuota de mercado pasaría al 2,6 % desde el 2,3 %.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ocupación (+3), tarifas de Medicare y Medicaid (+4) y 46 operaciones de 2025 más 23 del 1S26 (+9,6)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compras del 2S26 que maduran (+5,5), tarifas de FY27 (+2,4 % Medicare [13]) y ocupación.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Empiezan los recortes de los pagos dirigidos de Medicaid (−10 % al año, OBBB [2]); compras a menor ritmo.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 5 % más compras de ≈ 3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al crecimiento del gasto en residencias (≈ 6 %) [11, 12].</w:t>
            </w:r>
          </w:p>
        </w:tc>
      </w:tr>
    </w:tbl>
    <w:p>
      <w:pPr>
        <w:spacing w:after="160" w:before="0"/>
      </w:pPr>
    </w:p>
    <w:p>
      <w:pPr>
        <w:spacing w:after="100"/>
      </w:pPr>
      <w:r>
        <w:t xml:space="preserve">El crecimiento proyectado (8,4 % anual de media) cabe en lo que la empresa puede financiar (11,4 % según el motor): las compras se pagan con el flujo de caja y casi sin deuda [2]. El mercado (gasto en residencias de CMS) crece ≈ 6 % nominal [11, 12] y Ensign tiene el 2,3 %: hay sitio para comprar centros durante años, en un sector muy fragmentado y con muchos operadores pequeños en dificultades [1]. La plantilla mínima federal, que habría encarecido el personal, se derogó el 2-dic-2025 y la OBBB la aplaza hasta 2034 [2, 14]. Riesgos al crecimiento: recortes de Medicaid (redeterminaciones cada 6 meses desde 2027, pagos dirigidos −10 % al año desde 2028 [2]) y menos centros a buen precio.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 (base: 7,2 %)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 (base: 11,2 %)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9,8 %)</w:t>
            </w:r>
          </w:p>
        </w:tc>
      </w:tr>
    </w:tbl>
    <w:p>
      <w:pPr>
        <w:spacing w:after="160" w:before="0"/>
      </w:pPr>
    </w:p>
    <w:p>
      <w:pPr>
        <w:spacing w:after="100"/>
      </w:pPr>
      <w:r>
        <w:t xml:space="preserve">El DCF base da 81,60 USD por acción, un 52,8 % por debajo del precio (173,05). El DCF inverso dice que el precio pide un crecimiento del 31,4 % anual en el periodo explícito, o una rentabilidad del 6,4 % con nuestros flujos, por debajo del WACC del 9,77 %. La diferencia no está en los márgenes (estables) sino en que el flujo después de compras es pequeño: el mercado paga por el historial de compras que rinden mucho más que el coste de capital, y nuestro modelo, que no da valor a las compras futuras por encima del WACC, no lo recoge. Aun con supuestos generosos (crecimiento del 7-9 % durante diez años más) no pasa de ≈ 103 USD: el valor real queda muy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Medicaid por la OBBB (redeterminaciones, pagos dirigidos −10 % al año desde 2028), CMS frena el «case-mix creep» en Medicare, el DOJ cierra el CID con una multa y los reguladores dan crédito a parte de los informes bajistas: crecimiento 3 puntos menor, margen 1,5 puntos menor y WACC +0,5. 48,25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consenso de 2027 y compras que se apagan poco a poco; margen del 11,2 %. 81,60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Sigue comprando al ritmo de 2025-2026 y los centros maduran: crecimiento 1,5 puntos mayor y margen +0,4. 92,33 USD.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173,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75,94 USD (-56,1 %).</w:t>
      </w:r>
    </w:p>
    <w:p>
      <w:pPr>
        <w:spacing w:after="100"/>
      </w:pPr>
      <w:r>
        <w:t xml:space="preserve">Ni el escenario alcista (92,33 USD) llega a la mitad del precio: el DCF no justifica la cotización con ningún caso razonable. La media de los tres escenarios (25/50/25) es de 70,55 USD; el valor intrínseco del informe, que pondera DCF (50 %), escenarios (30 %) y comparables por PER (20 %), es de 92,27 USD (104,10 con la prima implícita del mercado). La asimetría es mala: el bajista no es extremo (recortes de Medicaid ya legislados) y el alcista exige que el ritmo de compras se mantenga una década.</w:t>
      </w:r>
    </w:p>
    <w:p>
      <w:pPr>
        <w:pStyle w:val="Heading1"/>
      </w:pPr>
      <w:r>
        <w:t xml:space="preserve">22. Suma de partes</w:t>
      </w:r>
    </w:p>
    <w:p>
      <w:pPr>
        <w:pStyle w:val="Confianza"/>
        <w:spacing w:after="100"/>
      </w:pPr>
      <w:r>
        <w:t xml:space="preserve">Confianza: Media</w:t>
      </w:r>
    </w:p>
    <w:p>
      <w:pPr>
        <w:spacing w:after="100"/>
      </w:pPr>
      <w:r>
        <w:t xml:space="preserve">No se usa la suma de partes: Standard Bearer (177 inmuebles, 127 M de rentas en 2025, el 85 % de sus propios centros [1]) vale por las rentas que le paga el negocio operativo; separarla contaría dos veces el mismo flujo. A múltiplos de REIT de residencias (≈ 15-18 veces el FFO) valdría ≈ 1.000-1.300 M, un 10-12 % de la capitalización.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173,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173,92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92,27 USD (-46,7 % sobre 173,05).</w:t>
      </w:r>
    </w:p>
    <w:p>
      <w:pPr>
        <w:spacing w:after="100"/>
      </w:pPr>
      <w:r>
        <w:t xml:space="preserve">Ensign es una gran empresa a un precio exigente. El mercado la valora a 23 veces el BPA GAAP de 2027e, en línea con su historia (mediana adelantada de 21,9 veces) y con prima sobre los comparables (17 veces ajustado), y la regla a 12 meses da Mantener: poca subida si el PER no cambia. Pero el DCF y los escenarios dicen que el valor real está en 80-105 USD (92,27 en la síntesis): el flujo libre después de compras es casi nulo porque todo se reinvierte en centros e inmuebles, y el precio solo se sostiene si esas compras siguen rindiendo muy por encima del coste de capital durante muchos años. Con Medicaid como primer pagador (45 % de las ventas) y recortes ya legislados para 2027-2028, no damos ese crédito.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(23.1x) a mitad de camino hacia abajo, hacia la mediana de 5 años (21.9x)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r>
    </w:tbl>
    <w:p>
      <w:pPr>
        <w:spacing w:after="160" w:before="0"/>
      </w:pPr>
    </w:p>
    <w:p>
      <w:pPr>
        <w:spacing w:after="100"/>
      </w:pPr>
      <w:r>
        <w:rPr>
          <w:b/>
          <w:bCs/>
        </w:rPr>
        <w:t xml:space="preserve">Objetivo a 12 meses (ponderado):</w:t>
      </w:r>
      <w:r>
        <w:t xml:space="preserve"> 170,30 USD · rentabilidad -1,4 % (base +6,4 %) · señal Mantener.</w:t>
      </w:r>
    </w:p>
    <w:p>
      <w:pPr>
        <w:spacing w:after="100"/>
      </w:pPr>
      <w:r>
        <w:t xml:space="preserve">Para comparar, con la regla v2 (historia al cierre, mismo precio): 19,6x / 23,1x / 25,6x, 5,4 %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objetivo base (183,83 USD) queda un 16 % por debajo del objetivo medio de los analistas (220 USD; rango 207-230) [28, 29]. La diferencia no está en el negocio sino en la base y en el múltiplo: nuestro BPA de 2027e (7,49 GAAP) equivale a ≈ 8,35-8,40 ajustado, un 2-3 % bajo el consenso (8,59); y aplicamos un PER de 22,5 veces GAAP (≈ 20 ajustado) frente a los ≈ 25 ajustados que implica el objetivo medio sobre 2027. Los analistas pagan el historial de crecimiento; nosotros lo limitamos a su historia propia.</w:t>
      </w:r>
    </w:p>
    <w:p>
      <w:pPr>
        <w:keepNext/>
        <w:spacing w:after="100"/>
      </w:pPr>
      <w:r>
        <w:rPr>
          <w:b/>
          <w:bCs/>
        </w:rPr>
        <w:t xml:space="preserve">Del valor intrínseco al objetivo a 12 meses.</w:t>
      </w:r>
    </w:p>
    <w:p>
      <w:pPr>
        <w:spacing w:after="100"/>
      </w:pPr>
      <w:r>
        <w:t xml:space="preserve">Rentabilidad ponderada a 12 meses del −1,4 % y base del +6,4 %: Mantener. No llega al 15 % ponderado ni al 12 % base, y además el valor intrínseco (92,27 USD) está muy por debajo del precio. La v2 de control (PER al cierre) da +5,4 % y +9,2 %: tampoco compra. Señal de venta por encima de 189,51 USD (ponderada ≤ −10 %). Para comprar haría falta un precio por debajo del valor intrínseco, lejos de cualquier rango visto en 5 años.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(fecha estimada)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revisión de la guía de 2026 y primeras pistas de 2027; ocupación y tarifas de Medicaid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2026-12-07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para el demandante principal de la demanda colectiva Perusek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Procesal; mantiene el tema de los informes bajistas en la prensa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Redeterminaciones de Medicaid cada 6 meses (OBBB)</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pacientes con Medicaid o más morosidad en el cobro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BPA de 2027 que usa la regla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tarifas de Medicare (SNF PPS) para FY28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tarifa y posible ajuste por «case-mix creep»</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Desenlace del CID del DOJ (Texas)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o acuerdo; incertidumbre que se cierra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el recorte del 10 % anual de los pagos dirigidos de Medicaid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ingresos en estados con programas grandes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Medicaid: el 45 % de las ventas (39,6 % + 5,6 % de cuidados especializados) depende de presupuestos estatales; la OBBB recorta los pagos dirigidos un 10 % al año desde 2028 y obliga a revisar la elegibilidad cada 6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 BPA por cada 1 % de recorte medio de tarifas de Medicaid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impuestos a proveedores de residencias quedan fuera de la congelación; las tarifas suelen seguir los costes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de Medicaid por día en los estados grandes (California, Texas, Arizona)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 (23,7 % de las ventas): CMS estudia el «case-mix creep» y podría recortar la tarifa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de BPA por cada punto de recorte de Medicare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FY27 sube un 2,4 % (regla final del 29-jul-2026)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FY28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Informes bajistas (Hunterbrook, Muddy Waters): plantilla insuficiente y licencias de administradores; si un regulador los asume, multas y exclusiones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−20-30 % si se abre una investigación federal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regulador ha actuado; la empresa lo niega con datos (6 de 396 centros en transición)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Expedientes de CMS, del DOJ o de los estados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CID del DOJ sobre la facturación a Medicare y Medicaid en Texas desde 2016, sin resolver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(multa de decenas o cientos de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262 M y deuda casi nula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o acuerdo en un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personal (≈ 60 % de los gastos; 46.000 empleados equivalentes): salarios de enfermería que suben más que las tarifas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 BPA por cada punto de salarios por encima de las tarifas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Plantilla mínima federal derogada (2-dic-2025) y aplazada a 2034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trimestral y uso de agencias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23 veces el BPA GAAP con un DCF de 82 USD; si el mercado deja de pagar el historial de compras, el PER vuelve a 17-18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 con PER de 18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20 años de crecimiento y de subidas de guía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compras y ocupación de los centros nuevos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 1.990 M de pasivo por alquileres (muchos con CareTrust, la inmobiliaria que escindió en 2014, y otros propietarios); con ellos el ROIC baja a ≈ 11 %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Rigidez de costes si caen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cada vez más inmuebles (Standard Bearer)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frente a EBITDAR por centro</w:t>
            </w:r>
          </w:p>
        </w:tc>
      </w:tr>
    </w:tbl>
    <w:p>
      <w:pPr>
        <w:spacing w:after="160" w:before="0"/>
      </w:pPr>
    </w:p>
    <w:p>
      <w:pPr>
        <w:pStyle w:val="Heading2"/>
      </w:pPr>
      <w:r>
        <w:t xml:space="preserve">Pre-mortem</w:t>
      </w:r>
    </w:p>
    <w:p>
      <w:pPr>
        <w:spacing w:after="100"/>
      </w:pPr>
      <w:r>
        <w:t xml:space="preserve">Si dentro de un año la acción ha caído un 30 %, lo más probable es que haya pasado una de tres cosas: los estados recortaron Medicaid más de lo previsto al aplicar la OBBB (redeterminaciones, pagos dirigidos) y la guía de 2027 decepcionó; un regulador federal o estatal abrió un expediente a partir de los informes de Hunterbrook o Muddy Waters, o el DOJ convirtió el CID en demanda; o CMS recortó la tarifa de Medicare de FY28 por el «case-mix creep». Las tres afectan a la parte del precio que el DCF no justifica.</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del valor</w:t>
      </w:r>
    </w:p>
    <w:p>
      <w:pPr>
        <w:spacing w:after="100"/>
      </w:pPr>
      <w:r>
        <w:t xml:space="preserve">El cuidado en una residencia no se puede automatizar: enfermería, auxiliares y rehabilitación son trabajo presencial y la plantilla la fijan los estados. La IA ayuda en lo administrativo (codificación del MDS que fija la tarifa de Medicare, turnos, facturación y cobro), y Ensign, con su modelo de centros autónomos y un Service Center pequeño, puede ganar algo de margen. La amenaza viene de los pagadores: las aseguradoras de Medicare Advantage ya usan algoritmos para acortar estancias y negar altas (pleitos contra UnitedHealth por nH Predict), y CMS usa análisis de datos para detectar el «case-mix creep». Riesgo menor, pero real en las tarifas y en la duración de las estancias.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lo social: calidad del cuidado, seguridad del residente y condiciones de una plantilla de ~56.000 empleados, el 55 % en puestos de baja cualificación (auxiliares, cocina, limpieza) con un salario mediano de 47.604 USD [1]. Las métricas que usa la empresa son las de CMS (estrellas de calidad, inspecciones, rehospitalización un 15 % mejor que la media nacional, rotación de administradores un 46 % menor) [3]. Las acusaciones de junio de 2026 sobre horas de enfermería por residente son la controversia ESG clave [16, 17].</w:t>
      </w:r>
    </w:p>
    <w:p>
      <w:pPr>
        <w:pStyle w:val="Heading2"/>
      </w:pPr>
      <w:r>
        <w:t xml:space="preserve">Controversias</w:t>
      </w:r>
    </w:p>
    <w:p>
      <w:pPr>
        <w:spacing w:after="100"/>
      </w:pPr>
      <w:r>
        <w:t xml:space="preserve">Junio de 2026: informes de Hunterbrook (8-jun: plantilla insuficiente, 18.000 días por debajo de los mínimos legales en cuatro estados en 2020-2025 y 339 M pagados a filiales en 2024) y de Muddy Waters (11-jun: licencias de administradores alquiladas en 12 de 57 centros visitados; sanciones teóricas de hasta 7.000 M) [16, 17]. 2024: acuerdo de 48 M por el caso de directores médicos (sin admitir culpa). 2025: acuerdo de 12 M por demandas laborales en California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Medicaid y OBBB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Medicaid viene de pagos dirigidos (SDP) y de programas de impuestos a proveedores, por estado, y cuánto pierde con el recorte del 10 % anual desde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riesgo para el BPA de 2028e y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Informes bajistas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centros tuvieron un administrador con licencia de otro centro en 2024-2026 y qué dicen los inspectores estatales de esas licencias?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de cumplimiento de un ruido de cortos.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CID del DOJ</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negociaciones con el DOJ sobre Texas y qué periodo y cifras abarcan?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Cerrarlo quitaría una incertidumbre; una demanda la agrandaría.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el precio pagado (inmueble más operación) dan las cohortes de compras de 2021-2023 en su tercer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precio de la acción da por hecho y el DCF no recoge.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subieron los salarios de enfermería por hora en 2026 y qué parte de las horas cubren agencias?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personal es el 60 % de los gastos.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 la subida de la tarifa media de Medicare (+4,3 % en 2025) viene de la codificación (PDPM) y no de pacientes más complejos?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estudia recortar el «case-mix creep».</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($ENSG)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junio, pánico y burlas («RIP», «Rekt») y algún defensor («los cortos de Hunterbrook suelen rebotar», «las acusaciones son conocidas»); desde octubre dominan los avisos de bufetes sobre la demanda colectiva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recientes neutrales: «sana, pero no para comprar» (19-oct) y «quema de caja y riesgos regulatorios la dejan en mantener» (4-ago)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local (Orange County Business Journal)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Recoge las acusaciones y la respuesta de la empresa a UBS; la empresa declinó comentar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informes bajistas: plantilla insuficiente y licencias de administradores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Nada probado ni ningún regulador ha actuado en cuatro meses, pero la empresa no ha refutado en público y hay una CID del DOJ abierta desde 2024: el riesgo es real y va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inicial (plazo de demandante principal el 7-dic-2026); el coste típico es un acuerdo cubierto en parte por seguros.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por compras y subidas de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tres subidas de guía en 2026 y ocupación al alza.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frente a la quema de caja de las 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en el flujo libre después de compras (47 M en 2025); el informe lo trata como inversión de crecimiento en el DCF.</w:t>
            </w:r>
          </w:p>
        </w:tc>
      </w:tr>
    </w:tbl>
    <w:p>
      <w:pPr>
        <w:spacing w:after="160" w:before="0"/>
      </w:pPr>
    </w:p>
    <w:p>
      <w:pPr>
        <w:spacing w:after="100"/>
      </w:pPr>
      <w:r>
        <w:t xml:space="preserve">El sentimiento de los particulares pasó del pánico de junio a la indiferencia: hoy pesan más los avisos de bufetes que el debate. Los artículos de Seeking Alpha son neutrales y coinciden con la tesis del informe (negocio bueno, precio que no deja margen). No hay euforia ni capitulación que aprovechar; el sentimiento no contradice a los analistas (4 de 5 comprar), que no han rebajado tras los informes bajistas [32, 33].</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33 (19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12,8 % frente a un ROIC de 18,9 % y un incremental histórico de 14,5 %: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2,6 % en 2030e frente al 2,3 %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10,5 % frente a 10,7 % real: genera una variación de circulante de 80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(propuesta de ratificación de Deloitte, sin año de inicio); 2) 10-K 2025, informe del auditor (no extraído en el texto); 3) búsqueda «Deloitte auditor since» en el proxy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de deuda (calendario, sin vida media); 2) 10-Q 2T26; 3) cálculo a partir de vencimientos (la mayor parte, préstamos HUD a ~30 años sin fecha exacta)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«altamente fragmentado»); 2) cuentas nacionales de CMS (sin cuotas); 3) cálculo con los ingresos de los cotizados (falta Genesis y los privados grandes)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competidores.margen_ebit_pct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(EBIT anual no disponible); 2) 10-K de los competidores no descargados por tiempo; 3) margen EBITDA LTM de Yahoo dado en el comentario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(sin calificaciones); 2) web de inversores (informe de sostenibilidad sin calificaciones externas); 3) búsqueda de MSCI y Sustainalytics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del 2T26 (las compras de Ensign no publican precio por centro ni múltiplo); 2) búsqueda de operaciones de residencias con múltiplo publicado (las grandes, como Genesis, son concursos sin múltiplo); 3) operaciones de cuidados en casa (UnitedHealth-Amedisys, Optum-LHC) no comparables con un operador de residencias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(solo ventas y BPA); 2) Stock Analysis (2027 de pago); 3) MarketScreener no consultado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segmentos (nota 7), pagadores, arrendamientos, deuda, seguros propios, litigios,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Ensign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https://www.sec.gov/Archives/edgar/data/1125376/000112537626000007/ensg-20251231.htm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(30-jun-2026): balance, flujos semestrales, compras, recompras, CID del DOJ, OHCA, OBBB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Ensign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https://www.sec.gov/Archives/edgar/data/1125376/000112537626000034/ensg-20260630.htm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Reports Second Quarter 2026 Results (guía 2026 elevada a 7,75-7,85 USD; conciliaciones; Standard Bearer)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https://www.sec.gov/Archives/edgar/data/1125376/000112537626000036/q22026pressrelease.htm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Reports First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https://www.sec.gov/Archives/edgar/data/1125376/000112537626000023/q12026pressrelease.htm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Reports Fourth Quarter and Fiscal Year 2025 Results (BPA ajustado 6,57 USD; guía 2026 inicial)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https://www.sec.gov/Archives/edgar/data/1125376/000112537626000008/q42025pressrelease.htm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2T25 y 3T25 (trimestres de 2024 y 2025, subidas de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https://www.sec.gov/Archives/edgar/data/1125376/000112537625000171/q32025pressrelease.htm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litigio de directores médicos (acuerdo de 48 M USD) y conciliación no GAAP de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https://www.sec.gov/Archives/edgar/data/1125376/000112537624000018/ensg-20231231.htm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segmentos reexpresados de 2020-2022 y flujos de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https://www.sec.gov/Archives/edgar/data/1125376/000112537623000018/ensg-20221231.htm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2020: deuda de 2019-2020 y escisión de Pennant (1-oct-2019)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https://www.sec.gov/Archives/edgar/data/1125376/000112537621000020/ensg-20201231.htm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The Ensign Group (series de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https://data.sec.gov/api/xbrl/companyfacts/CIK0001125376.json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Health Expenditures 2024 Highlights (residencias y comunidades de jubilación: 219.900 M USD, +7,3 %)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Centers for Medicare &amp; Medicaid Services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https://www.cms.gov/files/document/highlights.pdf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Nursing Home Spending Expected to Jump to $385.9B by 2033 (proyección del actuario de CMS)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Skilled Nursing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https://skillednursingnews.com/2025/06/nursing-home-spending-expected-to-jump-to-385-9b-by-2033/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Year 2027 Skilled Nursing Facility Prospective Payment System Final Rule (CMS-1843-F): +2,4 %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Centers for Medicare &amp; Medicaid Services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https://www.cms.gov/newsroom/fact-sheets/fiscal-year-2027-skilled-nursing-facility-prospective-payment-system-final-rule-cms-1843-f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repeals minimum staffing requirements for skilled nursing and long-term care facilities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Hospital Association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https://www.aha.org/news/headline/2025-12-02-cms-repeals-minimum-staffing-requirements-skilled-nursing-long-term-care-facilities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los comparables (cotización, capitalización, EBITDA, ventas,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https://finance.yahoo.com/quote/PACS/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Ensign Group stock tumbles after short seller report (Hunterbrook)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https://www.investing.com/news/stock-market-news/ensign-group-stock-tumbles-after-short-seller-report-93CH-4731022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Ensign Group shares drop after short seller alleges compliance issues (Muddy Waters)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https://www.investing.com/news/stock-market-news/ensign-group-shares-drop-after-short-seller-alleges-compliance-issues-93CH-4738095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accionistas, partes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https://www.sec.gov/Archives/edgar/data/1125376/000112537626000014/ensg-20260401.htm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(voto consultivo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https://www.sec.gov/Archives/edgar/data/1125376/000112537626000026/ensg-20260513.htm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(20-oct-2025 a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https://www.sec.gov/cgi-bin/browse-edgar?action=getcompany&amp;CIK=0001125376&amp;type=4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retirada de Christopher Christensen y Barry Port presidente (20-jun-2025)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https://www.sec.gov/Archives/edgar/data/1125376/000112537625000115/form8-kjune2025.htm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condiciones de salida de Christopher Christensen (bono de 2,07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https://www.sec.gov/Archives/edgar/data/1125376/000112537625000158/ensg-20250821.htm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Ensign Announces Increased Stock Repurchase Authorization (100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https://www.sec.gov/Archives/edgar/data/1125376/000112537626000031/june2026pressrelease.htm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estatutos modificados (20-ago-2026)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Ensign Group,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https://www.sec.gov/Archives/edgar/data/1125376/000112537626000040/ensg-20260820.htm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Ensign Class Action Lawsuit: Perusek v. The Ensign Group, Inc., No. 8:26-cv-02963 (C.D. 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Bleichmar Fonti &amp; Auld LLP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https://www.bfalaw.com/cases/ensign-class-action-lawsuit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Ensign Group Faces Short Sellers Scrutiny (respuesta de la empresa a UBS)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County Business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https://www.ocbj.com/oc-homepage/ensign-group-faces-short-sellers-scrutiny/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ENSG, SPY y XLV (precio, rentabilidades, beta, volatilidad,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https://finance.yahoo.com/quote/ENSG/history/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recomendaciones y precios objetivo de Ensign y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https://finance.yahoo.com/quote/ENSG/analysis/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ENSG stock forecast: 5 analistas, objetivo medio 220 USD, acciones recientes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https://stockanalysis.com/stocks/ensg/forecast/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$ENSG (8-jun a 17-oct-2026)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https://stocktwits.com/symbol/ENSG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titulares de ENSG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https://seekingalpha.com/symbol/ENSG</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85,7 %</w:t>
      </w:r>
      <w:r>
        <w:t xml:space="preserve"> · Secciones con menos del 60 % de campos cubiertos: </w:t>
      </w:r>
      <w:r>
        <w:rPr>
          <w:b/>
          <w:bCs/>
        </w:rPr>
        <w:t xml:space="preserve">transacciones</w:t>
      </w:r>
      <w:r>
        <w:t xml:space="preserve"> · Generado el 20 oct 2026.</w:t>
      </w:r>
    </w:p>
    <w:p>
      <w:pPr>
        <w:pStyle w:val="Nota"/>
        <w:spacing w:after="100"/>
      </w:pPr>
      <w:r>
        <w:t xml:space="preserve">Cifras en millones de USD, US GAAP, ejercicio natural. Último ejercicio real 2025; LTM a 30-jun-2026 (2T26); el 3T26 se publica hacia el 2-nov-2026. Precio: cierre del 19-oct-2026 (173,05 USD); la sesión del 20-oct se comprueba aparte en las pruebas de robustez. El BPA de la regla a 12 meses y su historia están en base GAAP diluida; la empresa y el consenso usan un BPA ajustado que suma la remuneración en acciones y otros gastos (≈ 0,85-0,90 USD por acción en 2026), por eso nuestro 2027e (7,49) queda por debajo del consenso (8,59). Los arrendamientos operativos de los centros (≈ 1.990 M de pasivo a junio de 2026 [2]) no se tratan como deuda: el alquiler ya resta en el EBITDA (criterio US GAAP del repo). Las compras de centros e inmuebles van dentro del capex del DCF (comprador en serie). No hay EV/EBITDA comparable de los competidores con la misma definición: la comparación se hace por PER ajustado. Precio de una acción en EUR: ≈ 149 EUR (≈ 1,16 USD por EUR), un 0,5 %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 Ensign Group, Inc. (ENSG)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173,05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(141,58 – 218,00)</c:v>
                </c:pt>
                <c:pt idx="1">
                  <c:v>Precio objetivo de los analistas (207,00 – 230,00)</c:v>
                </c:pt>
                <c:pt idx="2">
                  <c:v>Comparables: PER NTM (130,76 – 156,07)</c:v>
                </c:pt>
                <c:pt idx="3">
                  <c:v>DCF (WACC y g ± 0,5) (71,81 – 94,77)</c:v>
                </c:pt>
                <c:pt idx="4">
                  <c:v>Escenarios (bajista – alcista) (48,25 – 92,33)</c:v>
                </c:pt>
                <c:pt idx="5">
                  <c:v>DCF con la prima implícita del mercado (4,2 %)</c:v>
                </c:pt>
                <c:pt idx="6">
                  <c:v>Precio actual (173,05)</c:v>
                </c:pt>
              </c:strCache>
            </c:strRef>
          </c:cat>
          <c:val>
            <c:numRef>
              <c:f>Hoja1!$B$2:$B$8</c:f>
              <c:numCache>
                <c:formatCode>#,##0</c:formatCode>
                <c:ptCount val="7"/>
                <c:pt idx="0">
                  <c:v>141.58</c:v>
                </c:pt>
                <c:pt idx="1">
                  <c:v>207</c:v>
                </c:pt>
                <c:pt idx="2">
                  <c:v>130.76</c:v>
                </c:pt>
                <c:pt idx="3">
                  <c:v>71.81</c:v>
                </c:pt>
                <c:pt idx="4">
                  <c:v>48.25</c:v>
                </c:pt>
                <c:pt idx="5">
                  <c:v>88.49</c:v>
                </c:pt>
                <c:pt idx="6">
                  <c:v>172.18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(141,58 – 218,00)</c:v>
                </c:pt>
                <c:pt idx="1">
                  <c:v>Precio objetivo de los analistas (207,00 – 230,00)</c:v>
                </c:pt>
                <c:pt idx="2">
                  <c:v>Comparables: PER NTM (130,76 – 156,07)</c:v>
                </c:pt>
                <c:pt idx="3">
                  <c:v>DCF (WACC y g ± 0,5) (71,81 – 94,77)</c:v>
                </c:pt>
                <c:pt idx="4">
                  <c:v>Escenarios (bajista – alcista) (48,25 – 92,33)</c:v>
                </c:pt>
                <c:pt idx="5">
                  <c:v>DCF con la prima implícita del mercado (4,2 %)</c:v>
                </c:pt>
                <c:pt idx="6">
                  <c:v>Precio actual (173,05)</c:v>
                </c:pt>
              </c:strCache>
            </c:strRef>
          </c:cat>
          <c:val>
            <c:numRef>
              <c:f>Hoja1!$C$2:$C$8</c:f>
              <c:numCache>
                <c:formatCode>#,##0</c:formatCode>
                <c:ptCount val="7"/>
                <c:pt idx="0">
                  <c:v>76.41999999999999</c:v>
                </c:pt>
                <c:pt idx="1">
                  <c:v>23</c:v>
                </c:pt>
                <c:pt idx="2">
                  <c:v>25.310000000000002</c:v>
                </c:pt>
                <c:pt idx="3">
                  <c:v>22.959999999999994</c:v>
                </c:pt>
                <c:pt idx="4">
                  <c:v>44.08</c:v>
                </c:pt>
                <c:pt idx="5">
                  <c:v>18.41000000000001</c:v>
                </c:pt>
                <c:pt idx="6">
                  <c:v>1.7399999999999807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Servicios de enfermería (Skilled Services)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2288.2</c:v>
                </c:pt>
                <c:pt idx="1">
                  <c:v>2523.2</c:v>
                </c:pt>
                <c:pt idx="2">
                  <c:v>2906.2</c:v>
                </c:pt>
                <c:pt idx="3">
                  <c:v>3578.9</c:v>
                </c:pt>
                <c:pt idx="4">
                  <c:v>4076.8</c:v>
                </c:pt>
                <c:pt idx="5">
                  <c:v>4837.8</c:v>
                </c:pt>
              </c:numCache>
            </c:numRef>
          </c:val>
        </c:ser>
        <c:ser>
          <c:idx val="1"/>
          <c:order val="1"/>
          <c:tx>
            <c:strRef>
              <c:f>Hoja1!$C$1</c:f>
              <c:strCache>
                <c:ptCount val="1"/>
                <c:pt idx="0">
                  <c:v>Standard Bearer (inmobiliaria)</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54.1</c:v>
                </c:pt>
                <c:pt idx="1">
                  <c:v>58.1</c:v>
                </c:pt>
                <c:pt idx="2">
                  <c:v>72.9</c:v>
                </c:pt>
                <c:pt idx="3">
                  <c:v>82.5</c:v>
                </c:pt>
                <c:pt idx="4">
                  <c:v>95.1</c:v>
                </c:pt>
                <c:pt idx="5">
                  <c:v>126.9</c:v>
                </c:pt>
              </c:numCache>
            </c:numRef>
          </c:val>
        </c:ser>
        <c:ser>
          <c:idx val="2"/>
          <c:order val="2"/>
          <c:tx>
            <c:strRef>
              <c:f>Hoja1!$D$1</c:f>
              <c:strCache>
                <c:ptCount val="1"/>
                <c:pt idx="0">
                  <c:v>Otros (vida asistida, auxiliares y servicios centrales)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112.7</c:v>
                </c:pt>
                <c:pt idx="1">
                  <c:v>102.7</c:v>
                </c:pt>
                <c:pt idx="2">
                  <c:v>122.6</c:v>
                </c:pt>
                <c:pt idx="3">
                  <c:v>155.8</c:v>
                </c:pt>
                <c:pt idx="4">
                  <c:v>192.9</c:v>
                </c:pt>
                <c:pt idx="5">
                  <c:v>232.8</c:v>
                </c:pt>
              </c:numCache>
            </c:numRef>
          </c:val>
        </c:ser>
        <c:ser>
          <c:idx val="3"/>
          <c:order val="3"/>
          <c:tx>
            <c:strRef>
              <c:f>Hoja1!$E$1</c:f>
              <c:strCache>
                <c:ptCount val="1"/>
                <c:pt idx="0">
                  <c:v>Eliminaciones</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-52.4</c:v>
                </c:pt>
                <c:pt idx="1">
                  <c:v>-56.6</c:v>
                </c:pt>
                <c:pt idx="2">
                  <c:v>-76.3</c:v>
                </c:pt>
                <c:pt idx="3">
                  <c:v>-87.8</c:v>
                </c:pt>
                <c:pt idx="4">
                  <c:v>-104.3</c:v>
                </c:pt>
                <c:pt idx="5">
                  <c:v>-139.7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Servicios de enfermería (Skilled Services)</c:v>
                </c:pt>
                <c:pt idx="1">
                  <c:v>Standard Bearer (inmobiliaria)</c:v>
                </c:pt>
                <c:pt idx="2">
                  <c:v>Otros (vida asistida, auxiliares y servicios centrales)</c:v>
                </c:pt>
                <c:pt idx="3">
                  <c:v>Eliminaciones</c:v>
                </c:pt>
              </c:strCache>
            </c:strRef>
          </c:cat>
          <c:val>
            <c:numRef>
              <c:f>Hoja1!$B$2:$B$5</c:f>
              <c:numCache>
                <c:formatCode>General</c:formatCode>
                <c:ptCount val="4"/>
                <c:pt idx="0">
                  <c:v>95.7</c:v>
                </c:pt>
                <c:pt idx="1">
                  <c:v>2.5</c:v>
                </c:pt>
                <c:pt idx="2">
                  <c:v>4.6</c:v>
                </c:pt>
                <c:pt idx="3">
                  <c:v>-2.8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Estados Unidos (17 estados; Arizona, California y Texas son la mayoría)</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(2025e en adelante: estimación propia con las tasas del actuario de CMS))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2022</c:v>
                </c:pt>
                <c:pt idx="1">
                  <c:v>2023</c:v>
                </c:pt>
                <c:pt idx="2">
                  <c:v>2024</c:v>
                </c:pt>
                <c:pt idx="3">
                  <c:v>2025e</c:v>
                </c:pt>
                <c:pt idx="4">
                  <c:v>2026e</c:v>
                </c:pt>
                <c:pt idx="5">
                  <c:v>2027e</c:v>
                </c:pt>
              </c:strCache>
            </c:strRef>
          </c:cat>
          <c:val>
            <c:numRef>
              <c:f>Hoja1!$B$2:$B$7</c:f>
              <c:numCache>
                <c:formatCode>#,##0</c:formatCode>
                <c:ptCount val="6"/>
                <c:pt idx="0">
                  <c:v>192900</c:v>
                </c:pt>
                <c:pt idx="1">
                  <c:v>204900</c:v>
                </c:pt>
                <c:pt idx="2">
                  <c:v>219900</c:v>
                </c:pt>
                <c:pt idx="3">
                  <c:v>237500</c:v>
                </c:pt>
                <c:pt idx="4">
                  <c:v>252200</c:v>
                </c:pt>
                <c:pt idx="5">
                  <c:v>267900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5</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Ensign</c:v>
                </c:pt>
                <c:pt idx="1">
                  <c:v>PACS Group</c:v>
                </c:pt>
                <c:pt idx="2">
                  <c:v>Genesis HealthCare</c:v>
                </c:pt>
                <c:pt idx="3">
                  <c:v>National HealthCare</c:v>
                </c:pt>
                <c:pt idx="4">
                  <c:v>Brookdale Senior Living</c:v>
                </c:pt>
                <c:pt idx="5">
                  <c:v>Encompass Health</c:v>
                </c:pt>
                <c:pt idx="6">
                  <c:v>The Pennant Group</c:v>
                </c:pt>
              </c:strCache>
            </c:strRef>
          </c:cat>
          <c:val>
            <c:numRef>
              <c:f>Hoja1!$B$2:$B$8</c:f>
              <c:numCache>
                <c:formatCode>0.0"%"</c:formatCode>
                <c:ptCount val="7"/>
                <c:pt idx="0">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2402.6</c:v>
                </c:pt>
                <c:pt idx="1">
                  <c:v>2627.5</c:v>
                </c:pt>
                <c:pt idx="2">
                  <c:v>3025.5</c:v>
                </c:pt>
                <c:pt idx="3">
                  <c:v>3729.4</c:v>
                </c:pt>
                <c:pt idx="4">
                  <c:v>4260.5</c:v>
                </c:pt>
                <c:pt idx="5">
                  <c:v>5057.8</c:v>
                </c:pt>
                <c:pt idx="6">
                  <c:v>5897</c:v>
                </c:pt>
                <c:pt idx="7">
                  <c:v>6558</c:v>
                </c:pt>
                <c:pt idx="8">
                  <c:v>7181</c:v>
                </c:pt>
                <c:pt idx="9">
                  <c:v>7755</c:v>
                </c:pt>
                <c:pt idx="10">
                  <c:v>8298</c:v>
                </c:pt>
                <c:pt idx="11">
                  <c:v>8796</c:v>
                </c:pt>
                <c:pt idx="12">
                  <c:v>9236</c:v>
                </c:pt>
                <c:pt idx="13">
                  <c:v>9605</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277.8</c:v>
                </c:pt>
                <c:pt idx="1">
                  <c:v>316.5</c:v>
                </c:pt>
                <c:pt idx="2">
                  <c:v>359.2</c:v>
                </c:pt>
                <c:pt idx="3">
                  <c:v>388.6</c:v>
                </c:pt>
                <c:pt idx="4">
                  <c:v>442.4</c:v>
                </c:pt>
                <c:pt idx="5">
                  <c:v>529.6</c:v>
                </c:pt>
                <c:pt idx="6">
                  <c:v>643</c:v>
                </c:pt>
                <c:pt idx="7">
                  <c:v>721</c:v>
                </c:pt>
                <c:pt idx="8">
                  <c:v>797</c:v>
                </c:pt>
                <c:pt idx="9">
                  <c:v>869</c:v>
                </c:pt>
                <c:pt idx="10">
                  <c:v>929</c:v>
                </c:pt>
                <c:pt idx="11">
                  <c:v>985</c:v>
                </c:pt>
                <c:pt idx="12">
                  <c:v>1034</c:v>
                </c:pt>
                <c:pt idx="13">
                  <c:v>1076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17</c:v>
                </c:pt>
                <c:pt idx="1">
                  <c:v>17.8</c:v>
                </c:pt>
                <c:pt idx="2">
                  <c:v>17.1</c:v>
                </c:pt>
                <c:pt idx="3">
                  <c:v>15.8</c:v>
                </c:pt>
                <c:pt idx="4">
                  <c:v>15.7</c:v>
                </c:pt>
                <c:pt idx="5">
                  <c:v>15.8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11.6</c:v>
                </c:pt>
                <c:pt idx="1">
                  <c:v>12</c:v>
                </c:pt>
                <c:pt idx="2">
                  <c:v>11.9</c:v>
                </c:pt>
                <c:pt idx="3">
                  <c:v>10.4</c:v>
                </c:pt>
                <c:pt idx="4">
                  <c:v>10.4</c:v>
                </c:pt>
                <c:pt idx="5">
                  <c:v>10.5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9.3</c:v>
                </c:pt>
                <c:pt idx="1">
                  <c:v>9.9</c:v>
                </c:pt>
                <c:pt idx="2">
                  <c:v>9.8</c:v>
                </c:pt>
                <c:pt idx="3">
                  <c:v>8.5</c:v>
                </c:pt>
                <c:pt idx="4">
                  <c:v>8.4</c:v>
                </c:pt>
                <c:pt idx="5">
                  <c:v>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7.1</c:v>
                </c:pt>
                <c:pt idx="1">
                  <c:v>7.4</c:v>
                </c:pt>
                <c:pt idx="2">
                  <c:v>7.4</c:v>
                </c:pt>
                <c:pt idx="3">
                  <c:v>5.6</c:v>
                </c:pt>
                <c:pt idx="4">
                  <c:v>7</c:v>
                </c:pt>
                <c:pt idx="5">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16.1</c:v>
                </c:pt>
                <c:pt idx="3">
                  <c:v>18.5</c:v>
                </c:pt>
                <c:pt idx="4">
                  <c:v>19.8</c:v>
                </c:pt>
                <c:pt idx="5">
                  <c:v>20.2</c:v>
                </c:pt>
                <c:pt idx="6">
                  <c:v>18.4</c:v>
                </c:pt>
                <c:pt idx="7">
                  <c:v>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46</c:v>
                </c:pt>
                <c:pt idx="1">
                  <c:v>46</c:v>
                </c:pt>
                <c:pt idx="2">
                  <c:v>49</c:v>
                </c:pt>
                <c:pt idx="3">
                  <c:v>47</c:v>
                </c:pt>
                <c:pt idx="4">
                  <c:v>49</c:v>
                </c:pt>
                <c:pt idx="5">
                  <c:v>46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c:v>
                </c:pt>
                <c:pt idx="1">
                  <c:v>10</c:v>
                </c:pt>
                <c:pt idx="2">
                  <c:v>11</c:v>
                </c:pt>
                <c:pt idx="3">
                  <c:v>11</c:v>
                </c:pt>
                <c:pt idx="4">
                  <c:v>10</c:v>
                </c:pt>
                <c:pt idx="5">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323.09999999999997</c:v>
                </c:pt>
                <c:pt idx="1">
                  <c:v>206.1</c:v>
                </c:pt>
                <c:pt idx="2">
                  <c:v>185</c:v>
                </c:pt>
                <c:pt idx="3">
                  <c:v>270.5</c:v>
                </c:pt>
                <c:pt idx="4">
                  <c:v>189</c:v>
                </c:pt>
                <c:pt idx="5">
                  <c:v>370.69999999999993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170.5</c:v>
                </c:pt>
                <c:pt idx="1">
                  <c:v>194.7</c:v>
                </c:pt>
                <c:pt idx="2">
                  <c:v>224.7</c:v>
                </c:pt>
                <c:pt idx="3">
                  <c:v>209.4</c:v>
                </c:pt>
                <c:pt idx="4">
                  <c:v>298</c:v>
                </c:pt>
                <c:pt idx="5">
                  <c:v>344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25.2</c:v>
                </c:pt>
                <c:pt idx="1">
                  <c:v>24.7</c:v>
                </c:pt>
                <c:pt idx="2">
                  <c:v>23</c:v>
                </c:pt>
                <c:pt idx="3">
                  <c:v>21.9</c:v>
                </c:pt>
                <c:pt idx="4">
                  <c:v>20.8</c:v>
                </c:pt>
                <c:pt idx="5">
                  <c:v>18.9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9.8</c:v>
                </c:pt>
                <c:pt idx="1">
                  <c:v>9.8</c:v>
                </c:pt>
                <c:pt idx="2">
                  <c:v>9.8</c:v>
                </c:pt>
                <c:pt idx="3">
                  <c:v>9.8</c:v>
                </c:pt>
                <c:pt idx="4">
                  <c:v>9.8</c:v>
                </c:pt>
                <c:pt idx="5">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20.8</c:v>
                </c:pt>
                <c:pt idx="1">
                  <c:v>21.2</c:v>
                </c:pt>
                <c:pt idx="2">
                  <c:v>19.8</c:v>
                </c:pt>
                <c:pt idx="3">
                  <c:v>15.3</c:v>
                </c:pt>
                <c:pt idx="4">
                  <c:v>17.9</c:v>
                </c:pt>
                <c:pt idx="5">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-0.44</c:v>
                </c:pt>
                <c:pt idx="1">
                  <c:v>-0.33</c:v>
                </c:pt>
                <c:pt idx="2">
                  <c:v>-0.45</c:v>
                </c:pt>
                <c:pt idx="3">
                  <c:v>-0.93</c:v>
                </c:pt>
                <c:pt idx="4">
                  <c:v>-0.72</c:v>
                </c:pt>
                <c:pt idx="5">
                  <c:v>-0.68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4.2</c:v>
                </c:pt>
                <c:pt idx="1">
                  <c:v>3.9</c:v>
                </c:pt>
                <c:pt idx="2">
                  <c:v>3.8</c:v>
                </c:pt>
                <c:pt idx="3">
                  <c:v>3.9</c:v>
                </c:pt>
                <c:pt idx="4">
                  <c:v>4</c:v>
                </c:pt>
                <c:pt idx="5">
                  <c:v>124.5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25</c:v>
                </c:pt>
                <c:pt idx="1">
                  <c:v>104.2</c:v>
                </c:pt>
                <c:pt idx="2">
                  <c:v>101.1</c:v>
                </c:pt>
                <c:pt idx="3">
                  <c:v>69</c:v>
                </c:pt>
                <c:pt idx="4">
                  <c:v>156.5</c:v>
                </c:pt>
                <c:pt idx="5">
                  <c:v>323.3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10.8</c:v>
                </c:pt>
                <c:pt idx="1">
                  <c:v>11.5</c:v>
                </c:pt>
                <c:pt idx="2">
                  <c:v>12.2</c:v>
                </c:pt>
                <c:pt idx="3">
                  <c:v>12.9</c:v>
                </c:pt>
                <c:pt idx="4">
                  <c:v>13.7</c:v>
                </c:pt>
                <c:pt idx="5">
                  <c:v>14.4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25</c:v>
                </c:pt>
                <c:pt idx="1">
                  <c:v>10.1</c:v>
                </c:pt>
                <c:pt idx="2">
                  <c:v>29.9</c:v>
                </c:pt>
                <c:pt idx="3">
                  <c:v>0</c:v>
                </c:pt>
                <c:pt idx="4">
                  <c:v>0</c:v>
                </c:pt>
                <c:pt idx="5">
                  <c:v>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c:v>
                </c:pt>
                <c:pt idx="1">
                  <c:v>Baillie Gifford</c:v>
                </c:pt>
                <c:pt idx="2">
                  <c:v>Wasatch Advisors</c:v>
                </c:pt>
                <c:pt idx="3">
                  <c:v>Christopher R. Christensen (cofundador)</c:v>
                </c:pt>
                <c:pt idx="4">
                  <c:v>Consejeros y directivos (12 personas)</c:v>
                </c:pt>
              </c:strCache>
            </c:strRef>
          </c:cat>
          <c:val>
            <c:numRef>
              <c:f>Hoja1!$B$2:$B$6</c:f>
              <c:numCache>
                <c:formatCode>0.0"%"</c:formatCode>
                <c:ptCount val="5"/>
                <c:pt idx="0">
                  <c:v>12.2</c:v>
                </c:pt>
                <c:pt idx="1">
                  <c:v>7.8</c:v>
                </c:pt>
                <c:pt idx="2">
                  <c:v>4.9</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c:v>
                </c:pt>
                <c:pt idx="1">
                  <c:v>0.8</c:v>
                </c:pt>
                <c:pt idx="2">
                  <c:v>75.7</c:v>
                </c:pt>
                <c:pt idx="3">
                  <c:v>25.5</c:v>
                </c:pt>
                <c:pt idx="4">
                  <c:v>61.4</c:v>
                </c:pt>
                <c:pt idx="5">
                  <c:v>15.4</c:v>
                </c:pt>
                <c:pt idx="6">
                  <c:v>13</c:v>
                </c:pt>
                <c:pt idx="7">
                  <c:v>18.9</c:v>
                </c:pt>
                <c:pt idx="8">
                  <c:v>18.6</c:v>
                </c:pt>
                <c:pt idx="9">
                  <c:v>31.3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14.2</c:v>
                </c:pt>
                <c:pt idx="1">
                  <c:v>14.8</c:v>
                </c:pt>
                <c:pt idx="2">
                  <c:v>14.5</c:v>
                </c:pt>
                <c:pt idx="3">
                  <c:v>15.6</c:v>
                </c:pt>
                <c:pt idx="4">
                  <c:v>16.8</c:v>
                </c:pt>
                <c:pt idx="5">
                  <c:v>18.7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15.2</c:v>
                </c:pt>
                <c:pt idx="1">
                  <c:v>15.2</c:v>
                </c:pt>
                <c:pt idx="2">
                  <c:v>15.2</c:v>
                </c:pt>
                <c:pt idx="3">
                  <c:v>15.2</c:v>
                </c:pt>
                <c:pt idx="4">
                  <c:v>15.2</c:v>
                </c:pt>
                <c:pt idx="5">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-291</c:v>
                </c:pt>
                <c:pt idx="1">
                  <c:v>108</c:v>
                </c:pt>
                <c:pt idx="2">
                  <c:v>170</c:v>
                </c:pt>
                <c:pt idx="3">
                  <c:v>238</c:v>
                </c:pt>
                <c:pt idx="4">
                  <c:v>287</c:v>
                </c:pt>
                <c:pt idx="5">
                  <c:v>339</c:v>
                </c:pt>
                <c:pt idx="6">
                  <c:v>393</c:v>
                </c:pt>
                <c:pt idx="7">
                  <c:v>446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1266</c:v>
                </c:pt>
                <c:pt idx="1">
                  <c:v>3470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173,05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48.25</c:v>
                </c:pt>
                <c:pt idx="1">
                  <c:v>81.6</c:v>
                </c:pt>
                <c:pt idx="2">
                  <c:v>92.33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173,05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(141,58 – 218,00)</c:v>
                </c:pt>
                <c:pt idx="1">
                  <c:v>Precio objetivo de los analistas (207,00 – 230,00)</c:v>
                </c:pt>
                <c:pt idx="2">
                  <c:v>Comparables: PER NTM (130,76 – 156,07)</c:v>
                </c:pt>
                <c:pt idx="3">
                  <c:v>DCF (WACC y g ± 0,5) (71,81 – 94,77)</c:v>
                </c:pt>
                <c:pt idx="4">
                  <c:v>Escenarios (bajista – alcista) (48,25 – 92,33)</c:v>
                </c:pt>
                <c:pt idx="5">
                  <c:v>DCF con la prima implícita del mercado (4,2 %)</c:v>
                </c:pt>
                <c:pt idx="6">
                  <c:v>Precio actual (173,05)</c:v>
                </c:pt>
              </c:strCache>
            </c:strRef>
          </c:cat>
          <c:val>
            <c:numRef>
              <c:f>Hoja1!$B$2:$B$8</c:f>
              <c:numCache>
                <c:formatCode>#,##0</c:formatCode>
                <c:ptCount val="7"/>
                <c:pt idx="0">
                  <c:v>141.58</c:v>
                </c:pt>
                <c:pt idx="1">
                  <c:v>207</c:v>
                </c:pt>
                <c:pt idx="2">
                  <c:v>130.76</c:v>
                </c:pt>
                <c:pt idx="3">
                  <c:v>71.81</c:v>
                </c:pt>
                <c:pt idx="4">
                  <c:v>48.25</c:v>
                </c:pt>
                <c:pt idx="5">
                  <c:v>88.49</c:v>
                </c:pt>
                <c:pt idx="6">
                  <c:v>172.18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(141,58 – 218,00)</c:v>
                </c:pt>
                <c:pt idx="1">
                  <c:v>Precio objetivo de los analistas (207,00 – 230,00)</c:v>
                </c:pt>
                <c:pt idx="2">
                  <c:v>Comparables: PER NTM (130,76 – 156,07)</c:v>
                </c:pt>
                <c:pt idx="3">
                  <c:v>DCF (WACC y g ± 0,5) (71,81 – 94,77)</c:v>
                </c:pt>
                <c:pt idx="4">
                  <c:v>Escenarios (bajista – alcista) (48,25 – 92,33)</c:v>
                </c:pt>
                <c:pt idx="5">
                  <c:v>DCF con la prima implícita del mercado (4,2 %)</c:v>
                </c:pt>
                <c:pt idx="6">
                  <c:v>Precio actual (173,05)</c:v>
                </c:pt>
              </c:strCache>
            </c:strRef>
          </c:cat>
          <c:val>
            <c:numRef>
              <c:f>Hoja1!$C$2:$C$8</c:f>
              <c:numCache>
                <c:formatCode>#,##0</c:formatCode>
                <c:ptCount val="7"/>
                <c:pt idx="0">
                  <c:v>76.41999999999999</c:v>
                </c:pt>
                <c:pt idx="1">
                  <c:v>23</c:v>
                </c:pt>
                <c:pt idx="2">
                  <c:v>25.310000000000002</c:v>
                </c:pt>
                <c:pt idx="3">
                  <c:v>22.959999999999994</c:v>
                </c:pt>
                <c:pt idx="4">
                  <c:v>44.08</c:v>
                </c:pt>
                <c:pt idx="5">
                  <c:v>18.41000000000001</c:v>
                </c:pt>
                <c:pt idx="6">
                  <c:v>1.7399999999999807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