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Universal Music Group N.V.</w:t>
      </w:r>
    </w:p>
    <w:p>
      <w:pPr>
        <w:spacing w:after="60"/>
        <w:rPr>
          <w:color w:val="52514E"/>
          <w:sz w:val="22"/>
          <w:szCs w:val="22"/>
        </w:rPr>
      </w:pPr>
      <w:r>
        <w:rPr>
          <w:color w:val="52514E"/>
          <w:sz w:val="22"/>
          <w:szCs w:val="22"/>
        </w:rPr>
        <w:t xml:space="preserve">UMG · Euronext Ámsterdam · ISIN NL0015000IY2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15,23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17,39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+17,6 % (base +14,1 %)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18,43 EUR · mercado 22,56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27.387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Universal Music Group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UMG / NL0015000IY2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Entretenimiento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Hilversum (Países Bajos) y Santa Mónica (EE. UU.) · 1934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universalmusic.com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15,23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13,92 – 23,98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27.387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30.019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53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17,39 EUR</w:t>
      </w:r>
      <w:r>
        <w:t xml:space="preserve"> frente a 15,23 · Rentabilidad a 12 meses </w:t>
      </w:r>
      <w:r>
        <w:rPr>
          <w:b/>
          <w:bCs/>
        </w:rPr>
        <w:t xml:space="preserve">+17,6 % (base +14,1 %)</w:t>
      </w:r>
      <w:r>
        <w:t xml:space="preserve"> · Valor intrínseco 18,43 EUR · con la prima implícita del mercado: 22,56 (+48,1 %) · Alcista / bajista +43,1 % / -0,5 %</w:t>
      </w:r>
    </w:p>
    <w:p>
      <w:pPr>
        <w:spacing w:after="100"/>
      </w:pPr>
      <w:r>
        <w:rPr>
          <w:b/>
        </w:rPr>
        <w:t xml:space="preserve">La recomendación y por qué.</w:t>
      </w:r>
      <w:r>
        <w:t xml:space="preserve"> Comprar, con convicción media. El objetivo a 12 meses es de 17,39 EUR ponderado (en el base, 13,7 veces nuestro BPA ajustado de 2028 de 1,23 EUR: 16,85 EUR), frente a un precio de 15,23 EUR (cierre del 14-oct-2026): rentabilidad ponderada del 17,6 % y del base del 14,1 %, con dividendo. Decide la regla v2 porque el selector ve la acción desrateada (la mediana adelantada, 25,9x, es 1,9 veces el PER de hoy); con la v3 serían el 29,5 % y el 25,3 %. El valor intrínseco es de 18,43 EUR (+21,0 %) y el objetivo medio de los 20 analistas, de 21,49. La convicción no es alta porque la rentabilidad total no llega al 25 % y porque los resultados del 3T llegan el 29-oct: conviene comprar en dos tramos. Una acción cuesta 15,23 EUR, muy por debajo del 7 % de una cartera de 30.000 EUR (2.100 EUR).</w:t>
      </w:r>
    </w:p>
    <w:p>
      <w:pPr>
        <w:spacing w:after="100"/>
      </w:pPr>
      <w:r>
        <w:rPr>
          <w:b/>
        </w:rPr>
        <w:t xml:space="preserve">El negocio.</w:t>
      </w:r>
      <w:r>
        <w:t xml:space="preserve"> UMG cobra por cada escucha de su catálogo y de sus artistas: ROIC del 21,4 % (28,5 % sin fondo de comercio) frente a un WACC del 8,06 %, +13,3 puntos. El veredicto de calidad es </w:t>
      </w:r>
      <w:r>
        <w:rPr>
          <w:b/>
        </w:rPr>
        <w:t xml:space="preserve">Sí</w:t>
      </w:r>
      <w:r>
        <w:t xml:space="preserve">: crea valor con holgura y la prueba de sostenibilidad da </w:t>
      </w:r>
      <w:r>
        <w:rPr>
          <w:b/>
        </w:rPr>
        <w:t xml:space="preserve">Sí</w:t>
      </w:r>
      <w:r>
        <w:t xml:space="preserve"> (crecimiento proyectado del 5,4 %, por debajo del financiable al ROIC actual, 7,4 %, y del histórico, 11 %); el motor coincide. Un aviso contable: el BPA ajustado no resta los pagos en acciones (227 M en 2025); nuestro DCF sí los resta.</w:t>
      </w:r>
    </w:p>
    <w:p>
      <w:pPr>
        <w:spacing w:after="100"/>
      </w:pPr>
      <w:r>
        <w:rPr>
          <w:b/>
        </w:rPr>
        <w:t xml:space="preserve">Sector y ciclo.</w:t>
      </w:r>
      <w:r>
        <w:t xml:space="preserve"> La música grabada creció un 6,4 % en 2025, once años seguidos al alza [20]. Las plataformas suben precios y UMG cobra parte con «Streaming 2.0» [2, 23]; lo que se frena es el número de usuarios en los mercados maduros.</w:t>
      </w:r>
    </w:p>
    <w:p>
      <w:pPr>
        <w:spacing w:after="100"/>
      </w:pPr>
      <w:r>
        <w:rPr>
          <w:b/>
        </w:rPr>
        <w:t xml:space="preserve">Finanzas.</w:t>
      </w:r>
      <w:r>
        <w:t xml:space="preserve"> Deuda neta de 1,9 veces el EBITDA. Los anticipos de regalías a artistas (5.743 M con clientes) son el circulante que hay que vigilar. La venta de la mitad de Spotify financia recompras.</w:t>
      </w:r>
    </w:p>
    <w:p>
      <w:pPr>
        <w:spacing w:after="100"/>
      </w:pPr>
      <w:r>
        <w:rPr>
          <w:b/>
        </w:rPr>
        <w:t xml:space="preserve">Equipo y gobierno.</w:t>
      </w:r>
      <w:r>
        <w:t xml:space="preserve"> Grainge cumple, pero su sucesión está abierta y su remuneración divide a la junta. Bolloré controla el 18,51 % del capital y, con Vivendi y Tencent, el 39,90 % de los votos: hay descuento de control, como mostró el rechazo de la oferta de Pershing.</w:t>
      </w:r>
    </w:p>
    <w:p>
      <w:pPr>
        <w:spacing w:after="100"/>
      </w:pPr>
      <w:r>
        <w:rPr>
          <w:b/>
        </w:rPr>
        <w:t xml:space="preserve">Valoración.</w:t>
      </w:r>
      <w:r>
        <w:t xml:space="preserve"> El DCF da 19,24 EUR y los escenarios van de 15,16 a 21,79. El DCF inverso pide un 1,3 % de crecimiento anual: el precio descuenta algo peor que nuestro bajista.</w:t>
      </w:r>
    </w:p>
    <w:p>
      <w:pPr>
        <w:spacing w:after="100"/>
      </w:pPr>
      <w:r>
        <w:rPr>
          <w:b/>
        </w:rPr>
        <w:t xml:space="preserve">Riesgos y catalizadores.</w:t>
      </w:r>
      <w:r>
        <w:t xml:space="preserve"> El riesgo mayor es que la desaceleración sea estructural. El de que la IA se coma el negocio es real: exposición alta, sentido mixto, efecto de −10 % a 3-5 años en el caso de riesgo (música sintética que ocupa la escucha de fondo y licencias baratas), compensado en parte por licencias de entrenamiento y creación (+5 % si se generalizan); el catálogo de estrellas, el 80 % del valor, es lo menos expuesto. El sentimiento es de desinterés, sin euforia ni capitulación. Catalizadores: el 3T el 29-oct-2026 y nuevas recompras.</w:t>
      </w:r>
    </w:p>
    <w:p>
      <w:pPr>
        <w:spacing w:after="100"/>
      </w:pPr>
      <w:r>
        <w:rPr>
          <w:b/>
        </w:rPr>
        <w:t xml:space="preserve">Qué cambiaría la decisión.</w:t>
      </w:r>
      <w:r>
        <w:t xml:space="preserve"> Compraríamos por debajo de 15,51 EUR y venderíamos por encima de 19,89. Rebajaríamos con suscripciones por debajo del 6 % o con un acuerdo barato de IA; subiríamos la convicción si los resultados de 2026 reafirman el 7 % anual.</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17,39 EUR</w:t>
      </w:r>
      <w:r>
        <w:t xml:space="preserve"> (rentabilidad +17,6 % (base +14,1 %)) · Valor intrínseco: 18,43 EUR (+21,0 % sobre 15,23) · con la prima implícita del mercado: 22,56 (+48,1 %)</w:t>
      </w:r>
    </w:p>
    <w:p>
      <w:pPr>
        <w:spacing w:after="100"/>
      </w:pPr>
      <w:r>
        <w:t xml:space="preserve">Universal Music Group es la primera discográfica y la segunda editorial del mundo, con cerca de un tercio de la música grabada global, un catálogo de 90 años que cobra cada vez que alguien escucha una canción en Spotify, Apple, Amazon, YouTube o TikTok, un ROIC del 21,4 % (28,5 % sin fondo de comercio) frente a un WACC del 8,06 % y poca inversión [1, 2, 20].</w:t>
      </w:r>
    </w:p>
    <w:p>
      <w:pPr>
        <w:spacing w:after="100"/>
      </w:pPr>
      <w:r>
        <w:t xml:space="preserve">A 15,23 EUR cotiza a 13,7 veces nuestro BPA ajustado de 2027, frente a 26 veces de mediana adelantada desde la salida a bolsa, y el DCF inverso dice que el precio descuenta un crecimiento del 1,3 % anual hasta 2032: que la música grabada deje de crecer por encima de la inflación. Desde 2015 no ha pasado ni un año así [20].</w:t>
      </w:r>
    </w:p>
    <w:p>
      <w:pPr>
        <w:spacing w:after="100"/>
      </w:pPr>
      <w:r>
        <w:t xml:space="preserve">El mercado castiga tres cosas: la desaceleración de las suscripciones (6,7 % en el 2T26), el miedo a la IA y la salida de Pershing tras el rechazo de su oferta [2, 9, 11]. Las tres son reales, pero el precio supone el peor caso de todas a la vez. Nuestro base (BPA de 1,23 EUR en 2028 con el PER de hoy) da un 17,6 % ponderado con dividendo; el DCF, 19,24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1,07 = 12,52 · 13,7x × 1,23 = 16,85 · 17,8x × 1,31 = 23,32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 / 14,1 %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(25,9x) es 1,9 veces el PER de hoy (13,7x);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 (nuestro base -21,6 %)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43,1 % /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frente a 8,1 %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frente a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24,4 % (&lt;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15,51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15,51 y 19,89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19,89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Un precio por encima de 15,51 EUR quita el margen para Comprar (pasaríamos a Mantener) y por encima de 19,89 EUR pasaríamos a Vender.</w:t>
      </w:r>
    </w:p>
    <w:p>
      <w:pPr>
        <w:pStyle w:val="ListParagraph"/>
        <w:numPr>
          <w:ilvl w:val="0"/>
          <w:numId w:val="2"/>
        </w:numPr>
        <w:spacing w:after="60"/>
      </w:pPr>
      <w:r>
        <w:t xml:space="preserve">Si las suscripciones del 3T26 (29-oct) quedan por debajo del 6 %, revisaríamos a la baja el BPA y el objetivo.</w:t>
      </w:r>
    </w:p>
    <w:p>
      <w:pPr>
        <w:pStyle w:val="ListParagraph"/>
        <w:numPr>
          <w:ilvl w:val="0"/>
          <w:numId w:val="2"/>
        </w:numPr>
        <w:spacing w:after="60"/>
      </w:pPr>
      <w:r>
        <w:t xml:space="preserve">Si un acuerdo de licencia barato con Suno o con una plataforma fija el precio de la IA por debajo del streaming, rebajaríamos el base.</w:t>
      </w:r>
    </w:p>
    <w:p>
      <w:pPr>
        <w:pStyle w:val="ListParagraph"/>
        <w:numPr>
          <w:ilvl w:val="0"/>
          <w:numId w:val="2"/>
        </w:numPr>
        <w:spacing w:after="60"/>
      </w:pPr>
      <w:r>
        <w:t xml:space="preserve">Si los resultados de 2026 (marzo de 2027) reafirman el 7 % anual hasta 2028 con cifras, subiría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Crecimiento del 1,3 % anual en 2027-2032 o margen EBITDA del 18,6 % (por debajo del 20,7 % de 2025): que el streaming se sature y la IA erosione la escucha. Los analistas, en cambio, mantienen un objetivo medio de 21,49 EUR, aunque recortan [7, 8].</w:t>
      </w:r>
    </w:p>
    <w:p>
      <w:pPr>
        <w:keepNext/>
        <w:spacing w:after="100"/>
      </w:pPr>
      <w:r>
        <w:rPr>
          <w:b/>
          <w:bCs/>
        </w:rPr>
        <w:t xml:space="preserve">Lo que creemos nosotros.</w:t>
      </w:r>
    </w:p>
    <w:p>
      <w:pPr>
        <w:spacing w:after="100"/>
      </w:pPr>
      <w:r>
        <w:t xml:space="preserve">El negocio sigue creciendo al 6-7 % (subidas de precio de «Streaming 2.0», emergentes, superfans) y el margen vuelve al 22,5 % ajustado con el ahorro de 250 M. No suponemos que el múltiplo vuelva: el base a 12 meses mantiene el PER de hoy (13,7x) y la rentabilidad sale del BPA (+11 % al año), del dividendo (3,4 %) y de las recompras.</w:t>
      </w:r>
    </w:p>
    <w:p>
      <w:pPr>
        <w:keepNext/>
        <w:spacing w:after="100"/>
      </w:pPr>
      <w:r>
        <w:rPr>
          <w:b/>
          <w:bCs/>
        </w:rPr>
        <w:t xml:space="preserve">Por qué podemos tener razón.</w:t>
      </w:r>
    </w:p>
    <w:p>
      <w:pPr>
        <w:spacing w:after="100"/>
      </w:pPr>
      <w:r>
        <w:t xml:space="preserve">El poder de precios está probado (3,5 puntos de precio en el 2T26) [2], los acuerdos con las grandes plataformas se renovaron en 2025 con subidas de precio mayorista y la IA, de momento, paga: licencias con Udio y Stability AI y un pago compensatorio ya contabilizado [1, 22]. El mercado proyecta un trimestre malo como si fuera la nueva tendencia.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5,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21,4 % frente a un WACC del 8,06 % (+13,3 puntos) y un foso amplio por catálogo y escala [1, 3].</w:t>
      </w:r>
    </w:p>
    <w:p>
      <w:pPr>
        <w:pStyle w:val="ListParagraph"/>
        <w:numPr>
          <w:ilvl w:val="0"/>
          <w:numId w:val="2"/>
        </w:numPr>
        <w:spacing w:after="60"/>
      </w:pPr>
      <w:r>
        <w:rPr>
          <w:b/>
        </w:rPr>
        <w:t xml:space="preserve">Precio</w:t>
      </w:r>
      <w:r>
        <w:t xml:space="preserve">: 13,7 veces el BPA ajustado de 2027, la mitad de su historia (25,9x) y por debajo de los comparables (14,7x).</w:t>
      </w:r>
    </w:p>
    <w:p>
      <w:pPr>
        <w:pStyle w:val="ListParagraph"/>
        <w:numPr>
          <w:ilvl w:val="0"/>
          <w:numId w:val="2"/>
        </w:numPr>
        <w:spacing w:after="60"/>
      </w:pPr>
      <w:r>
        <w:rPr>
          <w:b/>
        </w:rPr>
        <w:t xml:space="preserve">Ingresos recurrentes</w:t>
      </w:r>
      <w:r>
        <w:t xml:space="preserve">: el streaming de suscripción es la mayor parte de la música grabada y se cobra con acuerdos plurianuales con las plataformas [1, 2].</w:t>
      </w:r>
    </w:p>
    <w:p>
      <w:pPr>
        <w:pStyle w:val="ListParagraph"/>
        <w:numPr>
          <w:ilvl w:val="0"/>
          <w:numId w:val="2"/>
        </w:numPr>
        <w:spacing w:after="60"/>
      </w:pPr>
      <w:r>
        <w:rPr>
          <w:b/>
        </w:rPr>
        <w:t xml:space="preserve">Devolución de capital</w:t>
      </w:r>
      <w:r>
        <w:t xml:space="preserve">: dividendo del 3,4 % y recompras con la venta de la mitad de Spotify; cada 1.000 M recompran ≈ 3,6 % del capital [12, 13].</w:t>
      </w:r>
    </w:p>
    <w:p>
      <w:pPr>
        <w:pStyle w:val="ListParagraph"/>
        <w:numPr>
          <w:ilvl w:val="0"/>
          <w:numId w:val="2"/>
        </w:numPr>
        <w:spacing w:after="60"/>
      </w:pPr>
      <w:r>
        <w:rPr>
          <w:b/>
        </w:rPr>
        <w:t xml:space="preserve">El DCF inverso</w:t>
      </w:r>
      <w:r>
        <w:t xml:space="preserve">: el precio pide un 1,3 % de crecimiento anual, por debajo de nuestro bajista (2,9 %).</w:t>
      </w:r>
    </w:p>
    <w:p>
      <w:pPr>
        <w:pStyle w:val="Heading2"/>
      </w:pPr>
      <w:r>
        <w:t xml:space="preserve">En contra</w:t>
      </w:r>
    </w:p>
    <w:p>
      <w:pPr>
        <w:pStyle w:val="ListParagraph"/>
        <w:numPr>
          <w:ilvl w:val="0"/>
          <w:numId w:val="2"/>
        </w:numPr>
        <w:spacing w:after="60"/>
      </w:pPr>
      <w:r>
        <w:rPr>
          <w:b/>
        </w:rPr>
        <w:t xml:space="preserve">Desaceleración</w:t>
      </w:r>
      <w:r>
        <w:t xml:space="preserve">: suscripciones del 7,9 % al 6,7 % y streaming con anuncios casi plano (+1,7 %) en el 2T26 [2].</w:t>
      </w:r>
    </w:p>
    <w:p>
      <w:pPr>
        <w:pStyle w:val="ListParagraph"/>
        <w:numPr>
          <w:ilvl w:val="0"/>
          <w:numId w:val="2"/>
        </w:numPr>
        <w:spacing w:after="60"/>
      </w:pPr>
      <w:r>
        <w:rPr>
          <w:b/>
        </w:rPr>
        <w:t xml:space="preserve">IA generativa</w:t>
      </w:r>
      <w:r>
        <w:t xml:space="preserve">: exposición alta; la música sintética compite por la escucha de fondo y puede fijar licencias baratas (pleito con Suno) [21].</w:t>
      </w:r>
    </w:p>
    <w:p>
      <w:pPr>
        <w:pStyle w:val="ListParagraph"/>
        <w:numPr>
          <w:ilvl w:val="0"/>
          <w:numId w:val="2"/>
        </w:numPr>
        <w:spacing w:after="60"/>
      </w:pPr>
      <w:r>
        <w:rPr>
          <w:b/>
        </w:rPr>
        <w:t xml:space="preserve">Gobierno</w:t>
      </w:r>
      <w:r>
        <w:t xml:space="preserve">: el bloque Bolloré-Vivendi-Tencent tiene el 39,90 % de los votos; rechazó la oferta de Pershing y la remuneración de Grainge es polémica [9, 25, 34].</w:t>
      </w:r>
    </w:p>
    <w:p>
      <w:pPr>
        <w:pStyle w:val="ListParagraph"/>
        <w:numPr>
          <w:ilvl w:val="0"/>
          <w:numId w:val="2"/>
        </w:numPr>
        <w:spacing w:after="60"/>
      </w:pPr>
      <w:r>
        <w:rPr>
          <w:b/>
        </w:rPr>
        <w:t xml:space="preserve">Pagos en acciones</w:t>
      </w:r>
      <w:r>
        <w:t xml:space="preserve">: 227 M en 2025, el 12 % del beneficio ajustado, que el BPA ajustado (y el consenso) no resta [1].</w:t>
      </w:r>
    </w:p>
    <w:p>
      <w:pPr>
        <w:pStyle w:val="ListParagraph"/>
        <w:numPr>
          <w:ilvl w:val="0"/>
          <w:numId w:val="2"/>
        </w:numPr>
        <w:spacing w:after="60"/>
      </w:pPr>
      <w:r>
        <w:rPr>
          <w:b/>
        </w:rPr>
        <w:t xml:space="preserve">Margen</w:t>
      </w:r>
      <w:r>
        <w:t xml:space="preserve">: Downtown y el físico bajan el margen 1,6 puntos en el 1S26 [2].</w:t>
      </w:r>
    </w:p>
    <w:p>
      <w:pPr>
        <w:pStyle w:val="Heading2"/>
      </w:pPr>
      <w:r>
        <w:t xml:space="preserve">Qué tiene que pasar para que la tesis funcione</w:t>
      </w:r>
    </w:p>
    <w:p>
      <w:pPr>
        <w:spacing w:after="100"/>
      </w:pPr>
      <w:r>
        <w:t xml:space="preserve">La tesis depende de que las suscripciones vuelvan al 7-8 % y de que el margen ajustado sin Downtown se mantenga en el 22-23 %. La señal de que no se cumple sería: suscripciones sin compras por debajo del 6 % en el 3T y el 4T26, streaming con anuncios en negativo o anticipos de regalías creciendo más que las ventas dos años seguidos. Para la IA: la cuota de escucha de música sintética en las plataformas y el precio del acuerdo o la sentencia con Suno.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suscripciones (sin compras,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50 % de la música grabada y el motor del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Streaming con anuncios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que la escucha se va a plataformas que pagan menos o a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 (1S26, con Downtown)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 sin Downtown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BPA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licencias de IA y estado del pleito con Suno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cifra publicada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Acuerdo barato que fije precio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amenaza u oportunidad.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11x sin bajada del BPA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Desrateo adicional.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 / 11,0x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14,2x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UMG nace de Decca (1934) y toma su forma actual en 1998, cuando Seagram compra PolyGram y la une a Universal. Vivendi la controla desde 2006 y Lucian Grainge la dirige desde 2011; en 2012 compra la música grabada de EMI, la operación que la deja como primera discográfica del mundo. En 2020 un consorcio de Tencent entra con el 20 % y en septiembre de 2021 Vivendi la escinde y la saca a bolsa en Ámsterdam, con Pershing Square como accionista del 10 % [9]. Desde entonces la acción no ha superado su primer año: la oferta de Pershing a 30,40 EUR (abril de 2026) fue rechazada, Pershing salió en junio y tras el 2T la cotización cayó un 25 % en un día, hasta mínimos desde la salida a bolsa [9, 11,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Origen en Decca Records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Seagram compra PolyGram y la une a Universal Music: nace el grupo actual.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Vivendi toma el 100 % de Universal Music Group.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Lucian Grainge, primer ejecutivo; en 2012 compra la música grabada de EMI.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consorcio de Tencent compra el 20 % del grupo a Vivendi.</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Vivendi y salida a bolsa en Euronext Ámsterdam (21-sep-2021); Pershing Square compra ≈ 10 %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objetivos hasta 2028 de ventas +7 % anual, suscripciones +8-10 % y EBITDA ajustado &gt; 10 % [23]; rediseño organizativo con ahorro de costes.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«Streaming 2.0» con Spotify y YouTube; acuerdo y licencia con Udio y Stability AI tras demandar a las IA generativas [1,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Downtown (feb-26), primeras recompras de su historia (≈ 1.000 M EUR), oferta de Pershing de 30,40 EUR por acción rechazada (29-may) y caída del 25 % en bolsa tras el 2T [2, 9, 12, 15].</w:t>
            </w:r>
          </w:p>
        </w:tc>
      </w:tr>
    </w:tbl>
    <w:p>
      <w:pPr>
        <w:spacing w:after="160" w:before="0"/>
      </w:pPr>
    </w:p>
    <w:p>
      <w:pPr>
        <w:pStyle w:val="Heading1"/>
      </w:pPr>
      <w:r>
        <w:t xml:space="preserve">2. Modelo de negocio</w:t>
      </w:r>
    </w:p>
    <w:p>
      <w:pPr>
        <w:spacing w:after="100"/>
      </w:pPr>
      <w:r>
        <w:t xml:space="preserve">UMG es la mayor compañía de música del mundo. Tiene tres segmentos: música grabada (9.456 M de ventas en 2025, el 75 %), con sellos como Republic, Interscope, Island, Capitol, Def Jam y Virgin Music Group, y artistas como Taylor Swift, Drake, Billie Eilish o BTS en distribución; edición musical (2.260 M, el 18 %), que gestiona los derechos de autor de las composiciones; y merchandising y otros (811 M, el 6 %) [1]. Vende a plataformas de streaming (Spotify, Apple, Amazon, YouTube, Tencent Music), a distribuidores físicos, a anunciantes y productoras (sincronización) y a sociedades de gestión. Desde 2026 consolida Downtown, distribuidora y proveedora de servicios para artistas independientes [2].</w:t>
      </w:r>
    </w:p>
    <w:p>
      <w:pPr>
        <w:pStyle w:val="Heading2"/>
      </w:pPr>
      <w:r>
        <w:t xml:space="preserve">Cómo gana dinero</w:t>
      </w:r>
    </w:p>
    <w:p>
      <w:pPr>
        <w:spacing w:after="100"/>
      </w:pPr>
      <w:r>
        <w:t xml:space="preserve">Cobra un porcentaje de los ingresos de las plataformas por cada reproducción de su repertorio y paga a los artistas un porcentaje (costes de artistas: 46,7 % de las ventas en 2025) más el coste de producto (10,9 %) [1]. El margen depende de la mezcla: el streaming de catálogo antiguo deja más margen que las novedades de grandes estrellas, el físico y los servicios a artistas dejan menos, y el merchandising casi nada (2,0 % en 2025) [1]. Unos dos tercios de las ventas son recurrentes (suscripciones y streaming: 6.319 M en 2025). El apalancamiento operativo viene de los gastos generales (23,8 % de las ventas en 2025, con el rediseño organizativo) [1]. El circulante es negativo: cobra de las plataformas antes de pagar regalías, pero anticipa dinero a artistas al firmar o renovar.</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Música grabada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Edición musical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Merchandising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Música grabada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Edición musical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Merchandising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r>
    </w:tbl>
    <w:p>
      <w:pPr>
        <w:spacing w:after="160" w:before="0"/>
      </w:pPr>
    </w:p>
    <w:p>
      <w:pPr>
        <w:pStyle w:val="Heading2"/>
      </w:pPr>
      <w:r>
        <w:t xml:space="preserve">Clientes, recurrencia y poder de precios</w:t>
      </w:r>
    </w:p>
    <w:p>
      <w:pPr>
        <w:spacing w:after="100"/>
      </w:pPr>
      <w:r>
        <w:t xml:space="preserve">Los clientes directos son pocos y grandes: las plataformas de streaming concentran la mayoría de los ingresos de suscripción (Spotify es el mayor, sin cifra publicada en las fuentes abiertas). La relación es de dependencia mutua: ninguna plataforma puede prescindir del 30 % del catálogo mundial y UMG no puede prescindir de Spotify o YouTube. El poder de precio se ha demostrado con los acuerdos «Streaming 2.0» (Spotify y YouTube en 2025): las subidas de precio mayorista aportaron 3,5 puntos al crecimiento de suscripciones del 2T26 [1, 2]. Del lado de los artistas, los contratos son de varios años y las renovaciones de grandes artistas obligan a pagar anticipos (402 M netos en 2025)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suscripciones (música grabada)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4.624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(+8,6 %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1S26, +7,3 % a tipo constante sin Downtown; +6,7 % en el 2T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streaming con anuncios (música grabada)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 M EUR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(+4,7 %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consumo se va de las plataformas de vídeo a las de vídeo corto, que pagan peor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físicas (música grabada)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 M EUR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Vinilo en EE. UU. y Europa; margen menor que el digital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21,1 % en el 1S26 (−1,6 pp) por Downtown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regalías netos de recuperaciones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M EUR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y prórrogas de grandes artistas; 292 M en el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catálogos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M EUR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Sezen Aksu, A-Sketch, etc.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música grabada mundial a precio mayorista (lo que pagan las plataformas, tiendas y licenciatarios a sellos y distribuidores), que mide la IFPI: 31.700 M USD en 2025 [20]. La edición musical (derechos de autor) es un mercado aparte y más pequeño, y el merchandising no es comparable; por eso la cuota se calcula solo con la música grabada. Usamos la IFPI (fuente sectorial de referencia) y no tenemos una segunda fuente independiente abierta: la previsión del 6 % anual es estimación propia, coherente con el 6,4 % de 2025 y el objetivo de UMG del 7 % hasta 2028 [20,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31.700 M USD de ingresos mayoristas de música grabada en 2025 (IFPI), +6,4 %; ≈ 28.200 M EUR al cambio medio de 2025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ingresos mayoristas de música grabada, IFP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(837 M de usuarios en 2025)</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suscripción +8,8 % en 2025 y el 52,4 % del mercado [20]; penetración por debajo del 50 % en mercados maduros y temprana en China e India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Subidas de precio de las plataformas («Streaming 2.0», superfans)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subidas mayoristas aportaron 3,5 puntos al crecimiento de suscripciones de UMG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Música generada por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Diluye el reparto de regalías y compite por la escucha; a la vez abre licencias (Udio, Stability AI; pago compensatorio de una plataforma de IA en el 4T25) [1,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del vídeo al vídeo corto (con anuncios)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Streaming con anuncios de UMG +1,7 % sin Downtown en el 2T26: el consumo se va a plataformas que pagan menos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Vinilo y físico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Físico +8,0 % mundial en 2025 y vinilo +13,7 % [20]; UMG +15,9 %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(ingresos en USD, cuentas en EUR)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1S26 las ventas crecieron un 5,3 % en euros y un 10,8 % a tipo constante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grandes (UMG, Sony, Warner) con cuotas estables y márgenes del 17-25 %; compiten por artistas, no por precio [1, 33].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plataformas compran casi todo el streaming; pero no pueden quitar el catálogo de UMG, y los acuerdos de 2025 subieron el precio mayorista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artistas estrella negocian anticipos y porcentajes altos (costes de artistas del 46,7 % de las ventas y subiendo por la mezcla)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Distribuir es barato (DistroKid, la propia Downtown); crear estrellas y un catálogo de 90 años, no. La IA rebaja la barrera de crear música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Vídeo corto, pódcast, juegos y música generada por IA compiten por el tiempo de escucha [2, 21].</w:t>
            </w:r>
          </w:p>
        </w:tc>
      </w:tr>
    </w:tbl>
    <w:p>
      <w:pPr>
        <w:spacing w:after="160" w:before="0"/>
      </w:pPr>
    </w:p>
    <w:p>
      <w:pPr>
        <w:pStyle w:val="Heading2"/>
      </w:pPr>
      <w:r>
        <w:t xml:space="preserve">Ciclo</w:t>
      </w:r>
    </w:p>
    <w:p>
      <w:pPr>
        <w:spacing w:after="100"/>
      </w:pPr>
      <w:r>
        <w:t xml:space="preserve">La música grabada lleva once años seguidos de crecimiento (IFPI) y resistió 2020 (el streaming compensó el cierre de tiendas) y 2022 [20]. No es un sector cíclico en el sentido clásico: lo que se ha moderado es el crecimiento de las suscripciones (de dos cifras en 2020-2021 al 7-9 %), y la pregunta del mercado es si el 6,7 % del 2T26 es un bache o un techo. El indicador es el crecimiento de suscripciones sin compras de UMG y de Spotify en los próximos dos trimestres.</w:t>
      </w:r>
    </w:p>
    <w:p>
      <w:pPr>
        <w:pStyle w:val="Heading2"/>
      </w:pPr>
      <w:r>
        <w:t xml:space="preserve">Regulación</w:t>
      </w:r>
    </w:p>
    <w:p>
      <w:pPr>
        <w:spacing w:after="100"/>
      </w:pPr>
      <w:r>
        <w:t xml:space="preserve">La ley europea de IA obliga desde 2025-2026 a publicar resúmenes de los datos de entrenamiento y respeta la exclusión de los titulares de derechos: favorece a los dueños de catálogos. En EE. UU., los pleitos contra Suno (al que UMG y Sony quieren añadir 61.000 obras tras descubrir que entrenó con millones de sus grabaciones) fijarán si entrenar con música protegida es uso legítimo [21]. Las tarifas de derechos mecánicos en EE. UU. las fija el Copyright Royalty Board por periodos de cinco años. La revisión europea de la directiva de servicios audiovisuales y la regulación de plataformas pueden cambiar el reparto con YouTube y TikTok.</w:t>
      </w:r>
    </w:p>
    <w:p>
      <w:pPr>
        <w:pStyle w:val="Heading2"/>
      </w:pPr>
      <w:r>
        <w:t xml:space="preserve">Tendencias y disrupción</w:t>
      </w:r>
    </w:p>
    <w:p>
      <w:pPr>
        <w:spacing w:after="100"/>
      </w:pPr>
      <w:r>
        <w:t xml:space="preserve">Tres tendencias dominan: (1) monetización de los superfans con niveles de suscripción más caros y ediciones especiales, que UMG negocia en los acuerdos «Streaming 2.0» [1, 23]; (2) la IA generativa, que multiplica las canciones subidas a las plataformas y obliga a filtrar el «relleno» que diluye las regalías, a la vez que abre licencias de entrenamiento y de creación para fans (Udio, Stability AI, Klay) [1, 22]; (3) crecimiento en mercados emergentes (América Latina +17,1 %, Asia +10,9 %, China +20,1 % en 2025) [20]. UMG gana con la primera y la tercera; la segunda es la gran incógnita.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música grabada (estimación propia ≈ 31 % de los ingresos mayoristas de la IFPI) y entre los dos primeros en edición musical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Warner Music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WMG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discográfica y editora (Atlantic, Warner Records, Warner Chappell); acuerdo de licencia con Suno en nov-2025. Ingresos de los últimos 12 meses de Yahoo convertidos a EUR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Sony Music Entertainment (Sony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6758.T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discográfica y primera editora (Sony Music Publishing); dentro de un conglomerado, sin cifras del segmento abiertas en este análisis.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Tencent Music Entertainment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dominante en China, cliente de UMG y su accionista (≈ 11 % con Tencent) [33,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HYBE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352820.KS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K-pop (BTS); distribuye en parte con UMG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Reservoir Media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RSVR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 de edición y catálogos; compra derechos con deuda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artistas firman con quien tiene más alcance global y más datos: 9 de los 10 primeros artistas del ranking de la IFPI por tercer año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plataformas no pueden quitar el 30 % del catálogo; los artistas están atados por contratos de varios álbumes y anticipos pendientes de recuperar (3.136 M)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Catálogo de grabaciones y composiciones de casi un siglo (Beatles, Queen en edición, Motown…), con derechos de 70-95 años; el margen EBITDA ajustado se ha mantenido en el 21-23 % desde 2021 [1,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marketing y distribución; gastos generales del 23,8 % de las ventas frente a mayores en los independientes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grandes con ≈ 70 % del mercado; ROIC del 21,4 % frente a un WACC del 8,06 %.</w:t>
            </w:r>
          </w:p>
        </w:tc>
      </w:tr>
    </w:tbl>
    <w:p>
      <w:pPr>
        <w:spacing w:after="160" w:before="0"/>
      </w:pPr>
    </w:p>
    <w:p>
      <w:pPr>
        <w:pStyle w:val="Heading2"/>
      </w:pPr>
      <w:r>
        <w:t xml:space="preserve">Amenazas</w:t>
      </w:r>
    </w:p>
    <w:p>
      <w:pPr>
        <w:spacing w:after="100"/>
      </w:pPr>
      <w:r>
        <w:t xml:space="preserve">El foso es el catálogo y la capacidad de fabricar estrellas, y lo amenazan tres cosas. La IA generativa (probabilidad media): música «suficientemente buena» sin coste de artista que ocupe listas de ambiente y de fondo, donde el oyente no elige artista, y diluya el reparto de regalías; el freno es legal (pleitos y licencias) y comercial (cláusulas «artist-centric» en los acuerdos con plataformas) [1, 21, 22]. La desintermediación por distribuidoras independientes y por los propios artistas (probabilidad media, efecto lento: UMG la compensa comprando Downtown). Y el poder de las plataformas si deciden pagar menos por catálogo (probabilidad baja tras los acuerdos de 2025).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2020-2025: ingresos </w:t>
      </w:r>
      <w:r>
        <w:rPr>
          <w:b/>
          <w:bCs/>
        </w:rPr>
        <w:t xml:space="preserve">11,0 %</w:t>
      </w:r>
      <w:r>
        <w:t xml:space="preserve">, EBITDA </w:t>
      </w:r>
      <w:r>
        <w:rPr>
          <w:b/>
          <w:bCs/>
        </w:rPr>
        <w:t xml:space="preserve">11,7 %</w:t>
      </w:r>
      <w:r>
        <w:t xml:space="preserve">, BPA </w:t>
      </w:r>
      <w:r>
        <w:rPr>
          <w:b/>
          <w:bCs/>
        </w:rPr>
        <w:t xml:space="preserve">2,0 %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pasan de 7.432 M en 2020 a 12.507 M en 2025 (TCAC del 11 %), casi todo orgánico: suscripciones de streaming, subidas de precio de las plataformas, vinilo y licencias; las compras (catálogos, Downtown en 2026) aportan poco hasta 2026 [1, 3]. En 2025 las ventas crecen un 5,7 % (8,7 % a tipo constante): la debilidad del dólar resta tres puntos. El EBITDA ajustado de la empresa sube de 1.497 M (20,1 %) en 2020 a 2.810 M (22,5 %) en 2025 [1, 5]; la mezcla (más físico, más servicios a artistas y sellos, merchandising con pérdidas) frena el margen y el ahorro del rediseño organizativo lo sostiene [1]. En el 1S26 el margen ajustado cae 1,6 puntos, hasta el 21,1 %, por la consolidación de Downtown (margen del 4,5 %), la mezcla y más gastos centrales [2]. El BPA publicado oscila mucho (0,43-1,13 EUR) porque la cuenta recoge el valor razonable de Spotify y Tencent Music; el BPA ajustado crece sin interrupción: 0,57 (2020), 0,70, 0,80, 0,87, 0,96 y 1,03 EUR (2025) [1, 4, 5].</w:t>
      </w:r>
    </w:p>
    <w:p>
      <w:pPr>
        <w:pStyle w:val="Heading2"/>
      </w:pPr>
      <w:r>
        <w:t xml:space="preserve">Ajustes y partidas no recurrentes</w:t>
      </w:r>
    </w:p>
    <w:p>
      <w:pPr>
        <w:spacing w:after="100"/>
      </w:pPr>
      <w:r>
        <w:t xml:space="preserve">Las cifras de la cuenta son las publicadas (XBRL ESEF) [3]. El EBITDA del informe es EBIT + amortizaciones y depreciaciones (incluida la de catálogos y la de derechos de uso) y lleva dentro los pagos en acciones (227 M en 2025, 329 M en 2024 y 561 M en 2023 por el arranque del plan de acciones). Como no recurrentes devolvemos al EBITDA la reestructuración del rediseño organizativo (95 M en 2025 y 169 M en 2024), los gastos de la salida a bolsa en EE. UU. y asesoría de compras (45 M en 2025), los de la salida a bolsa de 2021 (23 M) y la remuneración en acciones extraordinaria concedida por Vivendi (45 M en 2021) [1, 4, 5]. El LTM usa el beneficio y el BPA ajustados de la empresa (sin revalorización de participadas cotizadas, pagos en acciones ni amortización de catálogos): el publicado del LTM (BPA de 0,18 EUR) está hundido por la caída de valor de Spotify y Tencent Music [2]. El BPA del objetivo a 12 meses y su historia son el ajustado de la empresa, la base del consenso.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conferencia del 1T26 (29-abr) la dirección anunció la venta de la mitad de Spotify y la ampliación de las recompras a 1.000 M, con el mensaje de que la acción estaba infravalorada [11]. En la del 2T26 (30-jul), con Grainge, Ellis, Nash y Muir, el discurso pasó a «afinar la ejecución»: las suscripciones sin Downtown crecieron un 6,7 % (7,9 % en el 1T y 9,4 % que esperaban los analistas) por pérdida de cuota en el 1T que se arrastró al 2T, las subidas de precio aportaron 3,5 puntos y la cuota mejoró al final del trimestre con más lanzamientos [2, 15, 16]. Los analistas preguntaron por la caída del margen (21,5 % sin Downtown, −1,3 puntos), el aumento de gastos centrales y legales, el flujo libre del semestre (24 M) y el programa de ahorro de ≈ 250 M, parte del cual se reinvierte en IA [16, 18]. La dirección no dio guía numérica para 2026 ni confirmó en cifras los objetivos a 2028; prometió más flujo libre en el segundo semestre [18]. La acción cayó un 25 % al día siguiente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Downtown Music Holdings, consolidada desde el 20-feb-2026 (288 M de ventas y 13 M de EBITDA ajustado en el 1S26)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circulante comercial es muy negativo (existencias y clientes 2.870 M frente a 6.229 M de regalías y cuentas por pagar en 2025): el negocio cobra de las plataformas antes de pagar a los artistas. Pero ese circulante se financia en parte con anticipos de regalías, que suben de 1.859 M en 2020 a 3.136 M en 2025 y consumen caja cada año (402 M netos de recuperaciones en 2025, 186 M en 2024) [1, 3]. Con los anticipos dentro, el circulante es de −1,8 % de las ventas. La deuda neta financiera sube de 2.390 M a 4.131 M en el 1S26 (1,5 veces el EBITDA de los últimos 12 meses) por la compra de Downtown, las recompras y el dividendo [2]; la venta de la mitad de Spotify, en curso, la reducirá.</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2020-2025: FCF </w:t>
      </w:r>
      <w:r>
        <w:rPr>
          <w:b/>
          <w:bCs/>
        </w:rPr>
        <w:t xml:space="preserve">5.126</w:t>
      </w:r>
      <w:r>
        <w:t xml:space="preserve">, conversión </w:t>
      </w:r>
      <w:r>
        <w:rPr>
          <w:b/>
          <w:bCs/>
        </w:rPr>
        <w:t xml:space="preserve">65 %</w:t>
      </w:r>
      <w:r>
        <w:t xml:space="preserve"> del beneficio neto; adquisiciones 1.613, dividendos 4.681, recompras 0.</w:t>
      </w:r>
    </w:p>
    <w:p>
      <w:pPr>
        <w:spacing w:after="100"/>
      </w:pPr>
      <w:r>
        <w:t xml:space="preserve">El flujo operativo pasa de 926 M (2020) a 1.739 M (2025); la conversión del EBITDA en caja depende de los anticipos de regalías a artistas, que se pagan al firmar o renovar y se recuperan después (588 M netos en 2020, 402 M en 2025) [1, 3, 5]. En el capex incluimos las inversiones en catálogos (929 M en 2020, año de grandes compras; 345 M en 2025) y en software, además del inmovilizado (70 M): la empresa los presenta en inversión y son la forma de comprar ingresos futuros [1, 3]. Estimación propia: el mantenimiento es el inmovilizado y el software (≈1,5 % de las ventas); los catálogos y los anticipos son inversión de crecimiento. El flujo libre de la empresa (definición antigua, después de inversiones estratégicas) fue de 702 M en 2025 y 523 M en 2024; con la definición nueva de 2026 fue de 24 M en el 1S26 frente a 163 M del 1S25, por menos beneficio operativo, más circulante, más intereses y la obra de oficinas [1, 2]. El dividendo (953 M en 2025) supera el flujo libre de la definición antigua.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Accountants B.V.</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(reelegido por la junta de 2026 para los ejercicios 2026 y 2027)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y sencillas: auditor EY, opinión favorable [24]. Tres asuntos a vigilar. (1) La cuenta publicada recoge el valor razonable de Spotify y Tencent Music, que ha movido el beneficio entre 782 M (2022) y 2.086 M (2024); la empresa lo quita en el beneficio ajustado, que es lo que usamos para el objetivo [1]. (2) El beneficio ajustado excluye los pagos en acciones (227 M en 2025, el 12 % del beneficio ajustado; 561 M en 2023 por el arranque del plan) y la amortización de catálogos (256 M): los primeros son un coste real y nuestra valoración por DCF los mantiene dentro del EBITDA. (3) Los anticipos de regalías (3.136 M) son una estimación de recuperabilidad: si un artista no vende, se deterioran. Lectura del motor: Altman Z de 2,21 (zona gris, normal en un negocio con circulante negativo y pocos activos fijos), Piotroski F de 6 (sano) y Beneish M de −2,53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publicado dominado por el valor razonable de participadas cotizadas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Spotify y Tencent Music: +1.163 M en 2024 y +283 M en 2025; el BPA del 1S26 cae a 0,12 EUR por la bajada de Spotify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excluidos del beneficio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227 M en 2025 (1,8 % de las ventas); el consenso los excluye y nuestro DCF no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definición del flujo libre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nueva definición excluye las inversiones estratégicas (catálogos, compras); con la antigua, 702 M en 2025 [1, 2].</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1.754 M en 2025 (el 25 % del capital invertido medio); ha subido más de un 5 % en 3 de 5 años: comprador en serie. ROIC publicado 21,4 %; sin fondo de comercio, 28,5 %.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18,5 % · </w:t>
      </w:r>
      <w:r>
        <w:rPr>
          <w:b/>
          <w:bCs/>
        </w:rPr>
        <w:t xml:space="preserve">WACC</w:t>
      </w:r>
      <w:r>
        <w:t xml:space="preserve">: 8,1 %.</w:t>
      </w:r>
    </w:p>
    <w:p>
      <w:pPr>
        <w:spacing w:after="100"/>
      </w:pPr>
      <w:r>
        <w:t xml:space="preserve">UMG crea valor con holgura: ROIC del 21,4 % en 2025 frente a un WACC del 8,06 %, 13,3 puntos de diferencia, y del 28,5 % sin el fondo de comercio de las compras. El ROIC ha estado entre el 21 % y el 32 % desde 2020 y lo mueve el margen (el EBITDA ajustado de la empresa pasó del 20,1 % al 22,5 %), porque la rotación es alta y el capital invertido pequeño: el circulante negativo de las regalías por pagar financia los anticipos a artistas y casi todo el inmovilizado son catálogos. El ROIC incremental de los últimos años (18,5 %) es menor que el medio porque 2024-2026 incluyen compras (Downtown, participaciones en India y Japón) que todavía no rinden. Frente a Warner (margen operativo del 16,7 %) UMG tiene más escala y más margen [33].</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5.397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451 M a 31-dic-2025; bonos por 2.293 M y pagarés por 384 M; deuda financiera neta de 2.390 M a cierre de 2025 y de 4.131 M a 30-jun-2026 tras la compra de Downtown, 734 M de recompras en el 2T y 514 M de dividendo, compensados en parte por 379 M de la venta de acciones de Spotify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(la empresa reafirma el compromiso de mantener sus calificaciones; nota sin verificar en el documento original)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Los pasivos que no parecen deuda son los derechos de autor y regalías por pagar a artistas y autores (dentro de proveedores y otras cuentas a pagar: 6.229 M en 2025) y, en el activo, los anticipos de regalías a artistas (3.136 M: 1.146 corrientes y 1.990 no corrientes), que se recuperan con las regalías futuras [3]. Otros pasivos financieros no corrientes: 1.449 M en 2025 [3]. Provisiones: 179 M corrientes y 242 M no corrientes, con los compromisos de pensiones dentro (sin desglose en el XBRL) [3]. La venta de la mitad de la participación en Spotify se reparte con los artistas («los artistas participarán en los ingresos») [11]. El dividendo a cuenta de 0,24 EUR (432 M), declarado el 30-jul y con fecha de pago el 27-oct-2026, es un pasivo a la fecha de corte: la acción ya cotiza sin él [2].</w:t>
      </w:r>
    </w:p>
    <w:p>
      <w:pPr>
        <w:pStyle w:val="Heading1"/>
      </w:pPr>
      <w:r>
        <w:t xml:space="preserve">12. Asignación de capital</w:t>
      </w:r>
    </w:p>
    <w:p>
      <w:pPr>
        <w:spacing w:after="100"/>
      </w:pPr>
      <w:r>
        <w:t xml:space="preserve">Dividendo de al menos el 50 % del beneficio ajustado, en dos pagos (0,24 EUR a cuenta y 0,28 EUR final por 2025: 0,52 EUR y 954 M) [1, 2]. En 2026 hizo sus primeras recompras: 500 M en mercado (26,7 M de acciones), 250 M a Pershing (14,16 M a 17,66 EUR) y 250 M más (16,55 M de acciones, cerrado el 7-sep), ≈ 999 M en total, financiadas con la venta de la mitad de su participación en Spotify [10, 12, 13]. Prioridades declaradas: inversión en catálogos y mercados de alto crecimiento, mantener la calificación crediticia y el dividendo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Downtown Music Holdings (distribución y servicios a independientes)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20-feb-2026: 288 M de ventas y 13 M de EBITDA ajustado en el 1S26 (margen del 4,5 %); diluye el margen del grupo 1,6 puntos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Excel Entertainment (India), minoritaria; A-Sketch (Japón); catálogo de Sezen Aksu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en catálogos de 345 M y en participadas de 198 M en 2025; demasiado pronto para medir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Participaciones en sociedades y catálogos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en participadas de 390 M y catálogos de 266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Catálogos (año de mayor compra)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relevantes conocidos (deterioro de intangibles de 3 M en 2025) [1, 5].</w:t>
            </w:r>
          </w:p>
        </w:tc>
      </w:tr>
    </w:tbl>
    <w:p>
      <w:pPr>
        <w:spacing w:after="160" w:before="0"/>
      </w:pPr>
    </w:p>
    <w:p>
      <w:pPr>
        <w:spacing w:after="100"/>
      </w:pPr>
      <w:r>
        <w:t xml:space="preserve">Como asignadora de capital, la dirección es buena en lo que hace siempre (catálogos y artistas, con ROIC del 21-32 %) y tardía en lo que pedían los accionistas: no recompró una sola acción hasta marzo de 2026, con la acción ya un 40 % por debajo de su máximo y bajo la presión de la oferta de Pershing [9, 12]. Tras rechazar 30,40 EUR, recompró a 17,66 EUR y a una media de ≈ 15 EUR, lo que a nuestro valor intrínseco crea valor. La compra de Downtown baja el margen y está por demostrar. El dividendo (953 M en 2025) más las recompras (≈ 1.000 M en 2026) superan el flujo libre: la diferencia sale de vender Spotify y de subir la deuda neta de 2.390 M a 4.131 M en seis meses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Lucian Grainge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Chairman &amp; CEO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el grupo desde 2011: compra de EMI (2012), salida a bolsa de 2021 y ventas de 4.500 M EUR (2011) a 12.507 M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 Ellis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director financiero de Verizon; anunció las recompras («dislocación en la valoración») y la nueva definición de flujo libre [2,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Boyd Muir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hasta 2025 y artífice del rediseño organizativo [4,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Nash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digital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 los acuerdos con plataformas («Streaming 2.0») y con las IA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Sherry Lansing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Antigua presidenta de Paramount Pictures; firmó el rechazo de la propuesta de Pershing [9].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del día del inversor 2024 hasta 2028: ventas +7 % anual, suscripciones +8-10 %, EBITDA ajustado &gt; 10 % [23]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+8,7 %, suscripciones +8,6 %, EBITDA ajustado +8,6 % a tipo constante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EE. UU. prevista (compromiso con Pershing)</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Aplazada en mar-2026 por la «dislocación» de la valoración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Mismos objetivos hasta 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sin Downtown: ventas +5,7 %, suscripciones +7,3 %, EBITDA ajustado +1,6 % a tipo constante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Grainge es el ejecutivo más reconocido del sector y su historial operativo es bueno: ventas casi triplicadas desde 2011 y margen ajustado del 20 % al 22,5 % [1, 5]. La credibilidad ante el mercado es menor: objetivos 2024-2028 que el 1S26 no cumple sin compras, salida a bolsa en EE. UU. prometida y aplazada, y una paga polémica (139 M EUR en 2023-2024 con un bonus en acciones de 92 M que Glass Lewis pidió rechazar) [1, 2, 25]. La sucesión de Grainge, que ronda los 66 años, no está anunciada: es un riesgo para un negocio de relaciones con artistas. El nuevo director financiero (Ellis) ha cambiado el discurso hacia el retorno al accionista [12].</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Sir Lucian Grainge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Chairman &amp;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Sherry Lansing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Mitchell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(vinculado a Tencent)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Nicole Avant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Margaret Frerejean-Taittinger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Mandy Ginsberg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Cathia Lawson-Hall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Eric Sprunk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(reelegido por la junta de 2026 para los ejercicios 2026 y 2027) [24]</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Bolloré (Bolloré SE y Compagnie de l’Odet)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39,90 % de los votos con el acuerdo de relación con Vivendi y Tencent</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(notificación AFM de may-2025, registro al 15-oct-2026)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Tencent (Tencent Mobility y Tencent Music Entertainment HK)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dentro del acuerdo de relación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Vivendi 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dentro del acuerdo de relación (controlada por el grupo Bolloré)</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Pershing Square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accionista significativo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Salió en jun-2026 (≈ 4,7 %): 14,16 M de acciones vendidas a UMG a 17,66 EUR y el resto en colocación [9, 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57,4 M de acciones compradas en 2026 por ≈ 999 M EUR, para el plan de acciones o amortizar [12,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del primer ejecutivo es el punto débil. En 2023 el informe de remuneración tuvo un 40 % de votos en contra; en 2024 Glass Lewis pidió rechazar una paga de 139 M EUR, con un bonus en acciones de 92 M (a cobrar en cinco años según beneficio y evolución de la acción) que compensaba la pérdida de valor de las acciones de Vivendi tras la escisión, y un salario rebajado un 51 % a 7,5 M [25]. El variable a largo plazo depende del beneficio y de la cotización. La junta de 2026 aprobó el informe de 2025 «por mayoría», sin porcentaje publicado en la nota [24]. No conocemos el detalle de 2025.</w:t>
      </w:r>
    </w:p>
    <w:p>
      <w:pPr>
        <w:pStyle w:val="Heading2"/>
      </w:pPr>
      <w:r>
        <w:t xml:space="preserve">Operaciones vinculadas, estructura de control y defensas</w:t>
      </w:r>
    </w:p>
    <w:p>
      <w:pPr>
        <w:spacing w:after="100"/>
      </w:pPr>
      <w:r>
        <w:t xml:space="preserve">El grupo Bolloré tiene el 18,51 % del capital y, con el acuerdo de relación con Vivendi y Tencent, controla el 39,90 % de los votos [34]: con dos tercios necesarios para una fusión, ese bloque decide cualquier oferta, como hizo con la de Pershing («el precio no está», dijo Cyrille Bolloré) [9]. Tencent tiene un consejero (James Mitchell). Una sola clase de acciones. Operaciones con accionistas significativos: la compra de 14,16 M de acciones a Pershing a 17,66 EUR y el propio proceso de su oferta [10]. Cyrille Bolloré dejó el consejo en jul-2025 [35]. El riesgo para el minoritario es que el bloque bloquee una prima y que su agenda (Vivendi, Bolloré) no coincida con la del resto.</w:t>
      </w:r>
    </w:p>
    <w:p>
      <w:pPr>
        <w:pStyle w:val="Heading2"/>
      </w:pPr>
      <w:r>
        <w:t xml:space="preserve">Señales de alerta</w:t>
      </w:r>
    </w:p>
    <w:p>
      <w:pPr>
        <w:pStyle w:val="ListParagraph"/>
        <w:numPr>
          <w:ilvl w:val="0"/>
          <w:numId w:val="2"/>
        </w:numPr>
        <w:spacing w:after="60"/>
      </w:pPr>
      <w:r>
        <w:t xml:space="preserve">Remuneración del primer ejecutivo con historial de rechazo (40 % en contra en 2023) [25].</w:t>
      </w:r>
    </w:p>
    <w:p>
      <w:pPr>
        <w:pStyle w:val="ListParagraph"/>
        <w:numPr>
          <w:ilvl w:val="0"/>
          <w:numId w:val="2"/>
        </w:numPr>
        <w:spacing w:after="60"/>
      </w:pPr>
      <w:r>
        <w:t xml:space="preserve">Bloque Bolloré-Vivendi-Tencent con el 39,90 % de los votos: decide las ofertas [34].</w:t>
      </w:r>
    </w:p>
    <w:p>
      <w:pPr>
        <w:pStyle w:val="ListParagraph"/>
        <w:numPr>
          <w:ilvl w:val="0"/>
          <w:numId w:val="2"/>
        </w:numPr>
        <w:spacing w:after="60"/>
      </w:pPr>
      <w:r>
        <w:t xml:space="preserve">Sucesión de Lucian Grainge sin anunciar.</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UMG no da guía anual. Sus objetivos a medio plazo, del día del inversor de septiembre de 2024, son hasta 2028: ventas +7 % anual, suscripciones +8-10 % y EBITDA ajustado por encima del 10 % anual, a tipo constante [23]. En 2025 se quedó cerca (ventas +8,7 %, suscripciones +8,6 %, EBITDA ajustado +8,6 %) [1]; en el 1S26, sin Downtown, ventas +5,7 %, suscripciones +7,3 % y EBITDA ajustado +1,6 % [2]. En la conferencia del 30-jul no reafirmó los objetivos en cifras [18]. Próxima referencia: resultados del 3T el 29-oct-2026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EBITDA ajustado, EBIT y DPA de MarketScreener (21 analistas) [8]; BPA ajustado de Yahoo (15 analistas) [7]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BPA ajustado de Yahoo (16 analistas) [7]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[8] (sin BPA ajustado de 2028)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 – 39,00</w:t>
            </w:r>
          </w:p>
        </w:tc>
      </w:tr>
    </w:tbl>
    <w:p>
      <w:pPr>
        <w:spacing w:after="160" w:before="0"/>
      </w:pPr>
    </w:p>
    <w:p>
      <w:pPr>
        <w:pStyle w:val="Heading2"/>
      </w:pPr>
      <w:r>
        <w:t xml:space="preserve">Revisiones de estimaciones</w:t>
      </w:r>
    </w:p>
    <w:p>
      <w:pPr>
        <w:spacing w:after="100"/>
      </w:pPr>
      <w:r>
        <w:t xml:space="preserve">Tras el 2T los analistas recortaron objetivos: Barclays de 25 a 22,50 EUR (neutral) y J.P. Morgan de 48,10 a 39 EUR (sobreponderar) [32]; ING mantiene comprar con 27,20 EUR y UBS neutral [16]. El objetivo medio queda en 21,49 EUR (21 analistas) [8]. El BPA ajustado de consenso para 2026 es de 1,00 EUR (15 analistas) y para 2027 de 1,09 (16) [7]; el EBITDA ajustado de 2026 (2.794 M) apenas crece sobre 2025 (2.810 M) por la divisa y Downtown [8]. No tenemos la serie de revisiones del BPA a 3 y 12 meses: solo una fuente gratuita con BPA ajustado.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perdido un 31,5 % en el año y un 35,5 % en doce meses, frente a +19,5 % y +19,0 % del AEX [6]. La caída tiene tres tramos: la desaceleración de las suscripciones y la renuncia a cotizar en EE. UU. (marzo), el rebote por la oferta de Pershing a 30,40 EUR (abril) que se deshizo al rechazarla y salir Pershing (junio, a 17,66 EUR), y el desplome del 25 % del 31-jul tras el 2T, el mayor de su historia [9, 15]. El mínimo de 52 semanas (13,92 EUR) es del 5-oct-2026. La volatilidad (43,2 %) es la de una acción que el mercado ha dejado de tratar como defensiva; la beta mensual de cinco años frente al AEX es de 0,98 y la semanal de dos años de 1,19 [6].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UMG cotiza a 12,0 veces el EBITDA de los últimos 12 meses, frente a una media de 21,3 veces al cierre de cada año desde 2021 y un mínimo de 17,0: un descuento del 44 % sobre su propia historia. El PER histórico del cuadro se calcula con el BPA publicado, deformado por Spotify; con el BPA ajustado, el PER adelantado al cierre de cada año fue de 31,0x (2021), 25,9x, 26,9x, 24,0x y 22,5x (2025), y hoy es de 13,7x. Lo estructural que ha cambiado: crecimiento de suscripciones del 7 % frente al 10-12 % de 2021-2023, tipos de interés más altos y el miedo a la IA. Por eso el selector trata a UMG como desrateada: la mediana de 25,9x no es el ancla para los próximos 12 meses.</w:t>
      </w:r>
    </w:p>
    <w:p>
      <w:pPr>
        <w:pStyle w:val="Heading1"/>
      </w:pPr>
      <w:r>
        <w:t xml:space="preserve">18. Comparables cotizados</w:t>
      </w:r>
    </w:p>
    <w:p>
      <w:pPr>
        <w:pStyle w:val="Confianza"/>
        <w:spacing w:after="100"/>
      </w:pPr>
      <w:r>
        <w:t xml:space="preserve">Confianza: Media</w:t>
      </w:r>
    </w:p>
    <w:p>
      <w:pPr>
        <w:spacing w:after="100"/>
      </w:pPr>
      <w:r>
        <w:t xml:space="preserve">Cotizadas que viven de derechos musicales o los distribuyen: Warner Music (el comparable puro), Reservoir (edición y catálogos), Sony Group (la música es una parte del conglomerado), las agencias coreanas HYBE y JYP (sellos de K-pop) y las plataformas Spotify y Tencent Music (clientes, con otra economía). No hay otro comparable puro cotizado: Believe salió de bolsa y Sony Music no cotiza aparte. Cifras de Yahoo a 14-oct-2026 [33]; el EBITDA de los próximos 12 meses no está en la misma base, así que el múltiplo de referencia es el 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UMG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Warner Music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Reservoir Media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Tencent Music Entertainment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HYBE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JYP Entertainment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Spotify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 / 11,4x / 14,7x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14,7x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 / 2,3x / 4,1x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UMG cotiza a 14,2 veces el BPA de los próximos 12 meses, por debajo de la mediana de los comparables (14,7x) y casi igual que Warner (14,7x), pese a crecer algo más (8 % frente al 6,1 %), tener menos deuda (1,9x frente a 2,6x) y más escala. Spotify (34,2x) y HYBE (18,0x) suben la media; TME (8,6x) y JYP (9,9x) la bajan por el riesgo de China y Corea. El valor implícito por PER va de 12,10 a 18,58 EUR, con 15,74 en el centro. Que UMG cotice como Warner, cuando históricamente cotizaba con prima por calidad y crecimiento, es la medida del desrateo: el mercado ya no paga por el foso.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780"/>
        <w:gridCol w:w="1676"/>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Downtown Music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Music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y servicios a artistas independientes; consolidada desde el 20-feb-2026 con margen EBITDA ajustado del 4,5 %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Music Group (propuesta, rechazada)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Pershing Square SPARC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no vinculante de 30,40 EUR por acción (5,05 en efectivo + 0,77 acciones nuevas), 78 % sobre el cierre del 2-abr; el «ev» es el valor del capital ofrecido. Rechazada el 29-may; pagaba en acciones de la propia sociedad fusionada [9, 11].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14,16 M de acciones de UMG (bloque de Pershing)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(recompra)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a 17,66 EUR por acción en la salida de Pershing [10].</w:t>
            </w:r>
          </w:p>
        </w:tc>
      </w:tr>
    </w:tbl>
    <w:p>
      <w:pPr>
        <w:spacing w:after="160" w:before="0"/>
      </w:pPr>
    </w:p>
    <w:p>
      <w:pPr>
        <w:spacing w:after="160" w:before="0"/>
      </w:pPr>
    </w:p>
    <w:p>
      <w:pPr>
        <w:spacing w:after="100"/>
      </w:pPr>
      <w:r>
        <w:t xml:space="preserve">No hay transacciones con múltiplo publicado en EBITDA: las compras de catálogos se pagan en múltiplos de regalías netas y las de Downtown o de participaciones en India y Japón no publicaron EBITDA. La referencia más relevante es la propuesta de Pershing: 30,40 EUR por acción (5,05 en efectivo y 0,77 acciones de la sociedad fusionada), un 78 % sobre el precio del 2-abr y el doble del precio de hoy, aunque pagada sobre todo en acciones de una sociedad nueva [11]. El bloque Bolloré-Vivendi-Tencent (39,90 % de los votos) hace improbable una compra hostil [34]. Peso 0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+7,0 % en 2026 (fijo: el 1S26 creció un 5,3 % en euros con Downtown desde febrero y la divisa en contra; el consenso espera 13.416 M, +7,3 %) [2, 8]. Después, 6,5 % en 2027-2028, 6,0 % en 2029, 5,5 % en 2030 y bajada hasta el 3,5 % en 2032: por debajo del 8,7 % de 2025 a tipo constante, del objetivo de la empresa (7 % hasta 2028) y del 11 % anual de 2020-2025 [1, 23]. El crecimiento sale de usuarios (3-3,5 puntos) y precio (3 puntos), en línea con la IFPI (suscripciones +8,8 % en 2025) [20]. El consenso espera 14.371 M en 2027 (+7,1 %); nosotros 14.253 M.</w:t>
      </w:r>
    </w:p>
    <w:p>
      <w:pPr>
        <w:keepNext/>
        <w:spacing w:after="100"/>
      </w:pPr>
      <w:r>
        <w:rPr>
          <w:b/>
          <w:bCs/>
        </w:rPr>
        <w:t xml:space="preserve">Márgenes.</w:t>
      </w:r>
    </w:p>
    <w:p>
      <w:pPr>
        <w:spacing w:after="100"/>
      </w:pPr>
      <w:r>
        <w:t xml:space="preserve">Margen EBITDA del informe (con pagos en acciones, sin reestructuración) del 19,6 % en 2026 (el 1S26 dio un 21,1 % ajustado sin pagos en acciones, −1,6 puntos, por Downtown) [2], subiendo al 20,6 % en 2027, 21,3 % en 2028 y 22,0 % desde 2031: equivale a volver al 22,5-23,3 % ajustado, el nivel de 2024-2025 más una parte del ahorro de 250 M [1, 18]. El consenso de EBITDA ajustado supone 20,8 % en 2026, 21,2 % en 2027 y 21,6 % en 2028 [8]: vamos medio punto por encima en 2028 por el ahorro.</w:t>
      </w:r>
    </w:p>
    <w:p>
      <w:pPr>
        <w:keepNext/>
        <w:spacing w:after="100"/>
      </w:pPr>
      <w:r>
        <w:rPr>
          <w:b/>
          <w:bCs/>
        </w:rPr>
        <w:t xml:space="preserve">Inversión y circulante.</w:t>
      </w:r>
    </w:p>
    <w:p>
      <w:pPr>
        <w:spacing w:after="100"/>
      </w:pPr>
      <w:r>
        <w:t xml:space="preserve">Amortización del 3,7-4,0 % de las ventas (3,6 % en 2025, con catálogos y derechos de uso) [1]. Capex del 4,9 % en 2026 bajando al 4,3 %: inmovilizado y software (≈ 1,5 %), catálogos (≈ 2,8 %, 345 M en 2025) y altas de derechos de uso (≈ 0,6 %) [1, 3]. Circulante del −1,8 % de las ventas: existencias y clientes más anticipos de regalías menos regalías y cuentas a pagar, como en 2025 [3]. Las compras de empresas no se proyectan.</w:t>
      </w:r>
    </w:p>
    <w:p>
      <w:pPr>
        <w:keepNext/>
        <w:spacing w:after="100"/>
      </w:pPr>
      <w:r>
        <w:rPr>
          <w:b/>
          <w:bCs/>
        </w:rPr>
        <w:t xml:space="preserve">Coste del capital.</w:t>
      </w:r>
    </w:p>
    <w:p>
      <w:pPr>
        <w:spacing w:after="100"/>
      </w:pPr>
      <w:r>
        <w:t xml:space="preserve">Tasa libre: Bund a 10 años, 3,51 % el 14-oct-2026 [26]. Beta de 1,0: la mensual de cinco años frente al AEX es 0,98 y la semanal de dos años 1,19 [6]; la elevamos sobre la histórica porque el mercado ya no trata a UMG como defensiva. Prima de mercado del 5,5 % y sin prima adicional (ventas en mercados desarrollados en su mayoría). Coste de la deuda antes de impuestos del 3,6 % (bonos en euros con grado de inversión) y peso de la deuda del 15 % a valor de mercado. WACC: 8,06 %.</w:t>
      </w:r>
    </w:p>
    <w:p>
      <w:pPr>
        <w:keepNext/>
        <w:spacing w:after="100"/>
      </w:pPr>
      <w:r>
        <w:rPr>
          <w:b/>
          <w:bCs/>
        </w:rPr>
        <w:t xml:space="preserve">Valor terminal.</w:t>
      </w:r>
    </w:p>
    <w:p>
      <w:pPr>
        <w:spacing w:after="100"/>
      </w:pPr>
      <w:r>
        <w:t xml:space="preserve">Gordon con crecimiento del 2,5 %, por debajo de la tasa libre menos medio punto (3,01 %) y coherente con un 1-1,5 % real más la inflación de euro y dólar. El valor terminal es el 73 % del total y equivale a 11,0 veces el EBITDA de 2032, por debajo del EV/EBITDA medio de UMG desde 2021 (21,3x) y en línea con Warner hoy (11,8x) [33]. Con un múltiplo de salida de 12x el valor terminal sería un 9 % mayor.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(reinvierte el 35 %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 (histórico: 18,5 %)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 frente al 5,6 %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720 M, el 5 % del NOPAT, con un capex bruto medio del 4,6 % de las ventas). En un negocio de activos ligeros, el crecimiento medio del 5,6 %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puntos (usuarios de pago y físico) [2]; precio 3 puntos («Streaming 2.0»: 3,5 puntos en suscripciones en el 2T26) [2]; otros +1 punto: Downtown (≈ +4,5) menos divisa (≈ −3,5)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puntos (mercados emergentes y físico); precio 3 puntos (subidas mayoristas y niveles para superfans) [20,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el objetivo de la empresa es un 7 % anual hasta 2028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puntos y precio 3 puntos: madurez de la suscripción en mercados desarrollados.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puntos y precio 3 puntos.</w:t>
            </w:r>
          </w:p>
        </w:tc>
      </w:tr>
    </w:tbl>
    <w:p>
      <w:pPr>
        <w:spacing w:after="160" w:before="0"/>
      </w:pPr>
    </w:p>
    <w:p>
      <w:pPr>
        <w:spacing w:after="100"/>
      </w:pPr>
      <w:r>
        <w:t xml:space="preserve">La calidad sostiene el crecimiento proyectado. (1) El crecimiento medio proyectado (5,4 %) está por debajo del que financia la reinversión bruta al ROIC actual (7,4 %, reinvirtiendo el 35 % del NOPAT) y muy por debajo del histórico (11 % anual en 2020-2025); el motor coincide en «Sí». (2) La proyección supone un rendimiento del 17,3 % para la reinversión, por debajo del ROIC incremental histórico (18,5 %). (3) La cuota se prueba a mano: la música grabada de UMG crecería al 6-6,5 % frente a un mercado que creció un 6,4 % en 2025, así que la cuota (≈ 31 %) no sube [20]. El poder de precios está demostrado (3,5 puntos de precio en las suscripciones del 2T26) [2]. El riesgo para el veredicto es la IA, que recogemos en el bajista; no rebajamos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 (base: 22,0 %)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 (WACC: 8,1 %)</w:t>
            </w:r>
          </w:p>
        </w:tc>
      </w:tr>
    </w:tbl>
    <w:p>
      <w:pPr>
        <w:spacing w:after="160" w:before="0"/>
      </w:pPr>
    </w:p>
    <w:p>
      <w:pPr>
        <w:spacing w:after="100"/>
      </w:pPr>
      <w:r>
        <w:t xml:space="preserve">El DCF da 19,24 EUR por acción, un 26,3 % sobre el precio de 15,23, con el valor terminal en el 73 %. El DCF inverso es la clave: a este precio el mercado descuenta un crecimiento del 1,3 % anual en 2027-2032 (nuestro base: 5,4 %) o un margen EBITDA del 18,6 % (nuestro base: 22,0 %), con una rentabilidad implícita del 9,4 % frente a un WACC del 8,06 %. Es un precio que supone que la música grabada deja de crecer por encima de la inflación, algo que no ha pasado en once años según la IFPI y que exigiría que la IA o la saturación frenen el mercado en seco [20]. Con la prima de riesgo que hoy pide el mercado (4,2 %), el valor sería de 24,45 EUR. Incluso el escenario bajista (15,16 EUR, crecimiento medio del 2,9 % y margen final del 20,5 %) queda casi en el precio. La conclusión: el precio descuenta un escenario peor que nuestro bajista.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suscripciones se quedan en el 4-5 % porque los mercados maduros se saturan y la IA ocupa la escucha de fondo; el margen se queda 1,5 puntos por debajo del base por la mezcla y los costes legales. Ya le pasó al streaming con anuncios de UMG (+1,7 % en el 2T26) [2].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6-6,5 % anual hasta 2029 (usuarios y precio), margen ajustado de vuelta al 22,5 % en 2028 con el ahorro y Downtown integrada, y la IA contenida por licencias y pleitos.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niveles para superfans y las licencias de IA suben el crecimiento al 8 % (el objetivo de suscripciones de la empresa) y el margen supera en 0,7 puntos al base.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EUR) · precio actual 15,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18,86 EUR (+23,8 %).</w:t>
      </w:r>
    </w:p>
    <w:p>
      <w:pPr>
        <w:spacing w:after="100"/>
      </w:pPr>
      <w:r>
        <w:t xml:space="preserve">La asimetría del valor intrínseco es muy favorable: el alcista vale 21,79 EUR (+43,1 %) y el bajista 15,16 (−0,5 %), porque el precio ya descuenta menos que nuestro bajista. A 12 meses el reparto es menos generoso: con la regla de múltiplos el bajista da 12,52 EUR (−14,4 %; PER de 11,7x × BPA de 1,07) y el alcista 23,32 (+56,5 %), asimetría de 2,99. El bajista a 12 meses es verosímil: UMG ya cotizó a 13,92 EUR el 5-oct-2026 [6]. Compensa: se arriesga un 14 % para ganar entre un 14 % (base) y un 56 % (alcista).</w:t>
      </w:r>
    </w:p>
    <w:p>
      <w:pPr>
        <w:pStyle w:val="Heading1"/>
      </w:pPr>
      <w:r>
        <w:t xml:space="preserve">22. Suma de partes</w:t>
      </w:r>
    </w:p>
    <w:p>
      <w:pPr>
        <w:pStyle w:val="Confianza"/>
        <w:spacing w:after="100"/>
      </w:pPr>
      <w:r>
        <w:t xml:space="preserve">Confianza: Media</w:t>
      </w:r>
    </w:p>
    <w:p>
      <w:pPr>
        <w:spacing w:after="100"/>
      </w:pPr>
      <w:r>
        <w:t xml:space="preserve">No la usamos: la música grabada y la edición comparten artistas, catálogos y clientes, y no hay comparables puros cotizados de edición con liquidez (Reservoir es muy pequeña). El merchandising pesa un 6 % de las ventas y casi nada del EBITDA.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EUR) · precio actual 15,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18,43 EUR (+21,0 % sobre 15,23).</w:t>
      </w:r>
    </w:p>
    <w:p>
      <w:pPr>
        <w:spacing w:after="100"/>
      </w:pPr>
      <w:r>
        <w:t xml:space="preserve">Pesos: DCF 50 %, comparables 20 % y escenarios 30 %; transacciones 0 % porque no hay múltiplos publicados y el bloque de control hace improbable una compra. El DCF es el método más fiable para un negocio de ingresos recurrentes y poca inversión; los comparables (PER de 14,7x de mediana) recogen un sector desrateado entero y por eso pesan poco. La dispersión es moderada: de 15,16 (escenario bajista) a 21,79 (alcista), con el DCF en 19,24 y los comparables por PER en 15,74. El puente suma 2.790 M por participadas (Spotify neta de reparto con artistas e impuestos, otras cotizadas y asociadas a valor contable) y resta 696 M por el dividendo a cuenta ya descontado en el precio y las recompras posteriores al 30-jun.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r>
    </w:tbl>
    <w:p>
      <w:pPr>
        <w:spacing w:after="160" w:before="0"/>
      </w:pPr>
    </w:p>
    <w:p>
      <w:pPr>
        <w:spacing w:after="100"/>
      </w:pPr>
      <w:r>
        <w:rPr>
          <w:b/>
          <w:bCs/>
        </w:rPr>
        <w:t xml:space="preserve">Objetivo a 12 meses (ponderado):</w:t>
      </w:r>
      <w:r>
        <w:t xml:space="preserve"> 17,39 EUR · rentabilidad +17,6 % (base +14,1 %) · señal Comprar.</w:t>
      </w:r>
    </w:p>
    <w:p>
      <w:pPr>
        <w:spacing w:after="100"/>
      </w:pPr>
      <w:r>
        <w:t xml:space="preserve">Para comparar, con la regla v2 (historia al cierre, mismo precio): 11,7x / 13,7x / 17,8x, 17,6 % Comprar; con el tope anterior del base (×1,3, 14-oct mediodía): 52,2 % Comprar; con la v3 sin el selector (tope ×1,1): 29,5 % Comprar. Decide la v2, elegida por el selector de método (desrateada: la mediana adelantada (25,9x) es 1,9 veces el PER de hoy (13,7x); la historia es de otro régimen y decide la v2; METODO-VIGENTE.md).</w:t>
      </w:r>
    </w:p>
    <w:p>
      <w:pPr>
        <w:keepNext/>
        <w:spacing w:after="100"/>
      </w:pPr>
      <w:r>
        <w:rPr>
          <w:b/>
          <w:bCs/>
        </w:rPr>
        <w:t xml:space="preserve">Frente al consenso (solo contraste).</w:t>
      </w:r>
    </w:p>
    <w:p>
      <w:pPr>
        <w:spacing w:after="100"/>
      </w:pPr>
      <w:r>
        <w:t xml:space="preserve">Nuestro BPA ajustado de 2027 (1,11 EUR) está un 1,8 % por encima del consenso (1,09) [7], y el de 2028 (1,23) supone un crecimiento del 11 % sobre 2027, parecido al que el consenso de EBITDA ajustado implica (+8,6 %) más el efecto de las recompras [8]. La diferencia está en el múltiplo: nuestro base (16,85 EUR) aplica 13,7 veces, el PER de hoy, y queda un 21,6 % por debajo del objetivo medio de los analistas (21,49 EUR), que equivale a unas 17,5 veces el BPA de 2028 descontado. Los analistas suponen que UMG recupera parte de su prima; la regla, con el selector, no lo supone.</w:t>
      </w:r>
    </w:p>
    <w:p>
      <w:pPr>
        <w:keepNext/>
        <w:spacing w:after="100"/>
      </w:pPr>
      <w:r>
        <w:rPr>
          <w:b/>
          <w:bCs/>
        </w:rPr>
        <w:t xml:space="preserve">Del valor intrínseco al objetivo a 12 meses.</w:t>
      </w:r>
    </w:p>
    <w:p>
      <w:pPr>
        <w:spacing w:after="100"/>
      </w:pPr>
      <w:r>
        <w:t xml:space="preserve">El valor intrínseco (síntesis ponderada) supera al objetivo a 12 meses (17,39 EUR) porque el DCF descuenta una recuperación del crecimiento que la regla de múltiplos no da por hecha: el base a 12 meses mantiene el PER de hoy (13,7x) y solo suma el crecimiento del BPA y el dividendo. Para cerrar la distancia haría falta que el mercado vuelva a pagar 17-18 veces, como a Warner antes de 2026, lo que pide dos trimestres de suscripciones al 8 % (3T el 29-oct-2026 y 4T en marzo de 2027) [14]. La tesis completa es a dos o tres años; la de 12 meses se apoya en el crecimiento del beneficio, el dividendo del 3,4 % y las recompras.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las suscripciones sin compras vuelven al 8 % y el margen sin Downtown se estabiliza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venta de la mitad de Spotify y posible nuevo programa de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de hasta un 3-4 % del capital a precios bajos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posible actualización de objetivos a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recorte de objetivos confirmaría el desrateo; una reafirmación con cifras lo revertiría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acuerdos «Streaming 2.0» y niveles para superfans (Spotify, Amazon, Apple)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precio mayorista por usuario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o acuerdo en el pleito contra Suno; lanzamiento de la plataforma con Udio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si la IA paga licencias por entrenar con música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de Lucian Grainge o renovación de su contrato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Continuidad o incertidumbre en la relación con artistas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estructural de las suscripciones (saturación en mercados maduros y pérdida de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(escenario bajista: 15,16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de «Streaming 2.0», mercados emergentes, superfans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sin compras por debajo del 6 % en el 3T y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música sintética que ocupa escucha y diluye las regalías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Pleitos y licencias (Udio, Stability AI), cláusulas «artist-centric» con las plataformas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canciones de IA en las listas de las plataformas y streaming con anuncios estancado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Mezcla y costes: más físico, servicios a artistas y Downtown con poco margen; costes legales al alza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punto de margen EBITDA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ahorro de ≈ 250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sin Downtown por debajo del 21 %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 (ventas en USD, cuentas en EUR)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con un dólar un 10 % más débil (estimación)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también en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bloque Bolloré-Vivendi-Tencent con el 39,90 % de los votos y remuneración polémica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control persistente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mayoría independiente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por debajo del 70 % o rechazo de otra oferta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Spotify y YouTube en la negociación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baja el precio mayorista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Catálogo imprescindible; acuerdos plurianuales firmados en 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Renegociaciones sin subida o con cláusulas de IA desfavorables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 Grainge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con Ellis, Muir y Nash</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grandes artistas o de presidentes de sellos</w:t>
            </w:r>
          </w:p>
        </w:tc>
      </w:tr>
    </w:tbl>
    <w:p>
      <w:pPr>
        <w:spacing w:after="160" w:before="0"/>
      </w:pPr>
    </w:p>
    <w:p>
      <w:pPr>
        <w:pStyle w:val="Heading2"/>
      </w:pPr>
      <w:r>
        <w:t xml:space="preserve">Pre-mortem</w:t>
      </w:r>
    </w:p>
    <w:p>
      <w:pPr>
        <w:spacing w:after="100"/>
      </w:pPr>
      <w:r>
        <w:t xml:space="preserve">Octubre de 2029: la acción vale 9 EUR, un 40 % menos. Lo que pasó: el 6,7 % de suscripciones del 2T26 no era un bache. Spotify y las demás llegaron a la saturación en EE. UU. y Europa, y las subidas de precio se compensaron con bajas de usuarios y con niveles baratos con anuncios. Al mismo tiempo, las plataformas llenaron las listas de ambiente, estudio y relajación con música generada por IA, propia o de terceros con licencia barata, y el porcentaje de escuchas del catálogo de las grandes bajó cinco puntos; las cláusulas «artist-centric» frenaron el relleno, pero no la competencia por el tiempo. El pleito contra Suno acabó en un acuerdo de licencia barato que fijó el precio para todos. UMG respondió con más anticipos a artistas para defender cuota y el margen cayó al 19 %. El BPA ajustado de 2028 quedó en 1,00 EUR y el mercado pagó 9-10 veces, como a Tencent Music. Los indicadores que lo anticipaban: suscripciones sin compras por debajo del 6 % dos trimestres seguidos, streaming con anuncios plano y anticipos de regalías creciendo más que las ventas.</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−10 % a 3-5 años en el caso central de riesgo; +5 % si las licencias de IA se generalizan</w:t>
      </w:r>
    </w:p>
    <w:p>
      <w:pPr>
        <w:spacing w:after="100"/>
      </w:pPr>
      <w:r>
        <w:t xml:space="preserve">La IA toca el núcleo del negocio: el producto (canciones) se puede sintetizar y las plataformas reparten por reproducciones, así que cada escucha de música sintética es ingreso que no llega a UMG. Afecta más al streaming de fondo (ambiente, estudio, listas sin artista) y a la sincronización y la música de librería, y menos a las estrellas y al catálogo icónico, que son el 80 % del valor. Como oportunidad: licencias de entrenamiento y de creación para fans (Udio, Stability AI, Klay) y un pago compensatorio de una plataforma de IA ya contabilizado en el 4T25 [1, 22]. UMG y Sony litigan contra Suno con 61.000 obras más tras probar que entrenó con millones de sus grabaciones [21]. Señales: cuota de escucha de música de IA, resultado del pleito contra Suno, cláusulas de IA en los acuerdos con plataformas e ingresos por licencias de IA.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ESG que mueven las cifras son sociales y de gobierno: (1) el trato a artistas y autores (porcentajes, anticipos, propiedad de los masters), que determina la capacidad de fichar y retener talento; (2) la defensa de los derechos de autor frente a la IA, que UMG ha convertido en estrategia (pleitos contra Suno, acuerdos con Udio y Stability AI) [21, 22]; (3) la remuneración de la dirección, con historial de rechazo [25]. El impacto ambiental es pequeño: oficinas y fabricación de vinilos.</w:t>
      </w:r>
    </w:p>
    <w:p>
      <w:pPr>
        <w:pStyle w:val="Heading2"/>
      </w:pPr>
      <w:r>
        <w:t xml:space="preserve">Controversias</w:t>
      </w:r>
    </w:p>
    <w:p>
      <w:pPr>
        <w:spacing w:after="100"/>
      </w:pPr>
      <w:r>
        <w:t xml:space="preserve">Polémica por la remuneración de Grainge (2023-2024) [25]; demanda contra Suno por uso de grabaciones para entrenar IA (en curso) [21]; recortes de plantilla de 2025-2026 dentro del programa de ahorro [31]. No conocemos sanciones relevantes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paso del 7,9 % al 6,7 % es calendario de lanzamientos y qué parte es saturación de usuarios en EE. UU. y Europa?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del 6,5 % de nuestro base es alcanzable.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las escuchas en las plataformas es ya música generada por IA y cuánto ingresa UMG por licencias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de mayor efecto sobre el valor a 3-5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objetivo de Downtown y cuánto del ahorro de 250 M llega al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volver al 22,5 % ajustado en 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Spotify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acciones de Spotify quedan, a qué precio se vendieron en el 3T y qué parte va a los artistas?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participación vale ≈ 1.650 M netos en el puente (≈ 0,9 EUR por acción) y es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un nuevo programa de recompras con el resto de Spotify y con qué tope de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estos precios, cada 1.000 M recompran ≈ 3,6 % del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 Lucian Grainge y qué votos tuvo la remuneración en las juntas de 2024-2026?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dirección y de alineación con 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Bolloré</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condiciones pondría el bloque Bolloré-Vivendi-Tencent a una oferta, y contempla vender?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39,90 % de los votos decide cualquier prima de control.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($UMGNF y $UNVGY)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y casi todo alcista: celebran el rechazo a Pershing («bien que dijeran que no»), comentan las recompras semanales como apoyo al precio y alguno compra para largo plazo; casi ningún mensaje tras la caída del 31-jul [28,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marzo y julio se alternan tesis alcistas («la tesis alcista es más fuerte que hace dos años», «economía de derechos sólida») con bajistas («escalera a ninguna parte») y una rebaja tras la oferta de Ackman; tras el 2T el debate se centra en la transcripción de la conferencia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económica con comentarios (Reuters, Il Sole 24 Ore, InterSpace)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del 25 % se lee como pérdida de confianza en el crecimiento de suscripciones; críticas de un antiguo directivo a la gestión de Grainge; los brókers (JPMorgan, UBS, ING) defienden que el 2T fue temporal [15, 16,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sectorial europea (Electronlibre)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Atribuye la caída a 15 EUR a la desaceleración del streaming, a los temores por la IA y al aplazamiento de la cotización en EE. UU.; habla de «inversores especulativos» y de recortes de plantilla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las suscripciones (6,7 % en el 2T sin Downtown)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dan la razón en el trimestre (6,7 % frente al 9,4 % esperado) [2, 16], pero en 2025 crecieron un 8,6 % y las subidas de precio siguen aportando 3,5 puntos; nuestro base ya supone un 6,5 % para el grupo.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Rechazo de la oferta de Ackman a 30,40 EUR y peso de Bolloré</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oferta era el doble del precio de hoy, pero pagada sobre todo en acciones de la sociedad fusionada [11]; el bloque con el 39,90 % de los votos decide [34].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venta de la mitad de Spotify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 1.000 M recomprados en 2026 a ≈ 15-18 EUR, por debajo de nuestro valor intrínseco [12].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generativa: avalancha de canciones sintéticas frente a nuevas licencias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informe lo trata como riesgo principal (exposición Alta, efecto −10 %) y como oportunidad de licencias [21, 22].</w:t>
            </w:r>
          </w:p>
        </w:tc>
      </w:tr>
    </w:tbl>
    <w:p>
      <w:pPr>
        <w:spacing w:after="160" w:before="0"/>
      </w:pPr>
    </w:p>
    <w:p>
      <w:pPr>
        <w:spacing w:after="100"/>
      </w:pPr>
      <w:r>
        <w:t xml:space="preserve">El sentimiento de los particulares es poco intenso: en Stocktwits casi no hay debate desde la caída del 31-jul y los mensajes son alcistas por las recompras [28, 29]; en Seeking Alpha conviven tesis alcistas y bajistas [30]; la prensa europea habla de pérdida de confianza en el streaming y de miedo a la IA [31]. No hay euforia ni capitulación ruidosa: hay desinterés, que es lo habitual cuando una acción de calidad se desratea. No contradice a los analistas (objetivo medio de 21,49 EUR, mayoría de comprar), pero sí señala el riesgo que más pesa en el precio: que la desaceleración sea estructural. No aporta un riesgo que el informe no tuviera.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38 (10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-1,8 % frente a -1,8 % real: genera una variación de circulante de -18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19,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 2021 [5]: las tablas de segmentos no se extraen del HTML; 2) XBRL ESEF 2021 sin desglose de segmentos etiquetado; 3) informe anual 2021 en PDF no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2025 y 1S26 (no publican ventas por región); 2) XBRL ESEF 2025 (sin desglose etiquetado accesible); 3) informe anual 2025 en PDF no descargado (la web de inversores carga con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2025 (solo deuda neta por instrumentos); 2) XBRL ESEF 2025 (sin calendario etiquetado); 3) informe semestral 1S26 no accesible (web con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2020-2023 y segunda fuente independiente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Resumen del Global Music Report 2026 de la IFPI (solo 2025 y el crecimiento de 2024) [20]; 2) informes anuales de la IFPI de años anteriores no abiertos; 3) MIDiA y Goldman Sachs «Music in the Air» no accesibles gratis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ESG (requiere JavaScript); 2) Sustainalytics (página de calificación con antibot); 3) informe anual 2025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de las tres últimas juntas y remuneración del primer ejecutivo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de la junta de 2026 (solo «aprobadas por mayoría», el detalle se publica en la web) [24]; 2) web de inversores (carga con JavaScript); 3) prensa: solo la revuelta de 2023 (40 % en contra) y la paga de 2023-2024 [25]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operaciones de directivos de la AFM (formulario con JavaScript); 2) Stocktwits y prensa (solo recompras de la empresa); 3) informe semestral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operaciones del sector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compra de Downtown (precio de 775 M USD citado en prensa, sin EBITDA); 2) prensa de compras de catálogos (Queen, Hipgnosis/Blackstone) sin EBITDA publicado; 3) informes de MBW y Billboard sobre múltiplos de catálogos (en múltiplo de regalías netas, no de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AFM (formulario con JavaScript); 2) Yahoo (sin dato de Euronext);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foros neerlandeses (IEX, Beursduivel)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(403 en este entorno); 2) búsqueda de hilos neerlandeses de septiembre (solo noticias y recomendaciones de Trivano) [32]; 3) foros de Stocktwits y Seeking Alpha leídos en su lugar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razonable de la participación en Spotify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1S26 (web de inversores con JavaScript); 2) nota de resultados del 1S26 (solo la venta por 379-403 M) [2, 12]; 3) cálculo propio: 6,49 M de acciones a cierre de 2025 menos ≈ 1,05 M vendidas en el 1S26, a 523,96 USD [36] y con descuento del 35 % por reparto con artistas e impuestos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UMG reports financial results for the fourth quarter and full year ended December 31, 2025 (cuenta, flujos, conciliaciones de EBITDA ajustado y beneficio neto ajustado,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Music Group N.V.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https://www.bolsamania.com/nota-de-prensa/mercados/universal-music-group-nv-reports-financial-results-for-the-fourth-quarter-and-full-year-ended-december-31-2025--21946174.html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UMG reports financial results for the second quarter and half year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Universal Music Group N.V. (PR Newswire /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https://digital-release.wowktv.com/business/press-releases/cision/20260730LA16008/universal-music-group-n-v-reports-financial-results-for-the-second-quarter-and-half-year-ended-june-30-2026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2021-2025 de Universal Music Group N.V. en formato ESEF (XBRL):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N.V. / AFM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https://filings.xbrl.org/724500GJBUL3D9TW9Y18/2025-12-31/ESEF/NL/0/724500GJBUL3D9TW9Y18-2025-12-31-1-en/reports/724500GJBUL3D9TW9Y18-2025-12-31-1-en.xhtml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reports financial results for the fourth quarter and full year ended December 31, 2023 (BPA ajustado 2023 y 2022, segmentos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N.V. (Stock Titan)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https://www.stocktitan.net/news/UNVGY/universal-music-group-n-v-reports-financial-results-for-the-fourth-s6tilkqm5vdv.html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reports financial results for the fourth quarter and full year ended December 31, 2021 (BPA ajustado 2021 y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N.V. (Stock Titan)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https://www.stocktitan.net/news/UNVGY/universal-music-group-n-v-reports-financial-results-for-the-fourth-8a82dwlgnhqc.html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(UMG.AS, ^AEX, EXV1.DE)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https://finance.yahoo.com/quote/UMG.AS/history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estimaciones de consenso de UMG.AS (BPA ajustado 2026e 0,997 con 15 analistas y 2027e 1,090 con 16; ventas; objetivo medio 21,49 EUR, mínimo 12, máximo 39, 20 opiniones; 1.798,2 M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https://finance.yahoo.com/quote/UMG.AS/analysis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Universal Music Group N.V., finanzas y consenso (ventas, EBITDA ajustado, BPA NIIF, DPA y deuda neta 2023-2028; 21 analistas; objetivo medio 21,49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https://www.marketscreener.com/quote/stock/UNIVERSAL-MUSIC-GROUP-N-V-127080831/finances/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Bill Ackman's Pershing Square is selling its remaining Universal Music Group stake, days after UMG rejected its $64B takeover bid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Business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https://www.musicbusinessworldwide.com/bill-ackmans-pershing-square-is-selling-its-remaining-universal-music-group-shares-days-after-umg-rejected-its-64bn-takeover-bid/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spends $290m buying back stock from Bill Ackman's Pershing Square, amid fund's exit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Business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https://www.musicbusinessworldwide.com/umg-spends-290m-buying-back-stock-from-bill-ackmans-pershing-square-amid-funds-exit-from-music-company/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to sell half of its Spotify stake, increase share buybacks (propuesta de Pershing: 5,05 EUR en efectivo + 0,77 acciones = 30,40 EUR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TheWrap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https://www.thewrap.com/industry-news/business/universal-music-group-spotify-stake-share-buybacks/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has now bought back nearly €1 billion of its shares this year (programas de 500 y 250 M, compra a Pershing; venta de Spotify en curso)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Business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https://www.musicbusinessworldwide.com/umg-has-now-bought-back-e1-billion-of-its-shares-this-year/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reports weekly transactions under and completion of its €250 million share buyback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N.V.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https://www.placera.se/pressmeddelanden/universal-music-group-universal-music-group-n-v-reports-weekly-transactions-under-and-completion-of-its-250-million-share-buyback-program-20260907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to announce financial results for the third quarter ended September 30, 2026 (29-oct-2026, tras el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N.V.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https://www.trivano.com/persbericht/universal-music-group-nv-to-announce-financial-results-for-the-third-quarter-ended-september-30-2026-764625.html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shares shed quarter of value on streaming concerns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WSAU)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https://wsau.com/2026/07/31/universal-music-shares-sink-23-as-subscription-growth-slows/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slumps in Amsterdam; second quarter disappoints on margins and subscriptions (Radiocor: previsiones de los analistas, UBS, 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https://en.ilsole24ore.com/art/umg-slumps-in-amsterdam-second-quarter-results-disappoint-on-margins-and-subscriptions-AJCCARb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Q2 revenue up 13% but stock falls 25% on subscription slowdown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InterSpace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https://interspacemusic.com/blog/umg-q2-revenue-up-13-but-stock-falls-25-on-subscription-slowdown/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(UMG) Q2 2026 earnings summary (conferencia del 30-jul-2026)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https://quartr.com/events/universal-music-group-n-v-umg-q2-2026_ojaumZPz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generated $3.83B in Q2, up 13.3% YoY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Business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https://www.musicbusinessworldwide.com/universal-music-group-generated-3-83bn-in-q2-up-13-3-yoy-driven-by-noah-kahan-bts-olivia-rodrigo-drake-and-olivia-dean/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IFPI Global Music Report 2026: global recorded music revenues hit $31.7B in 2025, up 6.4%; 837 M paid subscription users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Business Worldwide (sobre IFPI)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https://www.musicbusinessworldwide.com/global-recorded-music-revenues-hit-31-7bn-in-2025-up-6-4-yoy-users-of-paid-music-subscriptions-reach-837m/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and Sony seek to add 61,000 copyrighted works to Suno lawsuit after discovery reveals Suno trained on millions of their recordings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Business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https://www.musicbusinessworldwide.com/umg-and-sony-seek-to-add-61000-copyrighted-works-to-suno-lawsuit-after-discovery-reveals-suno-trained-on-millions-of-their-recordings/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has settled its lawsuit with Udio and signed AI deals with Udio and Stability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Complete Music Update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https://completemusicupdate.com/universal-has-settled-its-lawsuit-with-udio-and-signed-ai-deals-with-udio-and-stability/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investor presentation reveals major’s plans for superfans and streaming growth (Capital Markets Day 2024: objetivos hasta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https://www.musicweek.com/labels/read/umg-investor-presentation-reveals-major-s-plans-for-superfans-and-streaming-growth/090486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announces results of its 2026 Annual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N.V. (PR Newswire /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https://digital-release.wboy.com/business/press-releases/cision/20260513LA58768/universal-music-group-n-v-announces-results-of-its-2026-annual-general-meeting-of-shareholders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Music’s £119m CEO pay offer may provoke shareholder revolt (The Guardian)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 / The Guardian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https://www.hl.co.uk/news/universal-musics-119m-ceo-pay-offer-may-provoke-shareholder-revolt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Bundesbank: rendimiento del Bund a 10 años (3,51 %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$UMGNF (abril-agosto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https://api.stocktwits.com/api/2/streams/symbol/UMGNF.json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$UNVGY (mayo-agosto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https://api.stocktwits.com/api/2/streams/symbol/UNVGY.json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de opinión y debate sobre UMG (marzo-septiembre de 2026,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https://seekingalpha.com/api/sa/combined/UMGNF.xml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UMG: the reasons behind a significant stock market decline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Electronlibre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https://electronlibre.info/articles/105037-umg-the-reasons-behind-a-significant-stock-market-decline/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Trivano: noticias y recomendaciones de analistas sobre UMG (Barclays equalweight 22,50 EUR; J.P. Morgan overweight 39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Trivano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https://www.trivano.com/aandeel/universal-music-group-nv.42482.nieuws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datos de mercado de comparables (WMG, Reservoir Media, HYBE, JYP, Spotify, Sony Group, Tencent Music) 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https://finance.yahoo.com/quote/WMG/key-statistics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 registro de participaciones sustanciales: V. Bolloré en Universal Music Group N.V. (18,51 % del capital y 39,90 % de los votos con el acuerdo con Vivendi y Tencent)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Autoriteit Financiële Markten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https://www.afm.nl/en/sector/registers/meldingenregisters/substantiele-deelnemingen/details?id=175189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Cyrille Bolloré steps down from Universal Music Group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Music Business Worldwide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https://www.musicbusinessworldwide.com/cyrille-bollore-son-of-vincent-steps-down-from-universal-music-group-board-as-bollore-group-fights-french-regulator-over-vivendi-share-offer/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cotización de Spotify (SPOT, 523,96 USD), Tencent Music y EUR/USD (1,1227) a 14/15-oct-2026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https://finance.yahoo.com/quote/SPOT/history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2023 de Universal Music Group N.V. (ESEF): balances 2022-2023, catálogos, anticipos de regalías y cuentas por pagar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Music Group N.V. / AFM (filings.xbrl.org)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https://filings.xbrl.org/724500GJBUL3D9TW9Y18/2023-12-31/ESEF/NL/0/724500GJBUL3D9TW9Y18-2023-12-31-en/reports/724500GJBUL3D9TW9Y18-2023-12-31-en.xhtml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propia: música grabada y derechos editoriales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(sectores/musica-derechos-2026-10-15.md)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83,7 %</w:t>
      </w:r>
      <w:r>
        <w:t xml:space="preserve"> · Secciones con menos del 60 % de campos cubiertos: </w:t>
      </w:r>
      <w:r>
        <w:rPr>
          <w:b/>
          <w:bCs/>
        </w:rPr>
        <w:t xml:space="preserve">gobierno, rentabilidad</w:t>
      </w:r>
      <w:r>
        <w:t xml:space="preserve"> · Generado el 15 oct 2026.</w:t>
      </w:r>
    </w:p>
    <w:p>
      <w:pPr>
        <w:pStyle w:val="Nota"/>
        <w:spacing w:after="100"/>
      </w:pPr>
      <w:r>
        <w:t xml:space="preserve">Línea cotizada: Universal Music Group N.V. en Euronext Ámsterdam (UMG), en EUR, la divisa de las cuentas; hay ADR sin patrocinio en EE. UU. (UNVGY, UMGNF). Precio: cierre del 14-oct-2026 (15,23 EUR), porque la sesión del 15-oct no había cerrado al hacer el análisis [6]. Las cuentas 2020-2025 salen del XBRL ESEF [3, 38] y se cotejan con las notas de resultados [1, 4, 5]; el informe anual 2025 y el informe semestral del 1S26 completos no se descargaron (la web de inversores carga con JavaScript), así que el puente usa la deuda financiera neta de 30-jun-2026 publicada en la nota del 1S26 (4.131 M, sin separar caja y deuda bruta) y los arrendamientos de cierre de 2025 [2, 3]. Los anticipos de regalías a artistas (3.136 M en 2025) se suman a «clientes» en todos los años, porque se recuperan con las regalías y son circulante del negocio: los días de cobro del informe no son comparables con otras empresas. El capex incluye la inversión en catálogos y en software. Acciones: 1.798,2 M en circulación según Yahoo [7], después de recomprar 57,4 M en 2026 [12]. Segmentos solo 2022-2025 (los de 2020-2021 no se extrajeron). La participación en Spotify y otras participadas se valora a mercado con un descuento estimado por el reparto con artistas e impuestos (estimación propia). Comparables de Yahoo a 14-oct-2026, sin EBITDA de los próximos 12 meses del mismo proveedor [33].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Universal Music Group N.V. (UMG)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15,23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(13,92 – 23,98)</c:v>
                </c:pt>
                <c:pt idx="1">
                  <c:v>Precio objetivo de los analistas (12,00 – 39,00)</c:v>
                </c:pt>
                <c:pt idx="2">
                  <c:v>Comparables: PER NTM (12,10 – 18,58)</c:v>
                </c:pt>
                <c:pt idx="3">
                  <c:v>DCF (WACC y g ± 0,5) (16,42 – 23,29)</c:v>
                </c:pt>
                <c:pt idx="4">
                  <c:v>Escenarios (bajista – alcista) (15,16 – 21,79)</c:v>
                </c:pt>
                <c:pt idx="5">
                  <c:v>DCF con la prima implícita del mercado (4,2 %)</c:v>
                </c:pt>
                <c:pt idx="6">
                  <c:v>Precio actual (15,23)</c:v>
                </c:pt>
              </c:strCache>
            </c:strRef>
          </c:cat>
          <c:val>
            <c:numRef>
              <c:f>Hoja1!$B$2:$B$8</c:f>
              <c:numCache>
                <c:formatCode>#,##0.0</c:formatCode>
                <c:ptCount val="7"/>
                <c:pt idx="0">
                  <c:v>13.92</c:v>
                </c:pt>
                <c:pt idx="1">
                  <c:v>12</c:v>
                </c:pt>
                <c:pt idx="2">
                  <c:v>12.1</c:v>
                </c:pt>
                <c:pt idx="3">
                  <c:v>16.42</c:v>
                </c:pt>
                <c:pt idx="4">
                  <c:v>15.16</c:v>
                </c:pt>
                <c:pt idx="5">
                  <c:v>21.8</c:v>
                </c:pt>
                <c:pt idx="6">
                  <c:v>15.15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(13,92 – 23,98)</c:v>
                </c:pt>
                <c:pt idx="1">
                  <c:v>Precio objetivo de los analistas (12,00 – 39,00)</c:v>
                </c:pt>
                <c:pt idx="2">
                  <c:v>Comparables: PER NTM (12,10 – 18,58)</c:v>
                </c:pt>
                <c:pt idx="3">
                  <c:v>DCF (WACC y g ± 0,5) (16,42 – 23,29)</c:v>
                </c:pt>
                <c:pt idx="4">
                  <c:v>Escenarios (bajista – alcista) (15,16 – 21,79)</c:v>
                </c:pt>
                <c:pt idx="5">
                  <c:v>DCF con la prima implícita del mercado (4,2 %)</c:v>
                </c:pt>
                <c:pt idx="6">
                  <c:v>Precio actual (15,23)</c:v>
                </c:pt>
              </c:strCache>
            </c:strRef>
          </c:cat>
          <c:val>
            <c:numRef>
              <c:f>Hoja1!$C$2:$C$8</c:f>
              <c:numCache>
                <c:formatCode>#,##0.0</c:formatCode>
                <c:ptCount val="7"/>
                <c:pt idx="0">
                  <c:v>10.06</c:v>
                </c:pt>
                <c:pt idx="1">
                  <c:v>27</c:v>
                </c:pt>
                <c:pt idx="2">
                  <c:v>6.479999999999999</c:v>
                </c:pt>
                <c:pt idx="3">
                  <c:v>6.869999999999997</c:v>
                </c:pt>
                <c:pt idx="4">
                  <c:v>6.629999999999999</c:v>
                </c:pt>
                <c:pt idx="5">
                  <c:v>5.960000000000001</c:v>
                </c:pt>
                <c:pt idx="6">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Música grabada</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7937</c:v>
                </c:pt>
                <c:pt idx="1">
                  <c:v>8461</c:v>
                </c:pt>
                <c:pt idx="2">
                  <c:v>8901</c:v>
                </c:pt>
                <c:pt idx="3">
                  <c:v>9456</c:v>
                </c:pt>
              </c:numCache>
            </c:numRef>
          </c:val>
        </c:ser>
        <c:ser>
          <c:idx val="1"/>
          <c:order val="1"/>
          <c:tx>
            <c:strRef>
              <c:f>Hoja1!$C$1</c:f>
              <c:strCache>
                <c:ptCount val="1"/>
                <c:pt idx="0">
                  <c:v>Edición musical</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1799</c:v>
                </c:pt>
                <c:pt idx="1">
                  <c:v>1956</c:v>
                </c:pt>
                <c:pt idx="2">
                  <c:v>2121</c:v>
                </c:pt>
                <c:pt idx="3">
                  <c:v>2260</c:v>
                </c:pt>
              </c:numCache>
            </c:numRef>
          </c:val>
        </c:ser>
        <c:ser>
          <c:idx val="2"/>
          <c:order val="2"/>
          <c:tx>
            <c:strRef>
              <c:f>Hoja1!$D$1</c:f>
              <c:strCache>
                <c:ptCount val="1"/>
                <c:pt idx="0">
                  <c:v>Merchandising y otros</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618</c:v>
                </c:pt>
                <c:pt idx="1">
                  <c:v>706</c:v>
                </c:pt>
                <c:pt idx="2">
                  <c:v>842</c:v>
                </c:pt>
                <c:pt idx="3">
                  <c:v>811</c:v>
                </c:pt>
              </c:numCache>
            </c:numRef>
          </c:val>
        </c:ser>
        <c:ser>
          <c:idx val="3"/>
          <c:order val="3"/>
          <c:tx>
            <c:strRef>
              <c:f>Hoja1!$E$1</c:f>
              <c:strCache>
                <c:ptCount val="1"/>
                <c:pt idx="0">
                  <c:v>Corporativo y eliminaciones</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-14</c:v>
                </c:pt>
                <c:pt idx="1">
                  <c:v>-15</c:v>
                </c:pt>
                <c:pt idx="2">
                  <c:v>-30</c:v>
                </c:pt>
                <c:pt idx="3">
                  <c:v>-20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Música grabada</c:v>
                </c:pt>
                <c:pt idx="1">
                  <c:v>Edición musical</c:v>
                </c:pt>
                <c:pt idx="2">
                  <c:v>Merchandising y otros</c:v>
                </c:pt>
                <c:pt idx="3">
                  <c:v>Corporativo y eliminaciones</c:v>
                </c:pt>
              </c:strCache>
            </c:strRef>
          </c:cat>
          <c:val>
            <c:numRef>
              <c:f>Hoja1!$B$2:$B$5</c:f>
              <c:numCache>
                <c:formatCode>General</c:formatCode>
                <c:ptCount val="4"/>
                <c:pt idx="0">
                  <c:v>75.6</c:v>
                </c:pt>
                <c:pt idx="1">
                  <c:v>18.1</c:v>
                </c:pt>
                <c:pt idx="2">
                  <c:v>6.5</c:v>
                </c:pt>
                <c:pt idx="3">
                  <c:v>-0.2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mayoristas de música grabada, IFPI))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29800</c:v>
                </c:pt>
                <c:pt idx="1">
                  <c:v>31700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UMG</c:v>
                </c:pt>
                <c:pt idx="1">
                  <c:v>Warner Music Group</c:v>
                </c:pt>
                <c:pt idx="2">
                  <c:v>Sony Music Entertainment (Sony Group)</c:v>
                </c:pt>
                <c:pt idx="3">
                  <c:v>Tencent Music Entertainment</c:v>
                </c:pt>
                <c:pt idx="4">
                  <c:v>HYBE</c:v>
                </c:pt>
                <c:pt idx="5">
                  <c:v>Reservoir Media</c:v>
                </c:pt>
              </c:strCache>
            </c:strRef>
          </c:cat>
          <c:val>
            <c:numRef>
              <c:f>Hoja1!$B$2:$B$7</c:f>
              <c:numCache>
                <c:formatCode>0.0"%"</c:formatCode>
                <c:ptCount val="6"/>
                <c:pt idx="0">
                  <c:v>17.1</c:v>
                </c:pt>
                <c:pt idx="1">
                  <c:v>16.7</c:v>
                </c:pt>
                <c:pt idx="3">
                  <c:v>29.2</c:v>
                </c:pt>
                <c:pt idx="4">
                  <c:v>11.6</c:v>
                </c:pt>
                <c:pt idx="5">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7432</c:v>
                </c:pt>
                <c:pt idx="1">
                  <c:v>8504</c:v>
                </c:pt>
                <c:pt idx="2">
                  <c:v>10340</c:v>
                </c:pt>
                <c:pt idx="3">
                  <c:v>11108</c:v>
                </c:pt>
                <c:pt idx="4">
                  <c:v>11834</c:v>
                </c:pt>
                <c:pt idx="5">
                  <c:v>12507</c:v>
                </c:pt>
                <c:pt idx="6">
                  <c:v>13382</c:v>
                </c:pt>
                <c:pt idx="7">
                  <c:v>14252</c:v>
                </c:pt>
                <c:pt idx="8">
                  <c:v>15179</c:v>
                </c:pt>
                <c:pt idx="9">
                  <c:v>16089</c:v>
                </c:pt>
                <c:pt idx="10">
                  <c:v>16974</c:v>
                </c:pt>
                <c:pt idx="11">
                  <c:v>17738</c:v>
                </c:pt>
                <c:pt idx="12">
                  <c:v>18359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1487</c:v>
                </c:pt>
                <c:pt idx="1">
                  <c:v>1754</c:v>
                </c:pt>
                <c:pt idx="2">
                  <c:v>2028</c:v>
                </c:pt>
                <c:pt idx="3">
                  <c:v>1808</c:v>
                </c:pt>
                <c:pt idx="4">
                  <c:v>2332</c:v>
                </c:pt>
                <c:pt idx="5">
                  <c:v>2583</c:v>
                </c:pt>
                <c:pt idx="6">
                  <c:v>2623</c:v>
                </c:pt>
                <c:pt idx="7">
                  <c:v>2936</c:v>
                </c:pt>
                <c:pt idx="8">
                  <c:v>3233</c:v>
                </c:pt>
                <c:pt idx="9">
                  <c:v>3491</c:v>
                </c:pt>
                <c:pt idx="10">
                  <c:v>3717</c:v>
                </c:pt>
                <c:pt idx="11">
                  <c:v>3902</c:v>
                </c:pt>
                <c:pt idx="12">
                  <c:v>4039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47.3</c:v>
                </c:pt>
                <c:pt idx="1">
                  <c:v>45.8</c:v>
                </c:pt>
                <c:pt idx="2">
                  <c:v>44.4</c:v>
                </c:pt>
                <c:pt idx="3">
                  <c:v>44.1</c:v>
                </c:pt>
                <c:pt idx="4">
                  <c:v>43</c:v>
                </c:pt>
                <c:pt idx="5">
                  <c:v>42.5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20</c:v>
                </c:pt>
                <c:pt idx="1">
                  <c:v>20.6</c:v>
                </c:pt>
                <c:pt idx="2">
                  <c:v>19.6</c:v>
                </c:pt>
                <c:pt idx="3">
                  <c:v>16.3</c:v>
                </c:pt>
                <c:pt idx="4">
                  <c:v>19.7</c:v>
                </c:pt>
                <c:pt idx="5">
                  <c:v>20.7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16.8</c:v>
                </c:pt>
                <c:pt idx="1">
                  <c:v>17.4</c:v>
                </c:pt>
                <c:pt idx="2">
                  <c:v>16</c:v>
                </c:pt>
                <c:pt idx="3">
                  <c:v>12.8</c:v>
                </c:pt>
                <c:pt idx="4">
                  <c:v>16.2</c:v>
                </c:pt>
                <c:pt idx="5">
                  <c:v>17.1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18.4</c:v>
                </c:pt>
                <c:pt idx="1">
                  <c:v>10.4</c:v>
                </c:pt>
                <c:pt idx="2">
                  <c:v>7.6</c:v>
                </c:pt>
                <c:pt idx="3">
                  <c:v>11.3</c:v>
                </c:pt>
                <c:pt idx="4">
                  <c:v>17.6</c:v>
                </c:pt>
                <c:pt idx="5">
                  <c:v>12.3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5.3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172</c:v>
                </c:pt>
                <c:pt idx="1">
                  <c:v>180</c:v>
                </c:pt>
                <c:pt idx="2">
                  <c:v>162</c:v>
                </c:pt>
                <c:pt idx="3">
                  <c:v>160</c:v>
                </c:pt>
                <c:pt idx="4">
                  <c:v>179</c:v>
                </c:pt>
                <c:pt idx="5">
                  <c:v>168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c:v>
                </c:pt>
                <c:pt idx="1">
                  <c:v>8</c:v>
                </c:pt>
                <c:pt idx="2">
                  <c:v>10</c:v>
                </c:pt>
                <c:pt idx="3">
                  <c:v>12</c:v>
                </c:pt>
                <c:pt idx="4">
                  <c:v>14</c:v>
                </c:pt>
                <c:pt idx="5">
                  <c:v>13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384</c:v>
                </c:pt>
                <c:pt idx="1">
                  <c:v>386</c:v>
                </c:pt>
                <c:pt idx="2">
                  <c:v>327</c:v>
                </c:pt>
                <c:pt idx="3">
                  <c:v>336</c:v>
                </c:pt>
                <c:pt idx="4">
                  <c:v>346</c:v>
                </c:pt>
                <c:pt idx="5">
                  <c:v>316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-175</c:v>
                </c:pt>
                <c:pt idx="1">
                  <c:v>588</c:v>
                </c:pt>
                <c:pt idx="2">
                  <c:v>1150</c:v>
                </c:pt>
                <c:pt idx="3">
                  <c:v>1415</c:v>
                </c:pt>
                <c:pt idx="4">
                  <c:v>1123</c:v>
                </c:pt>
                <c:pt idx="5">
                  <c:v>1025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1366</c:v>
                </c:pt>
                <c:pt idx="1">
                  <c:v>886</c:v>
                </c:pt>
                <c:pt idx="2">
                  <c:v>782</c:v>
                </c:pt>
                <c:pt idx="3">
                  <c:v>1259</c:v>
                </c:pt>
                <c:pt idx="4">
                  <c:v>2086</c:v>
                </c:pt>
                <c:pt idx="5">
                  <c:v>1533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23.9</c:v>
                </c:pt>
                <c:pt idx="1">
                  <c:v>26.3</c:v>
                </c:pt>
                <c:pt idx="2">
                  <c:v>31.6</c:v>
                </c:pt>
                <c:pt idx="3">
                  <c:v>21.6</c:v>
                </c:pt>
                <c:pt idx="4">
                  <c:v>22.8</c:v>
                </c:pt>
                <c:pt idx="5">
                  <c:v>21.4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8.1</c:v>
                </c:pt>
                <c:pt idx="1">
                  <c:v>8.1</c:v>
                </c:pt>
                <c:pt idx="2">
                  <c:v>8.1</c:v>
                </c:pt>
                <c:pt idx="3">
                  <c:v>8.1</c:v>
                </c:pt>
                <c:pt idx="4">
                  <c:v>8.1</c:v>
                </c:pt>
                <c:pt idx="5">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83.6</c:v>
                </c:pt>
                <c:pt idx="1">
                  <c:v>48.4</c:v>
                </c:pt>
                <c:pt idx="2">
                  <c:v>35.7</c:v>
                </c:pt>
                <c:pt idx="3">
                  <c:v>47.4</c:v>
                </c:pt>
                <c:pt idx="4">
                  <c:v>55.7</c:v>
                </c:pt>
                <c:pt idx="5">
                  <c:v>33.8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1.61</c:v>
                </c:pt>
                <c:pt idx="1">
                  <c:v>1.43</c:v>
                </c:pt>
                <c:pt idx="2">
                  <c:v>1.1</c:v>
                </c:pt>
                <c:pt idx="3">
                  <c:v>1.16</c:v>
                </c:pt>
                <c:pt idx="4">
                  <c:v>1.13</c:v>
                </c:pt>
                <c:pt idx="5">
                  <c:v>1.14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c:v>
                </c:pt>
                <c:pt idx="1">
                  <c:v>82</c:v>
                </c:pt>
                <c:pt idx="2">
                  <c:v>80</c:v>
                </c:pt>
                <c:pt idx="3">
                  <c:v>332</c:v>
                </c:pt>
                <c:pt idx="4">
                  <c:v>698</c:v>
                </c:pt>
                <c:pt idx="5">
                  <c:v>412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283</c:v>
                </c:pt>
                <c:pt idx="1">
                  <c:v>785</c:v>
                </c:pt>
                <c:pt idx="2">
                  <c:v>798</c:v>
                </c:pt>
                <c:pt idx="3">
                  <c:v>929</c:v>
                </c:pt>
                <c:pt idx="4">
                  <c:v>933</c:v>
                </c:pt>
                <c:pt idx="5">
                  <c:v>953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1</c:v>
                </c:pt>
                <c:pt idx="1">
                  <c:v>6</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Grupo Bolloré (Bolloré SE y Compagnie de l’Odet)</c:v>
                </c:pt>
                <c:pt idx="1">
                  <c:v>Tencent (Tencent Mobility y Tencent Music Entertainment HK)</c:v>
                </c:pt>
                <c:pt idx="2">
                  <c:v>Vivendi SE</c:v>
                </c:pt>
                <c:pt idx="3">
                  <c:v>Pershing Square</c:v>
                </c:pt>
                <c:pt idx="4">
                  <c:v>Autocartera</c:v>
                </c:pt>
              </c:strCache>
            </c:strRef>
          </c:cat>
          <c:val>
            <c:numRef>
              <c:f>Hoja1!$B$2:$B$6</c:f>
              <c:numCache>
                <c:formatCode>0.0"%"</c:formatCode>
                <c:ptCount val="5"/>
                <c:pt idx="0">
                  <c:v>18.51</c:v>
                </c:pt>
                <c:pt idx="3">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-9.2</c:v>
                </c:pt>
                <c:pt idx="1">
                  <c:v>14.7</c:v>
                </c:pt>
                <c:pt idx="2">
                  <c:v>-4.2</c:v>
                </c:pt>
                <c:pt idx="3">
                  <c:v>-10.1</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-13.7</c:v>
                </c:pt>
                <c:pt idx="1">
                  <c:v>14.2</c:v>
                </c:pt>
                <c:pt idx="2">
                  <c:v>11.7</c:v>
                </c:pt>
                <c:pt idx="3">
                  <c:v>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27</c:v>
                </c:pt>
                <c:pt idx="1">
                  <c:v>21.3</c:v>
                </c:pt>
                <c:pt idx="2">
                  <c:v>27.3</c:v>
                </c:pt>
                <c:pt idx="3">
                  <c:v>20.7</c:v>
                </c:pt>
                <c:pt idx="4">
                  <c:v>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21.3</c:v>
                </c:pt>
                <c:pt idx="1">
                  <c:v>21.3</c:v>
                </c:pt>
                <c:pt idx="2">
                  <c:v>21.3</c:v>
                </c:pt>
                <c:pt idx="3">
                  <c:v>21.3</c:v>
                </c:pt>
                <c:pt idx="4">
                  <c:v>21.3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UMG</c:v>
                </c:pt>
                <c:pt idx="1">
                  <c:v>Warner Music Group</c:v>
                </c:pt>
                <c:pt idx="2">
                  <c:v>Reservoir Media</c:v>
                </c:pt>
                <c:pt idx="3">
                  <c:v>Sony Group</c:v>
                </c:pt>
                <c:pt idx="4">
                  <c:v>Tencent Music Entertainment</c:v>
                </c:pt>
                <c:pt idx="5">
                  <c:v>HYBE</c:v>
                </c:pt>
                <c:pt idx="6">
                  <c:v>JYP Entertainment</c:v>
                </c:pt>
                <c:pt idx="7">
                  <c:v>Spotify Technology</c:v>
                </c:pt>
              </c:strCache>
            </c:strRef>
          </c:cat>
          <c:val>
            <c:numRef>
              <c:f>Hoja1!$B$2:$B$9</c:f>
              <c:numCache>
                <c:formatCode>0.0"x"</c:formatCode>
                <c:ptCount val="8"/>
                <c:pt idx="0">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1432</c:v>
                </c:pt>
                <c:pt idx="1">
                  <c:v>1641</c:v>
                </c:pt>
                <c:pt idx="2">
                  <c:v>1846</c:v>
                </c:pt>
                <c:pt idx="3">
                  <c:v>2019</c:v>
                </c:pt>
                <c:pt idx="4">
                  <c:v>2175</c:v>
                </c:pt>
                <c:pt idx="5">
                  <c:v>2301</c:v>
                </c:pt>
                <c:pt idx="6">
                  <c:v>2402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9872</c:v>
                </c:pt>
                <c:pt idx="1">
                  <c:v>27358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15,23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15.16</c:v>
                </c:pt>
                <c:pt idx="1">
                  <c:v>19.24</c:v>
                </c:pt>
                <c:pt idx="2">
                  <c:v>21.79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15,23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(13,92 – 23,98)</c:v>
                </c:pt>
                <c:pt idx="1">
                  <c:v>Precio objetivo de los analistas (12,00 – 39,00)</c:v>
                </c:pt>
                <c:pt idx="2">
                  <c:v>Comparables: PER NTM (12,10 – 18,58)</c:v>
                </c:pt>
                <c:pt idx="3">
                  <c:v>DCF (WACC y g ± 0,5) (16,42 – 23,29)</c:v>
                </c:pt>
                <c:pt idx="4">
                  <c:v>Escenarios (bajista – alcista) (15,16 – 21,79)</c:v>
                </c:pt>
                <c:pt idx="5">
                  <c:v>DCF con la prima implícita del mercado (4,2 %)</c:v>
                </c:pt>
                <c:pt idx="6">
                  <c:v>Precio actual (15,23)</c:v>
                </c:pt>
              </c:strCache>
            </c:strRef>
          </c:cat>
          <c:val>
            <c:numRef>
              <c:f>Hoja1!$B$2:$B$8</c:f>
              <c:numCache>
                <c:formatCode>#,##0.0</c:formatCode>
                <c:ptCount val="7"/>
                <c:pt idx="0">
                  <c:v>13.92</c:v>
                </c:pt>
                <c:pt idx="1">
                  <c:v>12</c:v>
                </c:pt>
                <c:pt idx="2">
                  <c:v>12.1</c:v>
                </c:pt>
                <c:pt idx="3">
                  <c:v>16.42</c:v>
                </c:pt>
                <c:pt idx="4">
                  <c:v>15.16</c:v>
                </c:pt>
                <c:pt idx="5">
                  <c:v>21.8</c:v>
                </c:pt>
                <c:pt idx="6">
                  <c:v>15.15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(13,92 – 23,98)</c:v>
                </c:pt>
                <c:pt idx="1">
                  <c:v>Precio objetivo de los analistas (12,00 – 39,00)</c:v>
                </c:pt>
                <c:pt idx="2">
                  <c:v>Comparables: PER NTM (12,10 – 18,58)</c:v>
                </c:pt>
                <c:pt idx="3">
                  <c:v>DCF (WACC y g ± 0,5) (16,42 – 23,29)</c:v>
                </c:pt>
                <c:pt idx="4">
                  <c:v>Escenarios (bajista – alcista) (15,16 – 21,79)</c:v>
                </c:pt>
                <c:pt idx="5">
                  <c:v>DCF con la prima implícita del mercado (4,2 %)</c:v>
                </c:pt>
                <c:pt idx="6">
                  <c:v>Precio actual (15,23)</c:v>
                </c:pt>
              </c:strCache>
            </c:strRef>
          </c:cat>
          <c:val>
            <c:numRef>
              <c:f>Hoja1!$C$2:$C$8</c:f>
              <c:numCache>
                <c:formatCode>#,##0.0</c:formatCode>
                <c:ptCount val="7"/>
                <c:pt idx="0">
                  <c:v>10.06</c:v>
                </c:pt>
                <c:pt idx="1">
                  <c:v>27</c:v>
                </c:pt>
                <c:pt idx="2">
                  <c:v>6.479999999999999</c:v>
                </c:pt>
                <c:pt idx="3">
                  <c:v>6.869999999999997</c:v>
                </c:pt>
                <c:pt idx="4">
                  <c:v>6.629999999999999</c:v>
                </c:pt>
                <c:pt idx="5">
                  <c:v>5.960000000000001</c:v>
                </c:pt>
                <c:pt idx="6">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