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Beiersdorf Aktiengesellschaft</w:t>
      </w:r>
    </w:p>
    <w:p>
      <w:pPr>
        <w:spacing w:after="60"/>
        <w:rPr>
          <w:color w:val="52514E"/>
          <w:sz w:val="22"/>
          <w:szCs w:val="22"/>
        </w:rPr>
      </w:pPr>
      <w:r>
        <w:rPr>
          <w:color w:val="52514E"/>
          <w:sz w:val="22"/>
          <w:szCs w:val="22"/>
        </w:rPr>
        <w:t xml:space="preserve">BEI · Xetra (Fráncfort) · ISIN DE0005200000 · Productos de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81,00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100,49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+25,3 % (base +21,7 %)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102,65 EUR · mercado 110,17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17.664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Beiersdorf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BEI / DE0005200000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de consumo básico / Productos de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1882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https://www.beiersdorf.com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67,08 – 110,15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17.664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13.720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27,2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100,49 EUR</w:t>
      </w:r>
      <w:r>
        <w:t xml:space="preserve"> frente a 81,00 · Rentabilidad a 12 meses </w:t>
      </w:r>
      <w:r>
        <w:rPr>
          <w:b/>
          <w:bCs/>
        </w:rPr>
        <w:t xml:space="preserve">+25,3 % (base +21,7 %)</w:t>
      </w:r>
      <w:r>
        <w:t xml:space="preserve"> · Valor intrínseco 102,65 EUR · con la prima implícita del mercado: 110,17 (+36,0 %) · Alcista / bajista +49,7 % / -3,5 %</w:t>
      </w:r>
    </w:p>
    <w:p>
      <w:pPr>
        <w:spacing w:after="100"/>
      </w:pPr>
      <w:r>
        <w:rPr>
          <w:b/>
        </w:rPr>
        <w:t xml:space="preserve">La recomendación y por qué.</w:t>
      </w:r>
      <w:r>
        <w:t xml:space="preserve"> Mantener, con convicción media. La regla a 12 meses da Comprar: objetivo de 100,49 EUR (ponderada del 25,3 % con dividendo; base del 21,7 %) y valor intrínseco de 102,65 EUR frente a un precio de 81,00 EUR y un objetivo medio de los analistas de 79,90 [22]. Pero la compra no es robusta: con la historia del PER al cierre (v2) la ponderada baja al 15,0 % y la base al 10,6 %, y el límite que pasa con los dos métodos es 79,97 EUR. Toda la rentabilidad viene del múltiplo, no del beneficio: nuestro BPA de 2028e (4,28) apenas supera el de 2025 (4,25). La convicción subiría a alta si el 27 de octubre las ventas de nueve meses confirman la guía y el volumen de NIVEA deja de caer en el tercer trimestre; bajaría con una tercera rebaja.</w:t>
      </w:r>
    </w:p>
    <w:p>
      <w:pPr>
        <w:spacing w:after="100"/>
      </w:pPr>
      <w:r>
        <w:rPr>
          <w:b/>
        </w:rPr>
        <w:t xml:space="preserve">El negocio.</w:t>
      </w:r>
      <w:r>
        <w:t xml:space="preserve"> Beiersdorf crea valor: ROIC del 22,1 % frente a un WACC del 7,60 % (14,5 puntos), con 4.045 M EUR de liquidez neta y sin deuda [5]. Derma (Eucerin, Aquaphor) crece al 8-12 % y tiene ciencia propia; NIVEA, el 56 % de las ventas, cayó un 6,8 % en el primer semestre de 2026 tras un 2025 en el que solo creció por precio [1, 5]. </w:t>
      </w:r>
      <w:r>
        <w:rPr>
          <w:b/>
        </w:rPr>
        <w:t xml:space="preserve">Veredicto de calidad: En parte.</w:t>
      </w:r>
      <w:r>
        <w:t xml:space="preserve"> Pasa el ROIC − WACC, pero sostiene el crecimiento que proyectamos solo en parte: no necesita capital, pero el poder de precios de NIVEA no está demostrado y la vuelta al crecimiento en 2027 es una promesa de la dirección.</w:t>
      </w:r>
    </w:p>
    <w:p>
      <w:pPr>
        <w:spacing w:after="100"/>
      </w:pPr>
      <w:r>
        <w:rPr>
          <w:b/>
        </w:rPr>
        <w:t xml:space="preserve">Finanzas.</w:t>
      </w:r>
      <w:r>
        <w:t xml:space="preserve"> El margen EBIT sin especiales baja del 14,0 % de 2025 a al menos el 11,8 % en 2026, porque la empresa reinvierte 100 M EUR en marketing y baja precios [6]. El flujo libre de 2025 fue de solo 322 M EUR por circulante e impuestos; la dirección promete el 50 % del EBITDA a medio plazo.</w:t>
      </w:r>
    </w:p>
    <w:p>
      <w:pPr>
        <w:spacing w:after="100"/>
      </w:pPr>
      <w:r>
        <w:rPr>
          <w:b/>
        </w:rPr>
        <w:t xml:space="preserve">Equipo y gobierno.</w:t>
      </w:r>
      <w:r>
        <w:t xml:space="preserve"> Resta: dos guías incumplidas en doce meses y un variable sin métricas de rentabilidad sobre el capital. La familia Herz controla más del 50 % de los votos y compró 40 M EUR de acciones a 82-84 EUR en marzo [16]: alinea intereses y descarta una OPA.</w:t>
      </w:r>
    </w:p>
    <w:p>
      <w:pPr>
        <w:spacing w:after="100"/>
      </w:pPr>
      <w:r>
        <w:rPr>
          <w:b/>
        </w:rPr>
        <w:t xml:space="preserve">Valoración.</w:t>
      </w:r>
      <w:r>
        <w:t xml:space="preserve"> El DCF (103,57 EUR) y los escenarios pesan el 70 %. El precio descuenta un crecimiento del −2,3 % anual en 2027e-2033e o un margen EBITDA permanente del 13,3 %, frente a nuestro 3,4 % y 16,8 %: es una lectura conservadora. Cotiza a 20,7 veces el BPA de 2027e, frente a una mediana adelantada de 29,2 y a 22,1 veces de los comparables. Coincidimos con el consenso en el BPA; discrepamos en el múltiplo.</w:t>
      </w:r>
    </w:p>
    <w:p>
      <w:pPr>
        <w:spacing w:after="100"/>
      </w:pPr>
      <w:r>
        <w:rPr>
          <w:b/>
        </w:rPr>
        <w:t xml:space="preserve">Riesgos y catalizadores.</w:t>
      </w:r>
      <w:r>
        <w:t xml:space="preserve"> El mayor es que la marca blanca se quede con el medio de gama de NIVEA: el bajista a 12 meses (66,61 EUR, 18,2 veces un BPA de 3,66) pierde un 18 %. Le sigue un margen que no vuelve (−20 % por cada 1,5 puntos). El riesgo de la IA es bajo: el producto es físico y barato, aunque los agentes de compra que comparan ingredientes y precio pueden restar valor a la marca de masas frente a la de ciencia. Catalizadores: ventas de nueve meses el 27-oct-2026 y guía de 2027 en marzo; la recompra de 750 M EUR. Los foros están en negativo y ven el mismo riesgo que nosotros.</w:t>
      </w:r>
    </w:p>
    <w:p>
      <w:pPr>
        <w:spacing w:after="100"/>
      </w:pPr>
      <w:r>
        <w:rPr>
          <w:b/>
        </w:rPr>
        <w:t xml:space="preserve">Qué cambiaría la decisión.</w:t>
      </w:r>
      <w:r>
        <w:t xml:space="preserve"> Comprar por debajo de 79,97 EUR (límite robusto; el de la regla es 88,02) si los resultados del 27 de octubre no rebajan la guía; vender por encima de 112,76 EUR. Pasaríamos a Vender con un volumen de NIVEA negativo en el tercer y cuarto trimestre y una guía de 2027 sin crecimiento.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100,49 EUR</w:t>
      </w:r>
      <w:r>
        <w:t xml:space="preserve"> (rentabilidad +25,3 % (base +21,7 %)) · Valor intrínseco: 102,65 EUR (+26,7 % sobre 81,00) · con la prima implícita del mercado: 110,17 (+36,0 %)</w:t>
      </w:r>
    </w:p>
    <w:p>
      <w:pPr>
        <w:spacing w:after="100"/>
      </w:pPr>
      <w:r>
        <w:t xml:space="preserve">Beiersdorf es una empresa de marcas de cuidado de la piel (NIVEA, Eucerin, La Prairie) y de adhesivos (tesa) con un ROIC del 22,1 %, sin deuda y con 4.045 M EUR de liquidez neta, una cuarta parte de su capitalización [5]. Ganó cuota en 2022-2024 con Derma y subidas de precio; desde 2025 NIVEA dejó de crecer en volumen y en 2026 cae un 6,8 % [1, 5].</w:t>
      </w:r>
    </w:p>
    <w:p>
      <w:pPr>
        <w:spacing w:after="100"/>
      </w:pPr>
      <w:r>
        <w:t xml:space="preserve">El precio de 81,00 EUR descuenta un crecimiento anual del −2,3 % en 2027e-2033e o un margen EBITDA permanente del 13,3 %, frente al 16,7 % de 2025. A 20,7 veces el BPA de 2027e, cotiza 30 % por debajo de su mediana histórica adelantada y en línea con Unilever, una empresa que lleva años sin crecer.</w:t>
      </w:r>
    </w:p>
    <w:p>
      <w:pPr>
        <w:spacing w:after="100"/>
      </w:pPr>
      <w:r>
        <w:t xml:space="preserve">Para invertir hay que creer que NIVEA es un tropiezo y no un declive: que el plan de 18 meses devuelve el volumen en 2027 como ya pasó en Brasil, que Derma sigue al 8-10 % y que el margen vuelve al 16-17 % de EBITDA. Si es así, el mercado volverá a pagar más de 20 veces y la rentabilidad a un año supera el 20 %. Si no, el múltiplo de hoy es el correcto y la caja solo limita la caída.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 × 3,66 = 66,61 · 22,8x × 4,28 = 97,58 · 29,7x × 4,72 = 140,18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79,90 (nuestro base +22,1 %)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 /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7,6 %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88,02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88,02 y 112,76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112,76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(rentabilidad ponderada del 25,3 %, base del 21,7 % y valor intrínseco de 102,65 EUR por encima del precio), pero nos apartamos por tres razones que la valoración no recoge. (1) La compra no es robusta: con la historia del PER al cierre (v2) la ponderada baja al 15,0 % y la del base al 10,6 %, por debajo del 12 %; la acción robusta de las pruebas es Mantener y el límite que pasa con los dos métodos es de 79,97 EUR, por debajo del precio. (2) La sostenibilidad del crecimiento es «En parte»: el poder de precios de NIVEA no está demostrado y la vuelta al crecimiento depende de un plan de 18 meses. (3) Hay resultados el 27 de octubre, trece días después del corte, con una dirección que ha rebajado dos guías en doce meses. Comprar por debajo de 79,97 EUR y con unos resultados de nueve meses que confirmen la guía.</w:t>
      </w:r>
    </w:p>
    <w:p>
      <w:pPr>
        <w:pStyle w:val="Heading2"/>
      </w:pPr>
      <w:r>
        <w:t xml:space="preserve">Qué cambiaría la recomendación</w:t>
      </w:r>
    </w:p>
    <w:p>
      <w:pPr>
        <w:pStyle w:val="ListParagraph"/>
        <w:numPr>
          <w:ilvl w:val="0"/>
          <w:numId w:val="2"/>
        </w:numPr>
        <w:spacing w:after="60"/>
      </w:pPr>
      <w:r>
        <w:t xml:space="preserve">Si el precio baja de 79,97 EUR y las ventas de nueve meses (27-oct-2026) confirman la guía, pasaríamos a Comprar.</w:t>
      </w:r>
    </w:p>
    <w:p>
      <w:pPr>
        <w:pStyle w:val="ListParagraph"/>
        <w:numPr>
          <w:ilvl w:val="0"/>
          <w:numId w:val="2"/>
        </w:numPr>
        <w:spacing w:after="60"/>
      </w:pPr>
      <w:r>
        <w:t xml:space="preserve">Si la empresa vuelve a rebajar la guía el 27 de octubre (margen EBIT de 2026 por debajo del 11,8 %), pasaríamos a Vender por debajo del filtro de mantener.</w:t>
      </w:r>
    </w:p>
    <w:p>
      <w:pPr>
        <w:pStyle w:val="ListParagraph"/>
        <w:numPr>
          <w:ilvl w:val="0"/>
          <w:numId w:val="2"/>
        </w:numPr>
        <w:spacing w:after="60"/>
      </w:pPr>
      <w:r>
        <w:t xml:space="preserve">Si la guía de 2027 (marzo de 2027) no prevé crecimiento de ventas, revisaríamos el caso base a la baja (−10 % de BPA).</w:t>
      </w:r>
    </w:p>
    <w:p>
      <w:pPr>
        <w:pStyle w:val="ListParagraph"/>
        <w:numPr>
          <w:ilvl w:val="0"/>
          <w:numId w:val="2"/>
        </w:numPr>
        <w:spacing w:after="60"/>
      </w:pPr>
      <w:r>
        <w:t xml:space="preserve">Si NIVEA vuelve a un volumen positivo en dos trimestres seguidos, subiríamos la convicción y la sostenibilidad a «Sí».</w:t>
      </w:r>
    </w:p>
    <w:p>
      <w:pPr>
        <w:pStyle w:val="ListParagraph"/>
        <w:numPr>
          <w:ilvl w:val="0"/>
          <w:numId w:val="2"/>
        </w:numPr>
        <w:spacing w:after="60"/>
      </w:pPr>
      <w:r>
        <w:t xml:space="preserve">Por encima de 112,76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NIVEA está en declive estructural y que el margen de 2026 (≈11,8 % EBIT) es el nuevo nivel: crecimiento implícito del −2,3 % anual y margen EBITDA del 13,3 %. Los analistas, con un objetivo medio de 79,90 EUR, aplican el múltiplo de hoy al BPA de 2027 [22].</w:t>
      </w:r>
    </w:p>
    <w:p>
      <w:pPr>
        <w:keepNext/>
        <w:spacing w:after="100"/>
      </w:pPr>
      <w:r>
        <w:rPr>
          <w:b/>
          <w:bCs/>
        </w:rPr>
        <w:t xml:space="preserve">Lo que creemos nosotros.</w:t>
      </w:r>
    </w:p>
    <w:p>
      <w:pPr>
        <w:spacing w:after="100"/>
      </w:pPr>
      <w:r>
        <w:t xml:space="preserve">Coincidimos en el BPA (4,28 EUR en 2028e frente a 4,20) pero no en que el múltiplo deba quedarse en 20 veces: con caja neta, ROIC del 22 % y Derma creciendo, el mercado pagará algo más cuando NIVEA deje de caer. No creemos que vuelva el 29 veces de 2020-2024.</w:t>
      </w:r>
    </w:p>
    <w:p>
      <w:pPr>
        <w:keepNext/>
        <w:spacing w:after="100"/>
      </w:pPr>
      <w:r>
        <w:rPr>
          <w:b/>
          <w:bCs/>
        </w:rPr>
        <w:t xml:space="preserve">Por qué podemos tener razón.</w:t>
      </w:r>
    </w:p>
    <w:p>
      <w:pPr>
        <w:spacing w:after="100"/>
      </w:pPr>
      <w:r>
        <w:t xml:space="preserve">El descuento del 40 % frente a su historia ya incluye un crecimiento negativo, y la recompra y la caja protegen el bajista del DCF. Pero no es una visión con fecha: depende del volumen de NIVEA en el 3T y 4T de 2026, y por eso no la convertimos en compra a este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Caja neta de 4.045 M EUR</w:t>
      </w:r>
      <w:r>
        <w:t xml:space="preserve"> (≈18,5 EUR por acción) y ROIC del 22,1 % frente a un WACC del 7,60 %.</w:t>
      </w:r>
    </w:p>
    <w:p>
      <w:pPr>
        <w:pStyle w:val="ListParagraph"/>
        <w:numPr>
          <w:ilvl w:val="0"/>
          <w:numId w:val="2"/>
        </w:numPr>
        <w:spacing w:after="60"/>
      </w:pPr>
      <w:r>
        <w:rPr>
          <w:b/>
        </w:rPr>
        <w:t xml:space="preserve">El precio descuenta un crecimiento del −2,3 %</w:t>
      </w:r>
      <w:r>
        <w:t xml:space="preserve"> anual en 2027e-2033e, frente al 6,5 % orgánico medio de 2021-2025.</w:t>
      </w:r>
    </w:p>
    <w:p>
      <w:pPr>
        <w:pStyle w:val="ListParagraph"/>
        <w:numPr>
          <w:ilvl w:val="0"/>
          <w:numId w:val="2"/>
        </w:numPr>
        <w:spacing w:after="60"/>
      </w:pPr>
      <w:r>
        <w:rPr>
          <w:b/>
        </w:rPr>
        <w:t xml:space="preserve">Derma crece al 7,8 %</w:t>
      </w:r>
      <w:r>
        <w:t xml:space="preserve"> en el semestre y se ha duplicado en cinco años; es el negocio de más margen.</w:t>
      </w:r>
    </w:p>
    <w:p>
      <w:pPr>
        <w:pStyle w:val="ListParagraph"/>
        <w:numPr>
          <w:ilvl w:val="0"/>
          <w:numId w:val="2"/>
        </w:numPr>
        <w:spacing w:after="60"/>
      </w:pPr>
      <w:r>
        <w:rPr>
          <w:b/>
        </w:rPr>
        <w:t xml:space="preserve">Recompra de 750 M EUR</w:t>
      </w:r>
      <w:r>
        <w:t xml:space="preserve"> en dos años: ≈4 % menos de acciones.</w:t>
      </w:r>
    </w:p>
    <w:p>
      <w:pPr>
        <w:pStyle w:val="ListParagraph"/>
        <w:numPr>
          <w:ilvl w:val="0"/>
          <w:numId w:val="2"/>
        </w:numPr>
        <w:spacing w:after="60"/>
      </w:pPr>
      <w:r>
        <w:rPr>
          <w:b/>
        </w:rPr>
        <w:t xml:space="preserve">El accionista de control compró 40 M EUR</w:t>
      </w:r>
      <w:r>
        <w:t xml:space="preserve"> de acciones a 82-84 EUR en marzo de 2026.</w:t>
      </w:r>
    </w:p>
    <w:p>
      <w:pPr>
        <w:pStyle w:val="Heading2"/>
      </w:pPr>
      <w:r>
        <w:t xml:space="preserve">En contra</w:t>
      </w:r>
    </w:p>
    <w:p>
      <w:pPr>
        <w:pStyle w:val="ListParagraph"/>
        <w:numPr>
          <w:ilvl w:val="0"/>
          <w:numId w:val="2"/>
        </w:numPr>
        <w:spacing w:after="60"/>
      </w:pPr>
      <w:r>
        <w:rPr>
          <w:b/>
        </w:rPr>
        <w:t xml:space="preserve">NIVEA cae un 6,8 %</w:t>
      </w:r>
      <w:r>
        <w:t xml:space="preserve"> en el semestre y pesa el 56 % de las ventas; en 2025 solo creció por precio.</w:t>
      </w:r>
    </w:p>
    <w:p>
      <w:pPr>
        <w:pStyle w:val="ListParagraph"/>
        <w:numPr>
          <w:ilvl w:val="0"/>
          <w:numId w:val="2"/>
        </w:numPr>
        <w:spacing w:after="60"/>
      </w:pPr>
      <w:r>
        <w:rPr>
          <w:b/>
        </w:rPr>
        <w:t xml:space="preserve">Dos guías rebajadas en doce meses</w:t>
      </w:r>
      <w:r>
        <w:t xml:space="preserve">: la credibilidad de la dirección está en juego el 27 de octubre.</w:t>
      </w:r>
    </w:p>
    <w:p>
      <w:pPr>
        <w:pStyle w:val="ListParagraph"/>
        <w:numPr>
          <w:ilvl w:val="0"/>
          <w:numId w:val="2"/>
        </w:numPr>
        <w:spacing w:after="60"/>
      </w:pPr>
      <w:r>
        <w:rPr>
          <w:b/>
        </w:rPr>
        <w:t xml:space="preserve">El BPA de 2028e (4,28 EUR) apenas supera el de 2025 (4,25)</w:t>
      </w:r>
      <w:r>
        <w:t xml:space="preserve">: toda la rentabilidad a un año sale del múltiplo.</w:t>
      </w:r>
    </w:p>
    <w:p>
      <w:pPr>
        <w:pStyle w:val="ListParagraph"/>
        <w:numPr>
          <w:ilvl w:val="0"/>
          <w:numId w:val="2"/>
        </w:numPr>
        <w:spacing w:after="60"/>
      </w:pPr>
      <w:r>
        <w:rPr>
          <w:b/>
        </w:rPr>
        <w:t xml:space="preserve">La v2 da solo un 10,6 % de base</w:t>
      </w:r>
      <w:r>
        <w:t xml:space="preserve">: la compra no es robusta.</w:t>
      </w:r>
    </w:p>
    <w:p>
      <w:pPr>
        <w:pStyle w:val="ListParagraph"/>
        <w:numPr>
          <w:ilvl w:val="0"/>
          <w:numId w:val="2"/>
        </w:numPr>
        <w:spacing w:after="60"/>
      </w:pPr>
      <w:r>
        <w:rPr>
          <w:b/>
        </w:rPr>
        <w:t xml:space="preserve">Chantecaille perdió un tercio de su precio</w:t>
      </w:r>
      <w:r>
        <w:t xml:space="preserve"> (198 M EUR de deterioros) y la dirección mantiene las compras como prioridad.</w:t>
      </w:r>
    </w:p>
    <w:p>
      <w:pPr>
        <w:pStyle w:val="Heading2"/>
      </w:pPr>
      <w:r>
        <w:t xml:space="preserve">Qué tiene que pasar para que la tesis funcione</w:t>
      </w:r>
    </w:p>
    <w:p>
      <w:pPr>
        <w:spacing w:after="100"/>
      </w:pPr>
      <w:r>
        <w:t xml:space="preserve">La tesis depende de que NIVEA deje de perder volumen en 2027. La señal de que no se cumple: volumen orgánico de NIVEA negativo en el tercer y el cuarto trimestre de 2026 y una guía de 2027 sin crecimiento de ventas. La primera lectura llega el 27 de octubre con las ventas de nueve meses.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NIVEA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3T26 y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es tropiezo o declive.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Derma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motor demostrado.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sin especiales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(1S26); guía ≥ 11,8 %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2026 rebajada o 2027 &lt; 11,8 %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Consumer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del reposicionamiento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35 %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Promesa de la dirección del 50 %.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 / 20,8x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Beiersdorf nace en 1882 cuando el farmacéutico Paul C. Beiersdorf patenta en Hamburgo un emplasto medicinal; en 1911 lanza la crema NIVEA, en 1936 tesa y en 1957 Hansaplast se consolida en Europa. La familia Herz (Tchibo) toma el control a través de maxingvest en 2004, y desde entonces la empresa ha sido conservadora en balance (caja neta) y dividendo. En 2019-2022 compró Coppertone y Chantecaille; en 2021 Vincent Warnery sustituyó a Stefan De Loecker y lanzó la estrategia C.A.R.E.+ centrada en el cuidado de la piel, con Derma y La Prairie como motores. 2025-2026 marcan el primer tropiezo serio de NIVEA en una década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C. Beiersdorf patenta el emplasto medicinal en Hamburgo.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crema NIVEA.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tesa (cintas adhesivas).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Tchibo (hoy maxingvest, familia Herz) pasa a controlar Beiersdorf.</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Coppertone (protección solar en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Vincent Warnery, consejero delegado; estrategia C.A.R.E.+.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Chantecaille por 553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y primera recompra de acciones (501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rebajas de la guía; plan de 18 meses para devolver NIVEA al crecimiento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Dos negocios. </w:t>
      </w:r>
      <w:r>
        <w:rPr>
          <w:b/>
        </w:rPr>
        <w:t xml:space="preserve">Consumer</w:t>
      </w:r>
      <w:r>
        <w:t xml:space="preserve"> (83 % de las ventas, 8.176 M EUR en 2025): cuidado de la piel de gran consumo con NIVEA y Labello (5.529 M), dermocosmética con Eucerin y Aquaphor (1.492 M), apósitos Hansaplast/Elastoplast (299 M), lujo con La Prairie (478 M) y Chantecaille, y Coppertone [1]. Vende a través de supermercados, droguerías, farmacias, perfumerías, venta en aeropuertos y comercio electrónico en más de 150 países, con fábricas propias (Alemania, Polonia, México, Brasil…). </w:t>
      </w:r>
      <w:r>
        <w:rPr>
          <w:b/>
        </w:rPr>
        <w:t xml:space="preserve">tesa</w:t>
      </w:r>
      <w:r>
        <w:t xml:space="preserve"> (17 %, 1.676 M EUR): cintas adhesivas técnicas para electrónica (teléfonos y tabletas), automóvil, impresión y embalaje, y una línea de consumo [1].</w:t>
      </w:r>
    </w:p>
    <w:p>
      <w:pPr>
        <w:pStyle w:val="Heading2"/>
      </w:pPr>
      <w:r>
        <w:t xml:space="preserve">Cómo gana dinero</w:t>
      </w:r>
    </w:p>
    <w:p>
      <w:pPr>
        <w:spacing w:after="100"/>
      </w:pPr>
      <w:r>
        <w:t xml:space="preserve">Marca y distribución: un margen bruto de consumo del ≈62 % financia un gasto de marketing y ventas del ≈38 % de las ventas de Consumer (3.139 M EUR en 2025) [1, 6]. El margen depende de la mezcla: Derma y La Prairie tienen márgenes superiores a NIVEA, y el plan de 2026 de dar a NIVEA precios más accesibles diluye la mezcla [6]. Casi todo son compras repetidas de bajo importe (sin contratos). La estacionalidad la marca el verano (protección solar) y el cuarto trimestre (regalo y La Prairie). tesa vende a fabricantes con más apalancamiento operativo: la electrónica de consumo china mueve su margen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publicada: el cliente es la gran distribución (en Europa, cadenas como Edeka, Rewe, dm o Carrefour) y la farmacia. En 2025-2026 hubo «conflictos con clientes» en Europa (retiradas de producto por negociaciones de precio) que restaron ventas a NIVEA [6]. </w:t>
      </w:r>
      <w:r>
        <w:rPr>
          <w:b/>
        </w:rPr>
        <w:t xml:space="preserve">Poder de precios</w:t>
      </w:r>
      <w:r>
        <w:t xml:space="preserve">: en 2022-2024 Beiersdorf subió precios por encima de la inflación de costes y amplió el margen; en 2025 el crecimiento de NIVEA fue solo precio con volumen negativo, y en el 1S26 el precio aportó apenas 10 pb al margen bruto de consumo frente a 100 pb de deterioro [1, 6]. Es la señal de que el poder de precios de NIVEA se ha agotado; el de Derma sigue (Thiamidol, Epigenetics).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NIVEA (incl. Labello)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 M EUR (2025); 1S26 2.703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orgánico en 2025; −6,8 %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2025 fue solo precio; volumen negativo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Derma (Eucerin, Aquaphor)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M EUR (2025); 1S26 837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orgánico en 2025; +7,8 %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 duplicado en cinco años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Prairie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M EUR (2025); 1S26 224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orgánico en 2025; −6,9 %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y venta en aeropuertos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Health Care (Hansaplast)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años ganando cuota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sin especiales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(2025); 15,5 %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 11,8 %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en agosto de 2026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Consumer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menor uso de fábricas y divisa (−60 pb)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belleza y cuidado personal (piel, pelo, maquillaje, perfume e higiene) a precios netos de fabricante, que es el perímetro de la ficha sectorial [11] y el que usa L’Oréal para medir cuotas: ≈300.000 M EUR en 2025 [12]. Beiersdorf compite sobre todo en cuidado de la piel (de masas, dermocosmética y lujo), el mayor segmento del mercado; su cuota sobre el total es del ≈2,7 % (Consumer). tesa es un mercado distinto (cintas adhesivas técnicas) y no entra en este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a precios netos de fabricante, con un crecimiento previsto del 4,5-5 % en 2026 según L’Oréal [12]; Beiersdorf describe en 2025 un mercado de cuidado de la piel con crecimiento «bajo de un dígito»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Dermocosmética y activos con respaldo científico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 de Beiersdorf +11,7 % en 2025 y +7,8 % en 1S26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locales e independientes en redes sociales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Beiersdorf reconoce que las marcas locales e «indie» ganaron cuota en 2025 y los grandes perdieron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disponible y precios (inflación,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de Oriente Medio restó 160 pb al crecimiento de África/Asia en 1S26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Lujo en China y venta en aeropuertos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Prairie −4,5 % en 2025 por la caída de dos dígitos del lujo en aeropuertos chinos; China nacional crece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canal crece más rápido que el físico en Derma y tesa Consumer [1,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Unilever, P&amp;G y Kenvue gastan entre el 20 % y el 35 % de las ventas en marketing; NIVEA perdió cuota con volumen negativo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europea retiró producto en 2025-2026 en negociaciones de precio («customer conflicts»)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químicas y envases genéricos; el coste sube con el petróleo pero no hay proveedor dominante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sociales abaratan lanzar marcas y la marca blanca de las cadenas compite en precio; la escala de distribución y la investigación (Thiamidol) siguen siendo barreras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cuidado de la piel no tiene sustituto funcional; la estética médica compite solo en el lujo antiedad.</w:t>
            </w:r>
          </w:p>
        </w:tc>
      </w:tr>
    </w:tbl>
    <w:p>
      <w:pPr>
        <w:spacing w:after="160" w:before="0"/>
      </w:pPr>
    </w:p>
    <w:p>
      <w:pPr>
        <w:pStyle w:val="Heading2"/>
      </w:pPr>
      <w:r>
        <w:t xml:space="preserve">Ciclo</w:t>
      </w:r>
    </w:p>
    <w:p>
      <w:pPr>
        <w:spacing w:after="100"/>
      </w:pPr>
      <w:r>
        <w:t xml:space="preserve">Es un sector defensivo: en 2009 y 2020 el volumen cayó poco (Beiersdorf −5,7 % orgánico en 2020 por protección solar y aeropuertos) y se recuperó al año siguiente [1]. En 2022-2023 la inflación permitió subir precios y crecer a dos dígitos; desde 2025 el precio ya no empuja y el crecimiento de la categoría ha bajado a un dígito bajo, con consumidores que buscan precio [1]. Los indicadores: crecimiento de la categoría en Circana/NielsenIQ y la diferencia entre precio y volumen en los resultados de los grandes.</w:t>
      </w:r>
    </w:p>
    <w:p>
      <w:pPr>
        <w:pStyle w:val="Heading2"/>
      </w:pPr>
      <w:r>
        <w:t xml:space="preserve">Regulación</w:t>
      </w:r>
    </w:p>
    <w:p>
      <w:pPr>
        <w:spacing w:after="100"/>
      </w:pPr>
      <w:r>
        <w:t xml:space="preserve">Reglamento europeo de cosméticos 1223/2009 (seguridad, notificación y prohibición de sustancias) y la ley MoCRA de EE. UU. de 2022, que endurece registro y farmacovigilancia [11]. En protección solar, los filtros UV están en revisión en la UE y la FDA no aprueba filtros nuevos desde hace dos décadas, lo que limita la innovación de Coppertone en EE. UU. Normas de envases (reglamento europeo de envases de 2025) elevan el coste de materiales reciclados. Aranceles de EE. UU. de 2025 sobre importaciones europeas [11].</w:t>
      </w:r>
    </w:p>
    <w:p>
      <w:pPr>
        <w:pStyle w:val="Heading2"/>
      </w:pPr>
      <w:r>
        <w:t xml:space="preserve">Tendencias y disrupción</w:t>
      </w:r>
    </w:p>
    <w:p>
      <w:pPr>
        <w:spacing w:after="100"/>
      </w:pPr>
      <w:r>
        <w:t xml:space="preserve">Tres cambios: (1) el consumidor se reparte entre la ciencia (dermocosmética, activos patentados) y el precio (marca blanca y marcas locales), y castiga el «medio premium» donde estaba NIVEA Face; (2) las marcas nativas de redes sociales ganan cuota con lanzamientos rápidos; (3) China pasa del lujo en aeropuertos al consumo nacional y a marcas chinas. Beiersdorf gana en (1) con Eucerin y pierde en el medio de NIVEA, de ahí el giro a precios accesibles [1,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NIVEA es la mayor marca mundial de cuidado de la piel de masas; Eucerin es la segunda marca de dermocosmética del mundo por ventas netas [1]. Sobre el mercado total de belleza (≈300.000 M EUR), Consumer tiene ≈2,7 %; en tesa, uno de los líderes mundiales en cintas técnicas para electrónica.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L’Oréal Paris y La Roche-Posay/CeraVe compiten con NIVEA y Eucerin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 (Beauty &amp; Wellbeing y Personal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Dove, Vaseline, Rexona: el rival directo de NIVEA en cuerpo y desodorante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Olay y SK-II en piel; escala y gasto en marketing superiores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KVUE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Neutrogena, Aveeno: rival de Aquaphor y Eucerin en EE. UU.; en compra por Kimberly-Clark [13,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Mer y Estée Lauder frente a La Prairie en lujo; sufrió la misma caída de aeropuertos en China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Colgate-Palmolive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Palmolive y Sanex en higiene; Elta MD/PCA en dermocosmética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producto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crema no cuesta nada; la fidelidad es hábito.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y Eucerin entre las primeras marcas mundiales; Thiamidol patentado; margen bruto de consumo del 61-62 % [1, 4]. Pero NIVEA perdió volumen en 2025-2026.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propias de gran escala; la menor utilización en 2026 subió el coste unitario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150 países y gasto de marketing de 3.139 M EUR en Consumer; solo un puñado de rivales lo iguala [1].</w:t>
            </w:r>
          </w:p>
        </w:tc>
      </w:tr>
    </w:tbl>
    <w:p>
      <w:pPr>
        <w:spacing w:after="160" w:before="0"/>
      </w:pPr>
    </w:p>
    <w:p>
      <w:pPr>
        <w:pStyle w:val="Heading2"/>
      </w:pPr>
      <w:r>
        <w:t xml:space="preserve">Amenazas</w:t>
      </w:r>
    </w:p>
    <w:p>
      <w:pPr>
        <w:spacing w:after="100"/>
      </w:pPr>
      <w:r>
        <w:t xml:space="preserve">Tres amenazas, de más a menos probable. (1) Pérdida estructural de cuota de NIVEA frente a la marca blanca y las marcas locales en el segmento medio: alta probabilidad; es lo que muestran 2025 (volumen negativo) y 2026 (−6,8 %) [1, 5]. (2) Que la competencia en dermocosmética (CeraVe, La Roche-Posay) frene a Eucerin en EE. UU. y China, donde hoy crece más del 40 % y el 60 %: media [6]. (3) Que el lujo chino no vuelva a los aeropuertos y La Prairie siga en declive: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6,6 %</w:t>
      </w:r>
      <w:r>
        <w:t xml:space="preserve">, EBITDA </w:t>
      </w:r>
      <w:r>
        <w:rPr>
          <w:b/>
          <w:bCs/>
        </w:rPr>
        <w:t xml:space="preserve">7,8 %</w:t>
      </w:r>
      <w:r>
        <w:t xml:space="preserve">, BPA </w:t>
      </w:r>
      <w:r>
        <w:rPr>
          <w:b/>
          <w:bCs/>
        </w:rPr>
        <w:t xml:space="preserve">10,9 %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De 2021 a 2025 las ventas pasaron de 7.627 a 9.852 M EUR (TCAC del 6,6 %), casi todo orgánico: +9,7 %, +10,2 %, +10,8 %, +6,5 % y +2,4 % [1]. La única compra relevante fue Chantecaille en 2022 (553 M EUR) [4]. El margen EBIT sin factores especiales subió del 13,0 % de 2021 al 14,0 % de 2025, con un margen bruto que bajó en 2025 (57,7 % frente al 58,5 %) y se compensó con eficiencia en gastos generales [1]. 2026 rompe la serie: en el primer semestre las ventas caen un 3,5 % orgánico (NIVEA −6,8 %, Derma +7,8 %, La Prairie −6,9 %, tesa −0,9 %) y el margen bruto del grupo baja 110 pb, al 58,3 %, por materias primas, menor uso de fábricas y divisa [5, 6]. La dirección guía para el año un margen EBIT sin especiales de al menos el 11,8 % (14,0 % en 2025) porque invierte 100 M EUR más en marketing en el segundo semestre [6].</w:t>
      </w:r>
    </w:p>
    <w:p>
      <w:pPr>
        <w:pStyle w:val="Heading2"/>
      </w:pPr>
      <w:r>
        <w:t xml:space="preserve">Ajustes y partidas no recurrentes</w:t>
      </w:r>
    </w:p>
    <w:p>
      <w:pPr>
        <w:spacing w:after="100"/>
      </w:pPr>
      <w:r>
        <w:t xml:space="preserve">Usamos las cifras publicadas. La empresa da además el EBIT «sin factores especiales» (reestructuraciones, litigios, deterioros): la diferencia en el EBITDA fue de 60 M EUR en 2021, 66 M en 2022, 163 M en 2023, 76 M en 2024 y 58 M en 2025 [1]. Como aparecen todos los años no se tratan como no recurrentes. La excepción es 2023, con un deterioro de 160 M EUR del fondo de comercio de Chantecaille dentro de las amortizaciones (BPA 3,24 publicado frente a 3,80 sin especiales) [3]; en 2025 hubo otro deterioro de 38 M EUR de Chantecaille [1]. El flujo de caja libre que publica cambió de definición en el semestre de 2026 (flujo operativo menos inversión)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(resultados de 2025) la dirección guió 2026 con ventas planas o algo al alza y un margen algo inferior, y anunció una recompra de hasta 750 M EUR en dos años [8]; el primer trimestre cayó un 4,6 % orgánico (NIVEA −7,0 %, Derma +8,2 %, La Prairie −14,9 %) y aun así confirmó la guía [7]. El 3 de agosto la rebajó: el negocio de consumo caerá en ventas «en el rango bajo de un dígito» y su margen EBIT sin especiales será de al menos el 11,0 % (13,6 % en 2025); el grupo, al menos el 11,8 % [5, 6]. El consejero delegado atribuye la caída de NIVEA a conflictos con distribuidores en Europa, la temporada solar y el desalmacenamiento, pero admite que el «portafolio central» no crece y que la demanda final crece por debajo del mercado; abre un plan de 18 meses con más inversión en precios accesibles y 100 M EUR más de marketing en el segundo semestre [6]. Promete volver a crecer en 2027 con el margen estabilizado y, desde 2028, crecer por encima del mercado con mejora gradual del margen y un flujo libre de al menos el 50 % del EBITDA [6]. Lo que no cuantificó: el margen objetivo a medio plazo, cuánto del descenso de NIVEA es pérdida de cuota y qué parte de los 100 M EUR será recurrente. Los analistas preguntaron por el riesgo de nuevas rebajas y por si la tesis de Derma compensa; la respuesta fue la hoja de ruta de 2027-2028, sin cifras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Chantecaille (cosmética selectiva, EE. UU.) consolidada desde el 1-feb-2022 por 553 M EUR, con 452 M de fondo de comercio [4]; S-Biomedic (92,5 %) en diciembre.).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Beiersdorf no tiene deuda financiera relevante: 23 M EUR de préstamos y 194 M de arrendamientos a cierre de 2025, frente a 4.305 M de efectivo y valores [1]. La caja neta bajó desde 5.066 M en 2021 por la compra de Chantecaille (2022) y las recompras de 501 M en 2024 y 2025 [1, 4]. El circulante comercial (existencias + clientes − proveedores) pasó del 6,1 % de las ventas en 2021 al 10,5 % en 2025, por el aumento de clientes (1.910 M) y unos proveedores que no crecen al mismo ritmo [1]. En junio de 2026 los clientes subieron a 2.432 M por la estacionalidad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1.928</w:t>
      </w:r>
      <w:r>
        <w:t xml:space="preserve">, conversión </w:t>
      </w:r>
      <w:r>
        <w:rPr>
          <w:b/>
          <w:bCs/>
        </w:rPr>
        <w:t xml:space="preserve">48 %</w:t>
      </w:r>
      <w:r>
        <w:t xml:space="preserve"> del beneficio neto; adquisiciones 660, dividendos 1.003, recompras 1.002.</w:t>
      </w:r>
    </w:p>
    <w:p>
      <w:pPr>
        <w:spacing w:after="100"/>
      </w:pPr>
      <w:r>
        <w:t xml:space="preserve">La conversión en caja es irregular: el flujo operativo fue de 993, 797, 941, 1.231 y 785 M EUR de 2021 a 2025 [1, 3, 4]. 2022 y 2025 llevan una salida de circulante (existencias en 2022, −395 M; clientes y proveedores en 2025, −290 M) y en 2025 los impuestos pagados (477 M) superaron al gasto (393 M) [1]. La inversión fue alta en 2022-2023 (548 y 517 M, 6,2 % y 5,5 % de las ventas) por fábricas en Leipzig, Polonia, México y Brasil, y el centro de distribución de Leipzig; en 2025 bajó al 4,7 % [1]. La dirección promete llevar el flujo libre a al menos el 50 % del EBITDA a medio plazo, frente al 20 % de 2025 con la definición nueva (785 − 463 = 322 M) [6]. Estimación propia: el capex de mantenimiento es del orden de la amortización (≈3,3-3,6 % de las ventas); el resto es capacidad.</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WPG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Los tres indicadores del motor dan bien: Altman Z de 4,94 (zona segura, con caja neta), Piotroski F de 7 sobre 9 y Beneish M de −2,38, por debajo del umbral de manipulación (−1,78). No capitaliza I+D (365 M EUR en gasto, el 3,7 % de las ventas) [1]. Los «factores especiales» aparecen todos los años (58-163 M EUR en el EBITDA) y por eso usamos las cifras publicadas; el BPA sin especiales (4,44 EUR en 2025) supera al publicado (4,25) en un 4 % [1]. Lo que merece atención: los deterioros de Chantecaille (160 M en 2023, 38 M en 2025) muestran que la única compra grande de la etapa Warnery no ha funcionado [1, 3]; el cambio de auditor (PwC desde 2024, antes EY) es rotación obligatoria; y el flujo libre de 2025 (322 M con la definición nueva) quedó lejos del beneficio (939 M) por circulante e impuestos pagados, algo que el 1S26 empezó a corregir (199 M frente a −71 M)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Chantecaille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por 553 M EUR en 2022; deterioro de 160 M en 2023 y de 38 M en 2025 [1, 3]. La compra no ha cumplido el plan.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Factores especiales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 y 163 M EUR en el EBITDA de 2021-2025 [1]; se usan las cifras publicadas.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definición del flujo libre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flujo libre del 1S25 pasó de 501 M a −71 M con la nueva definición, que ya no suma la venta neta de valores [5]. La nueva es la estándar.</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10,9 % · </w:t>
      </w:r>
      <w:r>
        <w:rPr>
          <w:b/>
          <w:bCs/>
        </w:rPr>
        <w:t xml:space="preserve">WACC</w:t>
      </w:r>
      <w:r>
        <w:t xml:space="preserve">: 7,6 %.</w:t>
      </w:r>
    </w:p>
    <w:p>
      <w:pPr>
        <w:spacing w:after="100"/>
      </w:pPr>
      <w:r>
        <w:t xml:space="preserve">Beiersdorf crea valor: ROIC del 22,1 % en 2025 frente a un WACC del 7,60 %, 14,5 puntos por encima [1]. El capital invertido excluye la caja y los valores (4.305 M EUR), que en el balance publicado deprimen el ROE al 10,9 %. El ROIC ha bajado desde el 36,9 % de 2021 porque el capital invertido pasó de 1.828 a 4.229 M: Chantecaille (553 M en 2022), fábricas y centro de distribución (capex del 5,5-6,2 % de las ventas en 2022-2023) y un circulante que subió del 6 % al 10,5 % de las ventas [1, 4]. Lo mueve sobre todo la rotación, no el margen. El ROIC incremental histórico es del 10,9 %: el crecimiento de 2021-2025 rindió por encima del coste de capital, pero mucho menos que la base. Frente a los rivales, está por encima de L’Oréal (18 %) y Unilever (15,9 %) [27], en parte porque apenas tiene fondo de comercio (516 M EUR).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neta de 4.045 M EUR a 30-jun-2026: efectivo 1.282 M + valores a corto 1.435 M + valores a largo 1.566 M, menos préstamos a corto y arrendamientos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emitidos)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provisión de 145 M EUR a 30-jun-2026 (163 M a cierre de 2025), cubierta en Alemania por TROMA y Metzler Trust [1, 5]. Provisiones no corrientes de 123 M y corrientes de 513 M (sobre todo personal, ventas y litigios) [5]. Litigio por la construcción de una planta en México en 2015, con 9 M EUR de factor especial en 2025 [5]. Sin covenants relevantes ni factoring declarado. La autocartera (23,0 M de acciones a 30-jun-2026) se excluye de las acciones en circulación [5].</w:t>
      </w:r>
    </w:p>
    <w:p>
      <w:pPr>
        <w:pStyle w:val="Heading1"/>
      </w:pPr>
      <w:r>
        <w:t xml:space="preserve">12. Asignación de capital</w:t>
      </w:r>
    </w:p>
    <w:p>
      <w:pPr>
        <w:pStyle w:val="Confianza"/>
        <w:spacing w:after="100"/>
      </w:pPr>
      <w:r>
        <w:t xml:space="preserve">Confianza: Alta</w:t>
      </w:r>
    </w:p>
    <w:p>
      <w:pPr>
        <w:spacing w:after="100"/>
      </w:pPr>
      <w:r>
        <w:t xml:space="preserve">Dividendo fijo por acción: 0,70 EUR de 2016 a 2022 y 1,00 EUR desde 2023, propuesto también para 2025 (219 M EUR) [1]. Recompras: 501 M EUR en 2024 y otros 501 M en 2025, con amortización de las acciones; en marzo de 2026 anunció otro programa de hasta 750 M EUR en dos años, iniciado el 6-may-2026 (32 M EUR comprados hasta el 30-jun) [5, 8]. La dirección dice que la compra de empresas sigue siendo un uso prioritario de la caja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Coppertone (protección solar,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debajo del año anterior en 2025 y en el 1S26; es uno de los lastres citados en Norteamérica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Chantecaille (cosmética selectiva)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160 M EUR (2023) y 38 M (2025): un tercio del precio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S-Biomedic (microbioma,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para Derma; sin cifras separadas [4].</w:t>
            </w:r>
          </w:p>
        </w:tc>
      </w:tr>
    </w:tbl>
    <w:p>
      <w:pPr>
        <w:spacing w:after="160" w:before="0"/>
      </w:pPr>
    </w:p>
    <w:p>
      <w:pPr>
        <w:spacing w:after="100"/>
      </w:pPr>
      <w:r>
        <w:t xml:space="preserve">Asignación prudente pero poco rentable para el accionista hasta 2024: mantuvo más de 5.000 M EUR en bonos durante años y un dividendo de solo el 20-25 % del beneficio [1]. Desde 2024 devuelve más: 1.002 M en recompras en dos años y otros 750 M anunciados para 2026-2028, que reducen las acciones un 4 % y otro ≈4 % [1, 5]. La compra más grande (Chantecaille, 553 M) ha perdido un tercio de su valor en deterioros [3]. El ROIC incremental del 10,9 % confirma que el capital nuevo rinde por encima de su coste, pero lejos del 22 % de la base. La dirección mantiene las compras como prioridad: es el riesgo de asignación que más pesa, porque el historial reciente no es bueno.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Vincent Warnery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2017 (Derma) y consejero delegado desde mayo de 2021; antes Sanofi y P&amp;G [1, 20]. Con él las ventas pasaron de 7.627 a 9.852 M EUR y Derma se duplicó, pero NIVEA lleva dos años sin crecer en volumen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Astrid Hermann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tesa)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finanzas, jurídico, tecnología y de la participación en tesa SE; consejera de Stora Enso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Grita Loebsack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 NIVEA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marca NIVEA, marketing digital y China/Corea; dirige el plan de 18 meses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Oswald Barckhahn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 Europa, EE. UU. y Lujo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Europa, EE. UU. y Canadá, La Prairie y Chantecaille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Reinhard Pöllath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(P+P Pöllath + Partners), de la confianza del accionista de control; ya superó la edad límite ordinaria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y de Consumer del 4-6 % (confirmada en abril)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 orgánico; guía rebajada en octubre al ≈2,5 % en Consumer; margen de Consumer +20 pb como se prometió (13,6 %)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planas o algo al alza y margen algo inferior (marzo)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el 3-ago-2026: caída orgánica baja de un dígito y margen EBIT ≥ 11,8 %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grupo en la parte alta de un dígito medio, mejorada en abril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 orgánico y margen sin especiales del 13,9 %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desde 2021, con un consejero delegado que viene de Derma, el negocio que funciona. Su credibilidad ha caído: dos guías anuales seguidas no se cumplieron (2025 rebajada en octubre; 2026 rebajada en agosto tras ser confirmada en abril) [5, 9, 18]. El variable de 2025 lo refleja: bonus del 81 % del objetivo y 0 % de cumplimiento en la meta de superar al mercado de NIVEA [1]. No hay plan de sucesión público; en mayo de 2026 Warnery entró en el consejo de LEGO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Reinhard Pöllath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Nombramientos, Mediación, 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Pflanz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(director financiero de maxingvest)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 Personal (preside), Auditoría, 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Wolfgang Herz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(accionista de control)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Uta Kemmerich-Keil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 Finanzas, Nombramientos,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Donya-Florence Amer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 y Tecnología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Chow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Wentzel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Olaf Papier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 Mediación,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Koltze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(sindicato IG BCE)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Hilde Cambier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(trabajadores, tesa)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Doris Robben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(trabajadores, tesa)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Digital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Kirstin Weiland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(trabajadores, tesa)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maxingvest / BBG (familia Herz)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128,99 M de votos notificados en 2023 (51,19 % de 252 M); con las amortizaciones de 2024-2026 el capital emitido baja a 241 M; compró 0,48 M de acciones más en marzo de 2026 [5, 16,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 M de acciones a 30-jun-2026; recompra de hasta 750 M EUR en curso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100 − 53,5 − 9,55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BBG Holding GmbH &amp; Co. KG (vinculada a Wolfgang Herz)</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BBG Holding GmbH &amp; Co. KG (vinculada a Wolfgang Herz)</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241.993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Sistema de 2025: fijo de 2,0 M EUR para el consejero delegado, bonus anual con objetivo de 0,5 M (máximo el doble) y plan a largo plazo (LTP 2025-2028) con objetivo de 3,6 M y tope de 7,2 M; remuneración máxima de 12 M al año [1]. Las métricas son crecimiento de ventas, superación del mercado de cuidado de la piel por NIVEA (40 %) y objetivos de sostenibilidad y organización; no hay ninguna de rentabilidad sobre el capital ni de flujo de caja [1]. En 2025 cobró 2,41 M (bonus al 81,3 %) frente a 13,19 M en 2024, cuando se liquidó el LTP 2021-2024 (10,9 M) [1]. Hay cláusula de recuperación (clawback) según el código alemán. La junta de 2026 aprobó el informe de remuneraciones; no se ha encontrado el porcentaje de votos [19].</w:t>
      </w:r>
    </w:p>
    <w:p>
      <w:pPr>
        <w:pStyle w:val="Heading2"/>
      </w:pPr>
      <w:r>
        <w:t xml:space="preserve">Operaciones vinculadas, estructura de control y defensas</w:t>
      </w:r>
    </w:p>
    <w:p>
      <w:pPr>
        <w:spacing w:after="100"/>
      </w:pPr>
      <w:r>
        <w:t xml:space="preserve">La familia Herz controla Beiersdorf a través de maxingvest (Tchibo) y BBG: más del 50 % de los votos, y con la autocartera sin voto más del 59 % de los votos presentes [5, 17]. El presidente del consejo de supervisión (Pöllath) y el vicepresidente (Pflanz, director financiero de maxingvest) son de su confianza, y Wolfgang Herz se sienta en el consejo [1]. Una acción, un voto, sin blindajes estatutarios. Las operaciones vinculadas con Tchibo (servicios informáticos) son menores [1]. Para el minoritario, el accionista de control ha sido históricamente conservador (caja neta, dividendo bajo) y en marzo de 2026 compró 40 M EUR de acciones a 82-84 EUR [16]: alinea intereses, pero también descarta una OPA de terceros.</w:t>
      </w:r>
    </w:p>
    <w:p>
      <w:pPr>
        <w:pStyle w:val="Heading2"/>
      </w:pPr>
      <w:r>
        <w:t xml:space="preserve">Señales de alerta</w:t>
      </w:r>
    </w:p>
    <w:p>
      <w:pPr>
        <w:pStyle w:val="ListParagraph"/>
        <w:numPr>
          <w:ilvl w:val="0"/>
          <w:numId w:val="2"/>
        </w:numPr>
        <w:spacing w:after="60"/>
      </w:pPr>
      <w:r>
        <w:t xml:space="preserve">Dos rebajas de guía en 12 meses (oct-2025 y ago-2026) [5, 9].</w:t>
      </w:r>
    </w:p>
    <w:p>
      <w:pPr>
        <w:pStyle w:val="ListParagraph"/>
        <w:numPr>
          <w:ilvl w:val="0"/>
          <w:numId w:val="2"/>
        </w:numPr>
        <w:spacing w:after="60"/>
      </w:pPr>
      <w:r>
        <w:t xml:space="preserve">El presidente supera la edad límite ordinaria del código; la comisión de auditoría no tiene mayoría de independientes (2 de 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rebajada el 3-ago-2026: Consumer con caída orgánica de ventas en el rango bajo de un dígito y margen EBIT sin especiales de al menos el 11,0 % (13,6 % en 2025); tesa plano o algo al alza con margen algo inferior al 16,1 %; grupo con caída baja de un dígito y margen de al menos el 11,8 % [5]. A medio plazo: volver a crecer en ventas en 2027 con el margen estabilizado, y desde 2028 crecer por encima del mercado con mejora gradual del margen y flujo libre ≥ 50 % del EBITDA [5]. Próxima cita: ventas de nueve meses el 27-oct-2026.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finanzen.net, 20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finanzen.net, 20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67,00 – 95,00</w:t>
            </w:r>
          </w:p>
        </w:tc>
      </w:tr>
    </w:tbl>
    <w:p>
      <w:pPr>
        <w:spacing w:after="160" w:before="0"/>
      </w:pPr>
    </w:p>
    <w:p>
      <w:pPr>
        <w:pStyle w:val="Heading2"/>
      </w:pPr>
      <w:r>
        <w:t xml:space="preserve">Revisiones de estimaciones</w:t>
      </w:r>
    </w:p>
    <w:p>
      <w:pPr>
        <w:spacing w:after="100"/>
      </w:pPr>
      <w:r>
        <w:t xml:space="preserve">Fuerte recorte en 2026: tras la guía de marzo la acción cayó un 20 % en una sesión y tras la rebaja de agosto Bernstein estimó un recorte del consenso de beneficio de en torno al 15 % [28, 29]. El BPA de 2026 de consenso (3,76 EUR; Yahoo 3,79) queda un 11 % por debajo de los 4,25 de 2025 [22, 23]. El objetivo medio ha bajado a 79,90 EUR (finanzen.net) y 81,05 (Yahoo, 19 analistas, recomendación media «mantener») [22, 23]; según la empresa, más de la mitad de los 20 analistas tenía «mantener» a finales de junio [5]. Solo una fuente con estimaciones completas a tres años (finanzen.net); contrastada con Yahoo en BPA, ventas y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Beiersdorf ha rendido un −11,9 % anual en tres años frente al +18,0 % del índice alemán, y un 0,7 % anual en diez [21]. La caída empezó tras el máximo de 2024 (cierre de 135,70 EUR en 2023) cuando NIVEA dejó de crecer; el 3-mar-2026 cayó un 20,1 % en una sesión por la guía de 2026, tocó 67,08 EUR el 4-jun y rebotó hasta ≈80 antes de perder un 3,5 % con la rebaja del 3 de agosto [21, 28, 29]. La beta es baja (0,45 mensual a cinco años; 0,73 semanal a dos), pero la volatilidad de un año (32,3 %) es la de un valor cíclico por esos saltos [21].</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Beiersdorf cotiza con un descuento del 37 % en EV/EBITDA y del 40 % en PER frente a la media de sus cierres de 2021-2025 (sin 2023, con el deterioro), en el mínimo de la serie. El PER adelantado actual (20,7 veces el BPA de 2027e) queda lejos de la mediana adelantada de cinco años (29,2). Dos cosas han cambiado: el crecimiento (de +10 % orgánico en 2022-2023 a −3,5 % en el 1S26) y los tipos (Bund del 3,51 % frente a cero en 2019-2021) [24]. Parte del descuento es merecido; la pregunta es si la mediana de una época de crecimiento con tipos cero es la referencia correcta, y por eso la regla solo recorre medio camino con un tope del 10 %.</w:t>
      </w:r>
    </w:p>
    <w:p>
      <w:pPr>
        <w:pStyle w:val="Heading1"/>
      </w:pPr>
      <w:r>
        <w:t xml:space="preserve">18. Comparables cotizados</w:t>
      </w:r>
    </w:p>
    <w:p>
      <w:pPr>
        <w:pStyle w:val="Confianza"/>
        <w:spacing w:after="100"/>
      </w:pPr>
      <w:r>
        <w:t xml:space="preserve">Confianza: Media</w:t>
      </w:r>
    </w:p>
    <w:p>
      <w:pPr>
        <w:spacing w:after="100"/>
      </w:pPr>
      <w:r>
        <w:t xml:space="preserve">Grandes de cuidado personal y belleza que compiten con NIVEA, Eucerin y La Prairie: L’Oréal y Unilever (de los informes de este repositorio, llevados al 14-oct con el precio), Colgate-Palmolive, Procter &amp; Gamble, Kenvue, Haleon y Estée Lauder (Yahoo Finance, mismo proveedor para EBITDA de los últimos 12 meses y crecimiento previsto) [23, 27]. El EV/EBITDA de los próximos 12 meses es estimación propia: el de los últimos 12 dividido por el crecimiento de ventas previsto (margen constante). Kenvue cotiza ligada a la oferta de Kimberly-Clark (21,01 USD por acción en el anuncio) [15]: se mantiene pero baja la mediana. Fuera Coty y Puig (perfume) y Shiseido (pérdidas). tesa no tiene comparable cotizado puro.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Colgate-Palmolive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Kenvue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15,0x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15,4x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22,1x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3,5x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11,1 + 0,76 × crecimiento; R² = 0,53. Para el crecimiento esperado de la empresa (1,8 %), el múltiplo ajustado es 12,5x y el valor por acción, 102,30.</w:t>
      </w:r>
    </w:p>
    <w:p>
      <w:pPr>
        <w:spacing w:after="100"/>
      </w:pPr>
      <w:r>
        <w:t xml:space="preserve">Beiersdorf es la más barata del grupo en EV/EBITDA NTM (9,3 veces frente a una mediana de 15,0) porque su valor empresa resta 4.000 M EUR de liquidez neta y porque su margen EBITDA (16,7 %) es el más bajo después de Estée Lauder (mediana 23,7 %). En PER NTM (20,8 veces) está en línea con la mediana (22,1). El PER es el múltiplo que usaríamos: el EV/EBITDA da un valor implícito de 119 EUR que exagera, porque premia la caja dos veces (en el valor empresa y en un múltiplo de empresas apalancadas). La comparación justa es con Unilever (18,8 veces, crecimiento del 3,8 %) y Kenvue (14,7, con la oferta de Kimberly-Clark): una empresa de marca que no crece cotiza por debajo de 20 veces.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Kenvue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Kimberly-Clark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48.700 M USD (≈42.200 M EUR al cambio de entonces); 14,3 veces el EBITDA ajustado LTM, 8,8 con sinergias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pelo profesionales y de masas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Cuidado de la piel y cuerpo de gama alta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nicho de alto crecimiento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nativa de redes sociales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Chantecaille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Beiersdorf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553 M EUR; sin ventas publicadas de la adquirida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 de nicho de alto margen: múltiplo atípico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154,78 – 225,34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del sector se pagan a 12-14 veces el EBITDA en negocios de masas (Kenvue 14,3, Wella 12,3) y a 4-8 veces las ventas en marcas de nicho (Aesop, Byredo, Rhode) [14, 15]. A 14 veces su EBITDA de 2025, Beiersdorf valdría más de 100 EUR por acción con su caja, pero no hay operación posible: la familia Herz controla más del 50 % de los votos y compró acciones en marzo de 2026 [16]. Por eso las transacciones pesan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cerrado en −2,4 % (caída orgánica de ≈2 % según la guía de «rango bajo de un dígito», con −3,5 % en el semestre, y ≈0,4 puntos de divisa) [5]. 2027e +2,5 % (la dirección promete volver a crecer) y 2028e-2029e +4,0 %, el ritmo del mercado de belleza (≈4 %) [11, 12]: supone que NIVEA deja de caer y que Derma (15 % de las ventas) sigue creciendo al 8-10 %, lo que aporta por sí solo 1,2-1,5 puntos. Después converge al 3,0 %. El crecimiento medio (3,4 % en los años no fijos) queda por debajo del 6,6 % de 2021-2025, que llevaba la inflación de precios.</w:t>
      </w:r>
    </w:p>
    <w:p>
      <w:pPr>
        <w:keepNext/>
        <w:spacing w:after="100"/>
      </w:pPr>
      <w:r>
        <w:rPr>
          <w:b/>
          <w:bCs/>
        </w:rPr>
        <w:t xml:space="preserve">Márgenes.</w:t>
      </w:r>
    </w:p>
    <w:p>
      <w:pPr>
        <w:spacing w:after="100"/>
      </w:pPr>
      <w:r>
        <w:t xml:space="preserve">EBITDA publicado del 15,2 % en 2026e: la guía de EBIT sin especiales de al menos el 11,8 % más amortización del 3,5 % menos factores especiales (≈0,3 %) [5]; el consenso da 15,2 % (1.470 sobre 9.646) [22]. Sube al 15,3 % en 2027e («margen estabilizado») y recupera gradualmente hasta el 16,8 % en 2032e, el nivel de 2024-2025 (16,8 % y 16,7 %) [1]. No suponemos volver al 18-19 % del primer semestre: el segundo semestre siempre es más flojo y los 100 M EUR de marketing extra de 2026 serán en parte recurrentes.</w:t>
      </w:r>
    </w:p>
    <w:p>
      <w:pPr>
        <w:keepNext/>
        <w:spacing w:after="100"/>
      </w:pPr>
      <w:r>
        <w:rPr>
          <w:b/>
          <w:bCs/>
        </w:rPr>
        <w:t xml:space="preserve">Inversión y circulante.</w:t>
      </w:r>
    </w:p>
    <w:p>
      <w:pPr>
        <w:spacing w:after="100"/>
      </w:pPr>
      <w:r>
        <w:t xml:space="preserve">Capex del 4,9 % de las ventas en 2026e (180 M en el semestre, más altas de derechos de uso de ≈0,6 % de las ventas), bajando al 4,1 % en 2033e, por encima de la amortización del 3,5 % [5]. Circulante comercial al 10,5 % de las ventas, el de 2025 [1]. Tipo impositivo del 29,5 % (29,2 % en 2025 y en el 1S26) [1, 5].</w:t>
      </w:r>
    </w:p>
    <w:p>
      <w:pPr>
        <w:keepNext/>
        <w:spacing w:after="100"/>
      </w:pPr>
      <w:r>
        <w:rPr>
          <w:b/>
          <w:bCs/>
        </w:rPr>
        <w:t xml:space="preserve">Coste del capital.</w:t>
      </w:r>
    </w:p>
    <w:p>
      <w:pPr>
        <w:spacing w:after="100"/>
      </w:pPr>
      <w:r>
        <w:t xml:space="preserve">Tasa libre: Bund a 10 años del 3,51 % el 14-oct-2026 [24]. Beta de 0,70: la mensual de cinco años es de 0,45 (0,63 ajustada) y la semanal de dos años de 0,73 [21]; tomamos la semanal porque las caídas de 2026 muestran un riesgo propio que la mensual no recoge. Prima de mercado del 5,5 % y 0,3 puntos adicionales por un 30 % de ventas en emergentes. Sin deuda relevante: peso del 1,3 %. WACC del 7,60 %.</w:t>
      </w:r>
    </w:p>
    <w:p>
      <w:pPr>
        <w:keepNext/>
        <w:spacing w:after="100"/>
      </w:pPr>
      <w:r>
        <w:rPr>
          <w:b/>
          <w:bCs/>
        </w:rPr>
        <w:t xml:space="preserve">Valor terminal.</w:t>
      </w:r>
    </w:p>
    <w:p>
      <w:pPr>
        <w:spacing w:after="100"/>
      </w:pPr>
      <w:r>
        <w:t xml:space="preserve">Media de Gordon con crecimiento del 2,5 % (inflación del euro del 2 % más 0,5 real, por debajo de la tasa libre menos medio punto) y de un múltiplo de salida de 13 veces el EBITDA, por debajo de la mediana de comparables (15,0) por su menor margen. El múltiplo implícito de la media es de 10,1 veces; el valor terminal pesa el 75 %.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 M (14 % del NOPAT)</w:t>
            </w:r>
          </w:p>
        </w:tc>
      </w:tr>
    </w:tbl>
    <w:p>
      <w:pPr>
        <w:spacing w:after="160" w:before="0"/>
      </w:pPr>
    </w:p>
    <w:p>
      <w:pPr>
        <w:spacing w:after="100"/>
      </w:pPr>
      <w:r>
        <w:t xml:space="preserve">La proyección apenas necesita inversión neta de la amortización (reinversión acumulada de 1.071 M, el 14 % del NOPAT, con un capex bruto medio del 4,5 % de las ventas). En un negocio de activos ligeros, el crecimiento medio del 2,7 %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caída orgánica baja de un dígito; NIVEA −6,8 % en el semestre con precio casi nulo (10 pb de margen) y Derma +7,8 % [5, 6]. Divisa −1 punto en el semestre.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prometida por la dirección [6]: volumen por precios más accesibles de NIVEA (plan de 18 meses) y Derma; precio del 1,5 %, la mitad del de 2024.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encima del mercado» según la dirección [6]; lo dejamos en el mercado (≈4 %) [11]: volumen del 2,5 % con Derma y Aquaphor en cuerpo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belleza al ≈4 %; algo de mezcla favorable por Derma y La Prairie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del mercado sin ganar cuota [11].</w:t>
            </w:r>
          </w:p>
        </w:tc>
      </w:tr>
    </w:tbl>
    <w:p>
      <w:pPr>
        <w:spacing w:after="160" w:before="0"/>
      </w:pPr>
    </w:p>
    <w:p>
      <w:pPr>
        <w:spacing w:after="100"/>
      </w:pPr>
      <w:r>
        <w:t xml:space="preserve">La proyección no necesita capital: la reinversión acumulada es del 14 % del NOPAT, así que la prueba es el poder de precios y la cuota. En cuota pasa (Consumer se mantiene en ≈2,7 % del mercado de belleza en 2030e: crece al ritmo del mercado, no más) [11, 12]. En poder de precios </w:t>
      </w:r>
      <w:r>
        <w:rPr>
          <w:b/>
        </w:rPr>
        <w:t xml:space="preserve">no está demostrado</w:t>
      </w:r>
      <w:r>
        <w:t xml:space="preserve">: NIVEA creció en 2025 solo por precio con volumen negativo, en el 1S26 el precio aportó 10 pb al margen bruto frente a 100 pb de deterioro y la empresa baja precios para recuperar volumen [1, 6]. El crecimiento de 2027-2028 depende de un plan de 18 meses que aún no ha dado resultados y de una dirección que rebajó dos guías en doce meses. Derma (Thiamidol, Epigenetics) sí demuestra calidad, pero pesa el 15 %. Veredicto </w:t>
      </w:r>
      <w:r>
        <w:rPr>
          <w:b/>
        </w:rPr>
        <w:t xml:space="preserve">En parte</w:t>
      </w:r>
      <w:r>
        <w:t xml:space="preserve">; no rebajamos el base porque ninguna de las tres pruebas falla y el crecimiento medio (3,4 %) ya está por debajo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(base: 16,8 %)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7,6 %)</w:t>
            </w:r>
          </w:p>
        </w:tc>
      </w:tr>
    </w:tbl>
    <w:p>
      <w:pPr>
        <w:spacing w:after="160" w:before="0"/>
      </w:pPr>
    </w:p>
    <w:p>
      <w:pPr>
        <w:spacing w:after="100"/>
      </w:pPr>
      <w:r>
        <w:t xml:space="preserve">El DCF da 103,57 EUR por acción con un WACC del 7,60 %, y el valor terminal pesa el 75 %. Una cuarta parte del valor de las acciones (≈4.000 M EUR, unos 18,5 EUR por acción) es liquidez neta. El DCF inverso dice que el precio de 81,00 EUR descuenta un crecimiento del −2,3 % anual en 2027e-2033e (nuestro base: 3,4 %) o, con nuestras ventas, un margen EBITDA del 13,3 % (base 16,8 %): es decir, que NIVEA no vuelve y el margen de 2026 es el nuevo normal. La rentabilidad implícita en el precio es del 10,7 % anual, frente al 7,60 % de WACC y el 6,7 % que pide el mercado. Es una lectura </w:t>
      </w:r>
      <w:r>
        <w:rPr>
          <w:b/>
        </w:rPr>
        <w:t xml:space="preserve">conservadora</w:t>
      </w:r>
      <w:r>
        <w:t xml:space="preserve"> frente a la historia (crecimiento orgánico del 6,5 % medio en 2021-2025 y margen EBITDA del 16-17 %) y frente al consenso, que espera recuperar el BPA de 2025 hacia 2028 [22]. El riesgo no es de cifras sino de tendencia: si la marca blanca se queda con el medio de gama de NIVEA, el −2,3 % implícito puede ser correcto.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sigue perdiendo volumen frente a la marca blanca en Europa y el plan de 18 meses fracasa (como el de 2025); el margen no pasa del 13-14 % EBITDA y Coppertone y Chantecaille piden más deterioros. Ya pasó en 2025-2026: dos rebajas de guía en doce meses.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se estabiliza en 2027 con precios más accesibles, Derma sigue al 8-10 % y La Prairie vuelve a crecer con China nacional; el margen EBITDA vuelve al 16,8 % de 2024-2025 hacia 2032 y la recompra reduce acciones un 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giro de NIVEA funciona como en Brasil en 2026, Aquaphor en cuerpo triunfa en EE. UU. y la mezcla Derma-lujo sube el margen por encima del de 2024; el mercado vuelve a pagar el múltiplo histórico.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101,64 EUR (+25,5 %).</w:t>
      </w:r>
    </w:p>
    <w:p>
      <w:pPr>
        <w:spacing w:after="100"/>
      </w:pPr>
      <w:r>
        <w:t xml:space="preserve">La asimetría es muy favorable: el alcista gana un 49,7 % y el bajista pierde solo un 3,5 % (asimetría de 14,20), porque la caja neta y una cuenta que ya descuenta poco crecimiento limitan la caída en un DCF. Pero el bajista del DCF es de valor a largo plazo; a 12 meses, el bajista con el múltiplo de la regla (18,2 veces el BPA de 3,66) da 66,61 EUR, un 18 % por debajo del precio, que es el riesgo real si NIVEA sigue cayendo. Compensa a varios años; a un año, depende del 27 de octubre y de 2027.</w:t>
      </w:r>
    </w:p>
    <w:p>
      <w:pPr>
        <w:pStyle w:val="Heading1"/>
      </w:pPr>
      <w:r>
        <w:t xml:space="preserve">22. Suma de partes</w:t>
      </w:r>
    </w:p>
    <w:p>
      <w:pPr>
        <w:pStyle w:val="Confianza"/>
        <w:spacing w:after="100"/>
      </w:pPr>
      <w:r>
        <w:t xml:space="preserve">Confianza: Baja</w:t>
      </w:r>
    </w:p>
    <w:p>
      <w:pPr>
        <w:spacing w:after="100"/>
      </w:pPr>
      <w:r>
        <w:t xml:space="preserve">Consumer a 13 veces su EBITDA de 2027e (estimación propia de 1.215 M EUR) y tesa a 10 veces (345 M), con un 5 % de descuento de conglomerado. Sirve de contraste: tesa vale ≈3.450 M EUR, el 20 % del valor en bolsa, y Consumer a 13 veces queda por debajo de los rivales (15 veces) por el riesgo de NIVEA. Peso bajo (10 %) porque los EBITDA por segmento de 2027e son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del EV/EBITDA NTM de los comparables de cuidado personal ≈15x, con descuento por la caída de NIVEA y un margen por debajo de L’Oréal y P&amp;G.</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Química de especialidad y adhesivos (Henkel, 3M, Avery Dennison) cotizan entre 9 y 12 veces; tesa crece poco y depende de la electrónica china.</w:t>
            </w:r>
          </w:p>
        </w:tc>
      </w:tr>
    </w:tbl>
    <w:p>
      <w:pPr>
        <w:spacing w:after="160" w:before="0"/>
      </w:pPr>
    </w:p>
    <w:p>
      <w:pPr>
        <w:spacing w:after="100"/>
      </w:pPr>
      <w:r>
        <w:rPr>
          <w:b/>
          <w:bCs/>
        </w:rPr>
        <w:t xml:space="preserve">Valor por acción por suma de partes:</w:t>
      </w:r>
      <w:r>
        <w:t xml:space="preserve"> 101,92 (+25,8 %); con ±1x en los múltiplos, 89,35 – 114,50.</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102,65 EUR (+26,7 % sobre 81,00).</w:t>
      </w:r>
    </w:p>
    <w:p>
      <w:pPr>
        <w:spacing w:after="100"/>
      </w:pPr>
      <w:r>
        <w:t xml:space="preserve">DCF 40 %, escenarios 30 %, comparables 20 % y suma de partes 10 %. El DCF es el método más fiable para una empresa sin deuda y de flujos estables; los escenarios recogen la incertidumbre de NIVEA. Los comparables pesan poco porque su EV/EBITDA (119 EUR implícitos) premia dos veces la caja y su PER (86 EUR) depende de una mediana con Kenvue en oferta. Transacciones a cero: la familia Herz descarta una OPA. La dispersión es amplia: de 86 EUR (PER de comparables) a 119 EUR (EV/EBITDA); el valor objetivo de 102,65 queda en el centro, con el precio por debajo de todos los métodos salvo el objetivo de los analistas.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(20.7x) × 1.1 (tope: la mediana de 5 años, 29.2x,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bl>
    <w:p>
      <w:pPr>
        <w:spacing w:after="160" w:before="0"/>
      </w:pPr>
    </w:p>
    <w:p>
      <w:pPr>
        <w:spacing w:after="100"/>
      </w:pPr>
      <w:r>
        <w:rPr>
          <w:b/>
          <w:bCs/>
        </w:rPr>
        <w:t xml:space="preserve">Objetivo a 12 meses (ponderado):</w:t>
      </w:r>
      <w:r>
        <w:t xml:space="preserve"> 100,49 EUR · rentabilidad +25,3 % (base +21,7 %) · señal Comprar.</w:t>
      </w:r>
    </w:p>
    <w:p>
      <w:pPr>
        <w:spacing w:after="100"/>
      </w:pPr>
      <w:r>
        <w:t xml:space="preserve">Para comparar, con la regla v2 (historia al cierre, mismo precio): 17,6x / 20,7x / 26,9x, 15,0 % Mantener; con el tope anterior del base (×1,3, 14-oct mediodía): 31,7 %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(4,28 EUR) está un 1,9 % por encima del consenso (4,20) y el de 2027e (3,92) un 0,5 % por debajo (3,94) [22]: coincidimos en cifras. La diferencia está en el múltiplo: nuestro precio base (97,58 EUR) supera en un 22 % el objetivo medio de los analistas (79,90), que aplican ≈19-20 veces el BPA de 2027, el múltiplo de hoy. La regla supone medio camino de vuelta hacia la historia (22,8 veces, con el tope del 10 %); si la historia de crecimiento no vuelve, el múltiplo de los analistas es el correcto y la rentabilidad baja al 15,0 % de la v2.</w:t>
      </w:r>
    </w:p>
    <w:p>
      <w:pPr>
        <w:keepNext/>
        <w:spacing w:after="100"/>
      </w:pPr>
      <w:r>
        <w:rPr>
          <w:b/>
          <w:bCs/>
        </w:rPr>
        <w:t xml:space="preserve">Del valor intrínseco al objetivo a 12 meses.</w:t>
      </w:r>
    </w:p>
    <w:p>
      <w:pPr>
        <w:spacing w:after="100"/>
      </w:pPr>
      <w:r>
        <w:t xml:space="preserve">El objetivo a 12 meses (100,49 EUR) y el valor intrínseco (102,65) casi coinciden: aquí no hay una tesis a varios años, sino una pregunta a un año, si el mercado vuelve a pagar algo más que el múltiplo de hoy. Para cerrar la distancia hace falta que los resultados del 27 de octubre no traigan otra rebaja y que la guía de 2027 (en marzo de 2027) confirme la vuelta al crecimiento. La recompra (≈375 M EUR al año) añade un 2 % anual al BPA.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plan de NIVEA; riesgo de otra rebaja o de confirmar la guía de ≥ 11,8 %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(principios)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la vuelta al crecimiento con margen estable, el mercado puede volver a pagar más de 20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 a 2028-05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 menos de acciones; soporte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1,00 EUR (1,2 %)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(segundo semestre)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plan de 18 meses de NIVEA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NIVEA positivo o no; decide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Kenvue por Kimberly-Clark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rival en EE. UU. con más escala en cuidado personal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cuota de NIVEA frente a la marca blanca y las marcas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(escenario bajista de 12 meses: 66,61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más accesibles, 100 M EUR más de marketing, localización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NIVEA negativo en el 3T26 y el 4T26; ventas de NIVEA por debajo de 5.300 M EUR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se recupera (precios bajos de NIVEA, materias primas,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por cada 1,5 puntos de margen EBITDA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en cadena de suministro y gastos generales; mezcla Derma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sin especiales de 2027 por debajo del 11,8 %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tercera rebaja de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(el mercado ya castigó un 20 % en marzo)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ya rebajada a «al menos 11,8 %»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guía el 27-oct-2026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Prairie y el lujo en China (aeropuertos)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nacional crece; nueva línea más accesible (Swiss Pristine)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Prairie con caída orgánica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tesa: electrónica china y escasez de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fuera de electrónica crece; automóvil eléctrico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tesa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(prioridad declarada de la caja) tras Chantecaille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paga 20 veces el EBITDA por 2.000 M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curso; la familia ha sido prudente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por encima de 1.000 M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agentes de compra y buscadores conversacionales que comparan ingredientes y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es físico y de bajo importe; Derma tiene ciencia propia y recomendación médica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comercio electrónico dirigido por agentes; caída del gasto de marca en marcas de masas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Conflictos de precio con la gran distribución europea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anuales; marca imprescindible en el lineal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Retiradas de NIVEA en cadenas de Alemania o Francia</w:t>
            </w:r>
          </w:p>
        </w:tc>
      </w:tr>
    </w:tbl>
    <w:p>
      <w:pPr>
        <w:spacing w:after="160" w:before="0"/>
      </w:pPr>
    </w:p>
    <w:p>
      <w:pPr>
        <w:pStyle w:val="Heading2"/>
      </w:pPr>
      <w:r>
        <w:t xml:space="preserve">Pre-mortem</w:t>
      </w:r>
    </w:p>
    <w:p>
      <w:pPr>
        <w:spacing w:after="100"/>
      </w:pPr>
      <w:r>
        <w:t xml:space="preserve">Octubre de 2029: la acción cotiza a 49 EUR, un 40 % menos. Lo que pasó: el plan de 18 meses bajó los precios de NIVEA pero no recuperó volumen; la marca blanca de dm, Lidl y Carrefour copió las fórmulas «accesibles» en meses y el consumidor joven siguió en marcas de redes sociales. NIVEA cayó un 3-4 % al año en 2027 y 2028, y como pesa el 56 % de las ventas, el grupo no volvió a crecer pese a Derma. El margen EBIT se quedó en el 11-12 % porque los 100 M EUR de marketing se hicieron permanentes. La dirección, presionada, compró una marca de dermocosmética a 25 veces el EBITDA con 2.500 M de la caja, y el mercado pasó a valorar Beiersdorf como Unilever o Kenvue: 15-16 veces el beneficio. El PER bajó de 21 a 15 y el BPA de 4,25 a 3,40. Los indicadores que lo anticipaban: volumen de NIVEA negativo en el 3T y 4T de 2026, una guía de 2027 sin crecimiento y la cuota de la marca blanca en cuidado corporal en Europa por encima del 25 %.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(1) coste del plástico y de los materiales reciclados (envases), que sube con el petróleo y con el reglamento europeo de envases; (2) emisiones de alcance 3 de materias primas (aceite de palma, derivados del petróleo), con objetivos validados por SBTi [1]; (3) seguridad de producto y filtros solares, que pueden obligar a reformular. Beiersdorf publica su estado no financiero conforme a la directiva europea (ESRS) con verificación limitada de PwC [1].</w:t>
      </w:r>
    </w:p>
    <w:p>
      <w:pPr>
        <w:pStyle w:val="Heading2"/>
      </w:pPr>
      <w:r>
        <w:t xml:space="preserve">Controversias</w:t>
      </w:r>
    </w:p>
    <w:p>
      <w:pPr>
        <w:spacing w:after="100"/>
      </w:pPr>
      <w:r>
        <w:t xml:space="preserve">No se han encontrado sanciones relevantes en los tres últimos años. El único litigio que aparece en las cuentas es el de la construcción de una planta en México en 2015 (9 M EUR de factor especial en el 1S25)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2026 es pérdida de cuota en el consumidor final (sell-out) y cuánto desalmacenamiento y conflictos con distribuidores?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cuota, el bajista es el escenario central.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 M EUR de marketing extra del 2S26 será recurrente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EBITDA de 2027 es el 15 % o el 16 %.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rebaja media de precio supone el reposicionamiento «accesible» de NIVEA y cuánto margen bruto cuesta?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y precio son la mitad de nuestro puente de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contempla la «prioridad de crecimiento inorgánico»?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Chantecaille perdió un tercio de su valor; 4.000 M EUR de caja en juego.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crece Eucerin en EE. UU. y China sin las innovaciones de 2025 (Thiamidol, Epigenetics) y qué cuota tiene en anti-manchas?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 es el único motor demostrado.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separar o vender tesa?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 ≈3.450 M EUR, el 20 % de la capitalización; sería un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llega al 50 % de conversión de EBITDA en caja libre desde el 20 %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valor de la caja futura y la capacidad de recompra.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transcripciones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a la mitad, algún autor pasa a «compra prudente» por valoración y caja neta; las listas cuantitativas la sitúan entre los valores de consumo con peor momento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de consenso recorta el valor razonable de ≈86 a ≈82 EUR tras las dos rebajas y la vuelta de NIVEA a 2028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(portal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se convierte en caso de saneamiento»: se discute si la marca ha perdido su lugar frente a la marca blanca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goldesel.de y boerse-express.com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Lectura de que la rebaja muestra un problema de rentabilidad, no puntual; a la vez, quien defiende el valor señala tesa y Derma y las compras de la familia Herz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NIVEA frente a la marca blanca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volumen negativo en 2025 y −6,8 % en 1S26; la empresa baja precios y mezcla para recuperarlo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diez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en múltiplo histórico (PER adelantado de ≈21 frente a una mediana de ≈29), pero el beneficio de 2026 baja un 12 % y la mediana es de una época de crecimiento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 (Eucerin, Aquaphor)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al 7-12 %, pero pesa el 15 % de las ventas: no compensa sola la caída de NIVEA, que pesa el 56 %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Confianza en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guías incumplidas en doce meses; el accionista de control compró 40 M EUR en marzo, lo que algunos leen como apoyo.</w:t>
            </w:r>
          </w:p>
        </w:tc>
      </w:tr>
    </w:tbl>
    <w:p>
      <w:pPr>
        <w:spacing w:after="160" w:before="0"/>
      </w:pPr>
    </w:p>
    <w:p>
      <w:pPr>
        <w:spacing w:after="100"/>
      </w:pPr>
      <w:r>
        <w:t xml:space="preserve">El sentimiento particular es negativo y va con el de los analistas (recomendación media «mantener», objetivo ≈80 EUR, igual al precio). No es capitulación: tras el suelo de 67 EUR en junio la acción ha rebotado un 20 %. Lo que aporta: el riesgo que más pesa en la conversación (pérdida estructural de NIVEA frente a la marca blanca) es el mismo que el informe pone primero; nadie discute la caja neta ni tesa. No contradice al consenso ni anticipa un catalizador distinto de los resultados del 27 de octubre. Las fuentes de foros abiertas son pocas (Reddit y los foros alemanes no abren sin navegador), por eso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35 (13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10,5 %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15,0 %: para comprar o ampliar hace falta motivo de negocio propio; para mantener basta la vigente. Explicación: La v2 da 15,0 % ponderada y 10,6 % de base: no pasa el 12 % de base. La acción robusta es Mantener; por eso la recomendación del informe es Mantener y no Comprar (ver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10,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29 del informe anual 2025: solo préstamos a corto (23 M EUR); 2) informe semestral 2026: sin calendario; 3) no hay bonos ni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deuda es irrelevante (23 M EUR de préstamos)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publican el consenso; 2) prensa (Börsen-Zeitung, cash.ch) solo para el 1S26; 3) sin consenso semestral gratuito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1S26 (rebaja de la guía: inferior)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publica las notas de MSCI ni Sustainalytics; 2) web de sostenibilidad (descargas): sin calificaciones con fecha; 3) búsqueda web: solo agregadores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junta de 2026 (resultados de votación no descargados: página sin PDF accesible); 2) prensa (Yahoo, Börsen-Zeitung): solo «todas aprobadas»; 3) informe anual 2025: no da el resultado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Bundesanzeiger (Netto-Leerverkaufspositionen ≥ 0,5 %): consulta con JavaScript; 2) agregadores (shortsell.nl, Fintel): sin fecha fiable;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finanzen.net: sección vacía; 2) Yahoo: solo la media («hold»); 3) informe semestral de la empresa: «más de la mitad, mantener»,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desglose; se da el número de analistas y los objetivos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 balance, flujos, segmentos, notas 29-31,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https://www.beiersdorf.com/~/media/Beiersdorf/investors/financial-publication/2026/annual-report/Beiersdorf-2025-Annual-Report.pdf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(pasivos financieros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https://www.beiersdorf.com/~/media/Beiersdorf/investors/financial-publication/2025/annual-report/Beiersdorf-Annual-Report-2024.pdf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(cuentas 2022-2023, deterioro de Chantecaille)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https://www.beiersdorf.com/~/media/Beiersdorf/investors/financial-publication/2024/annual-report-2023/Beiersdorf-annual-report-2023-en.pdf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(cuentas 2021-2022, compra de Chantecaille)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https://www.beiersdorf.com/~/media/Beiersdorf/investors/financial-publication/2023/annual-report-2022/Beiersdorf-Annual-Report-2022-final.pdf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(cuenta, balance, flujos y segmentos a 30-jun-2026; guía rebajada)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https://www.beiersdorf.com/~/media/Beiersdorf/investors/financial-publication/2026/half-year-report-2026/Beiersdorf-Half-Year-Report-2026.pdf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Conference Call H1 Results 2026 – Speech (Warnery, Hermann)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https://www.beiersdorf.com/~/media/Beiersdorf/investors/financial-publication/2026/half-year-report-2026/Beiersdorf-h1-2026-speech.pdf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delivers Q1 2026 in line with expectations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https://www.beiersdorf.com/~/media/Beiersdorf/investors/financial-publication/2026/quarterly-statement-jan-march-2026/Beiersdorf-delivers-q1-2026-in-line-with-expectations.pdf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 – Speech (guía 2026 y recompra de hasta 750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https://www.beiersdorf.com/~/media/Beiersdorf/investors/financial-publication/2026/annual-report/Beiersdorf-Speech-2026-new.pdf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delivers 9M 2025 results in line with expectations (guía 2025 ajustada)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https://www.beiersdorf.com/~/media/Beiersdorf/newsroom/press-releases/2025/2025-10-23-beiersdorf-delivers-9M-2025-results-in-line-with-expectations/Beiersdorf-delivers-9M-2025-results-in-line-with-expectations.pdf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(primer semestre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https://www.beiersdorf.com/~/media/Beiersdorf/investors/financial-publication/2025/half-year-report-2025/Beiersdorf-Half-Year-Report-2025.pdf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«Higiene personal y cosmética de gran consumo»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2025 Universal Registration Document, 1.2 Beauty market (≈300.000 M EUR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ingresos, EBITDA y márgenes de los últimos 12 meses de Colgate, P&amp;G, Kenvue, Haleon y Estée Lauder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https://finance.yahoo.com/quote/CL/key-statistics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L’Oréal y Unilever de este repositorio (cifras de 2025 de sus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informes/loreal-2026-10-14/datos-v2.json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Kimberly-Clark to acquire Kenvue (valor empresa 48.700 M USD, 14,3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Kirkland &amp; Ellis / Kimberly-Clark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https://www.kirkland.com/news/press-release/2025/10/kirkland-advises-kimberly-clark-on-487-billion-acquisition-of-kenvue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2026 (compras de BBG Holding, entorno de Wolfgang Herz)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https://www.beiersdorf.com/~/media/Beiersdorf/investors/corporate-governance/directors-dealings/Beiersdorf-Directors-Dealings-2026-en.pdf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Stimmrechtsmitteilungen de la familia Herz y la Max und Ingeburg Herz Stiftung (51,19 % de 252 M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https://www.deraktionaer.de/nachricht/eqs-stimmrechte-beiersdorf-aktiengesellschaft-deutsch-296274.html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Positive start to the year: Beiersdorf confirms full year guidance (guía 2025: +4-6 % orgánico)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https://www.beiersdorf.com/~/media/Beiersdorf/newsroom/press-releases/2025/2025-04-15-positive-start-to-the-year-beiersdorf-confirms-full-year-guidance/Beiersdorf-positive-start-to-the-year-beiersdorf-confirms-full-year-guidance.pdf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AGM: Nivea reset, 750M buyback (todas las propuestas aprobadas, incluido el informe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https://finance.yahoo.com/markets/stocks/articles/beiersdorf-agm-nivea-reset-750m-050844612.html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Vincent Warnery appointed to LEGO Group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Toy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https://globaltoynews.com/2026/05/12/vincent-warnery-appointed-to-lego-group-board-of-directors/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(BEI.DE, EXS1.DE, EXH7.DE), hasta 2026-10-14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https://finance.yahoo.com/quote/BEI.DE/history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Schätzungen (consenso de 2026-2028, 20 analistas; objetivo medio 79,90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https://www.finanzen.net/schaetzungen/beiersdorf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estimaciones, objetivo medio (81,05 EUR, 19 analistas, «hold») y estadísticas de BEI.DE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https://finance.yahoo.com/quote/BEI.DE/analysis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Bundesbank: rendimiento del Bund a 10 años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tipos de cambio de referencia del 14-oct-2026 (USD 1,1195; GBP 0,84385)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L’Oréal y Unilever de este repositorio (múltiplos al 9 y 13-oct-2026, llevados al 14-oct con 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informes/unilever-2026-10-14/datos-v2.json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senkt nach Ergebnisrückgang Jahresprognose – Aktie sinkt (cash.ch / AWP)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https://www.cash.ch/news/beiersdorf-senkt-nach-ergebnisruckgang-jahresprognose-aktie-sinkt-958158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im Fokus: Beiersdorf schwer belastet von schwachem Ausblick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https://extraetf.com/de/news/dpa-afx/aktie-im-fokus-2-beiersdorf-schwer-belastet-von-schwachem-ausblick--1772530951-04050-1772530948691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análisis y transcripciones de Beiersdorf (BDRFY),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https://seekingalpha.com/api/sa/combined/BDRFY.xml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Cutting The Stock In Half Made It A Cautious Buy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https://seekingalpha.com/symbol/BDRFY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 narrativa de Beiersdorf y actualización «14 analysts have reduced their fair value estimate»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https://simplywall.st/community/narratives/de/household/etr-bei/beiersdorf-shares/p9lvoeu7-bei-future-product-rollouts-will-drive-upside-despite-sector-headwinds/updates/14-analysts-have-reduced-their-fair-value-estimate-for-beiersdo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kappt Prognose: Nivea wird zum Sanierungsfall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https://stock3.com/news/beiersdorf-kappt-prognose-nivea-wird-zum-sanierungsfall-17219780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senkt 2026-Prognose wegen NIVEA-Krise: Turnaround ab 2028, Aktie fällt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https://goldesel.de/aktien/news/beiersdorf-senkt-2026-prognose-wegen-nivea-krise-turnaround-ab-2028-aktie-fallt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 Aktie: Tesa im Schatten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https://www.boerse-express.com/news/articles/beiersdorf-aktie-tesa-im-schatten-880117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ordinaria de Xetra (BEI), en EUR como las cuentas. No hay XBRL: Alemania no publica en filings.xbrl.org y la herramienta de cuentas XBRL no encuentra informes; las cuentas se copian a mano de los informes anuales 2021-2025 y del semestral de 2026. «Caja» del balance y del puente = efectivo + valores negociables a corto y largo plazo (bonos líquidos), como la «liquidez neta» de la empresa. El reparto préstamos/arrendamientos de junio de 2026 es estimación propia (la empresa da 238 M EUR juntos). Comparables de Yahoo Finance (EV/EBITDA NTM estimado con el crecimiento previsto) y, para L’Oréal y Unilever, de sus informes de este repositorio llevados al 14-oct con el precio. Consenso de una sola fuente completa (finanzen.net), contrastada con Yahoo. Foros: solo se abren páginas públicas (Reddit y los foros alemanes no).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Beiersdorf Aktiengesellschaft (BEI)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81,00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(67,08 – 110,15)</c:v>
                </c:pt>
                <c:pt idx="1">
                  <c:v>Precio objetivo de los analistas (67,00 – 95,00)</c:v>
                </c:pt>
                <c:pt idx="2">
                  <c:v>Comparables: EV/EBITDA NTM (111,06 – 123,19)</c:v>
                </c:pt>
                <c:pt idx="3">
                  <c:v>Comparables: PER NTM (68,08 – 97,73)</c:v>
                </c:pt>
                <c:pt idx="4">
                  <c:v>DCF (WACC y g ± 0,5) (96,55 – 113,37)</c:v>
                </c:pt>
                <c:pt idx="5">
                  <c:v>Escenarios (bajista – alcista) (78,17 – 121,25)</c:v>
                </c:pt>
                <c:pt idx="6">
                  <c:v>Suma de partes (89,35 – 114,50)</c:v>
                </c:pt>
                <c:pt idx="7">
                  <c:v>DCF con la prima implícita del mercado (4,2 %)</c:v>
                </c:pt>
                <c:pt idx="8">
                  <c:v>Precio actual (81,00)</c:v>
                </c:pt>
              </c:strCache>
            </c:strRef>
          </c:cat>
          <c:val>
            <c:numRef>
              <c:f>Hoja1!$B$2:$B$10</c:f>
              <c:numCache>
                <c:formatCode>#,##0</c:formatCode>
                <c:ptCount val="9"/>
                <c:pt idx="0">
                  <c:v>67.08</c:v>
                </c:pt>
                <c:pt idx="1">
                  <c:v>67</c:v>
                </c:pt>
                <c:pt idx="2">
                  <c:v>111.06</c:v>
                </c:pt>
                <c:pt idx="3">
                  <c:v>68.08</c:v>
                </c:pt>
                <c:pt idx="4">
                  <c:v>96.55</c:v>
                </c:pt>
                <c:pt idx="5">
                  <c:v>78.17</c:v>
                </c:pt>
                <c:pt idx="6">
                  <c:v>89.35</c:v>
                </c:pt>
                <c:pt idx="7">
                  <c:v>108.03</c:v>
                </c:pt>
                <c:pt idx="8">
                  <c:v>80.6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(67,08 – 110,15)</c:v>
                </c:pt>
                <c:pt idx="1">
                  <c:v>Precio objetivo de los analistas (67,00 – 95,00)</c:v>
                </c:pt>
                <c:pt idx="2">
                  <c:v>Comparables: EV/EBITDA NTM (111,06 – 123,19)</c:v>
                </c:pt>
                <c:pt idx="3">
                  <c:v>Comparables: PER NTM (68,08 – 97,73)</c:v>
                </c:pt>
                <c:pt idx="4">
                  <c:v>DCF (WACC y g ± 0,5) (96,55 – 113,37)</c:v>
                </c:pt>
                <c:pt idx="5">
                  <c:v>Escenarios (bajista – alcista) (78,17 – 121,25)</c:v>
                </c:pt>
                <c:pt idx="6">
                  <c:v>Suma de partes (89,35 – 114,50)</c:v>
                </c:pt>
                <c:pt idx="7">
                  <c:v>DCF con la prima implícita del mercado (4,2 %)</c:v>
                </c:pt>
                <c:pt idx="8">
                  <c:v>Precio actual (81,00)</c:v>
                </c:pt>
              </c:strCache>
            </c:strRef>
          </c:cat>
          <c:val>
            <c:numRef>
              <c:f>Hoja1!$C$2:$C$10</c:f>
              <c:numCache>
                <c:formatCode>#,##0</c:formatCode>
                <c:ptCount val="9"/>
                <c:pt idx="0">
                  <c:v>43.07000000000001</c:v>
                </c:pt>
                <c:pt idx="1">
                  <c:v>28</c:v>
                </c:pt>
                <c:pt idx="2">
                  <c:v>12.129999999999995</c:v>
                </c:pt>
                <c:pt idx="3">
                  <c:v>29.650000000000006</c:v>
                </c:pt>
                <c:pt idx="4">
                  <c:v>16.820000000000007</c:v>
                </c:pt>
                <c:pt idx="5">
                  <c:v>43.08</c:v>
                </c:pt>
                <c:pt idx="6">
                  <c:v>25.150000000000006</c:v>
                </c:pt>
                <c:pt idx="7">
                  <c:v>14.560000000000002</c:v>
                </c:pt>
                <c:pt idx="8">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Consumer</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6129</c:v>
                </c:pt>
                <c:pt idx="1">
                  <c:v>7131</c:v>
                </c:pt>
                <c:pt idx="2">
                  <c:v>7780</c:v>
                </c:pt>
                <c:pt idx="3">
                  <c:v>8162</c:v>
                </c:pt>
                <c:pt idx="4">
                  <c:v>8176</c:v>
                </c:pt>
              </c:numCache>
            </c:numRef>
          </c:val>
        </c:ser>
        <c:ser>
          <c:idx val="1"/>
          <c:order val="1"/>
          <c:tx>
            <c:strRef>
              <c:f>Hoja1!$C$1</c:f>
              <c:strCache>
                <c:ptCount val="1"/>
                <c:pt idx="0">
                  <c:v>tesa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1498</c:v>
                </c:pt>
                <c:pt idx="1">
                  <c:v>1668</c:v>
                </c:pt>
                <c:pt idx="2">
                  <c:v>1667</c:v>
                </c:pt>
                <c:pt idx="3">
                  <c:v>1688</c:v>
                </c:pt>
                <c:pt idx="4">
                  <c:v>1676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Consumer</c:v>
                </c:pt>
                <c:pt idx="1">
                  <c:v>tesa</c:v>
                </c:pt>
              </c:strCache>
            </c:strRef>
          </c:cat>
          <c:val>
            <c:numRef>
              <c:f>Hoja1!$B$2:$B$3</c:f>
              <c:numCache>
                <c:formatCode>General</c:formatCode>
                <c:ptCount val="2"/>
                <c:pt idx="0">
                  <c:v>83</c:v>
                </c:pt>
                <c:pt idx="1">
                  <c:v>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Europa</c:v>
                </c:pt>
                <c:pt idx="1">
                  <c:v>América</c:v>
                </c:pt>
                <c:pt idx="2">
                  <c:v>África, Asia y Australia</c:v>
                </c:pt>
              </c:strCache>
            </c:strRef>
          </c:cat>
          <c:val>
            <c:numRef>
              <c:f>Hoja1!$B$2:$B$4</c:f>
              <c:numCache>
                <c:formatCode>0"%"</c:formatCode>
                <c:ptCount val="3"/>
                <c:pt idx="0">
                  <c:v>44.1</c:v>
                </c:pt>
                <c:pt idx="1">
                  <c:v>25.4</c:v>
                </c:pt>
                <c:pt idx="2">
                  <c:v>30.5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2022</c:v>
                </c:pt>
                <c:pt idx="2">
                  <c:v>2023</c:v>
                </c:pt>
                <c:pt idx="3">
                  <c:v>2024</c:v>
                </c:pt>
                <c:pt idx="4">
                  <c:v>2025</c:v>
                </c:pt>
                <c:pt idx="5">
                  <c:v>2026e</c:v>
                </c:pt>
              </c:strCache>
            </c:strRef>
          </c:cat>
          <c:val>
            <c:numRef>
              <c:f>Hoja1!$B$2:$B$7</c:f>
              <c:numCache>
                <c:formatCode>#,##0</c:formatCode>
                <c:ptCount val="6"/>
                <c:pt idx="0">
                  <c:v>244000</c:v>
                </c:pt>
                <c:pt idx="1">
                  <c:v>259000</c:v>
                </c:pt>
                <c:pt idx="2">
                  <c:v>280000</c:v>
                </c:pt>
                <c:pt idx="3">
                  <c:v>290000</c:v>
                </c:pt>
                <c:pt idx="4">
                  <c:v>300000</c:v>
                </c:pt>
                <c:pt idx="5">
                  <c:v>314000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Beiersdorf</c:v>
                </c:pt>
                <c:pt idx="1">
                  <c:v>L’Oréal</c:v>
                </c:pt>
                <c:pt idx="2">
                  <c:v>Unilever (Beauty &amp; Wellbeing y Personal Care)</c:v>
                </c:pt>
                <c:pt idx="3">
                  <c:v>Procter &amp; Gamble</c:v>
                </c:pt>
                <c:pt idx="4">
                  <c:v>Kenvue</c:v>
                </c:pt>
                <c:pt idx="5">
                  <c:v>Estée Lauder</c:v>
                </c:pt>
                <c:pt idx="6">
                  <c:v>Colgate-Palmolive</c:v>
                </c:pt>
              </c:strCache>
            </c:strRef>
          </c:cat>
          <c:val>
            <c:numRef>
              <c:f>Hoja1!$B$2:$B$8</c:f>
              <c:numCache>
                <c:formatCode>0.0"%"</c:formatCode>
                <c:ptCount val="7"/>
                <c:pt idx="0">
                  <c:v>13.4</c:v>
                </c:pt>
                <c:pt idx="1">
                  <c:v>20.2</c:v>
                </c:pt>
                <c:pt idx="2">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7627</c:v>
                </c:pt>
                <c:pt idx="1">
                  <c:v>8799</c:v>
                </c:pt>
                <c:pt idx="2">
                  <c:v>9447</c:v>
                </c:pt>
                <c:pt idx="3">
                  <c:v>9850</c:v>
                </c:pt>
                <c:pt idx="4">
                  <c:v>9852</c:v>
                </c:pt>
                <c:pt idx="5">
                  <c:v>9616</c:v>
                </c:pt>
                <c:pt idx="6">
                  <c:v>9856</c:v>
                </c:pt>
                <c:pt idx="7">
                  <c:v>10250</c:v>
                </c:pt>
                <c:pt idx="8">
                  <c:v>10660</c:v>
                </c:pt>
                <c:pt idx="9">
                  <c:v>11065</c:v>
                </c:pt>
                <c:pt idx="10">
                  <c:v>11453</c:v>
                </c:pt>
                <c:pt idx="11">
                  <c:v>11819</c:v>
                </c:pt>
                <c:pt idx="12">
                  <c:v>12174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1220</c:v>
                </c:pt>
                <c:pt idx="1">
                  <c:v>1379</c:v>
                </c:pt>
                <c:pt idx="2">
                  <c:v>1554</c:v>
                </c:pt>
                <c:pt idx="3">
                  <c:v>1651</c:v>
                </c:pt>
                <c:pt idx="4">
                  <c:v>1648</c:v>
                </c:pt>
                <c:pt idx="5">
                  <c:v>1462</c:v>
                </c:pt>
                <c:pt idx="6">
                  <c:v>1508</c:v>
                </c:pt>
                <c:pt idx="7">
                  <c:v>1620</c:v>
                </c:pt>
                <c:pt idx="8">
                  <c:v>1727</c:v>
                </c:pt>
                <c:pt idx="9">
                  <c:v>1826</c:v>
                </c:pt>
                <c:pt idx="10">
                  <c:v>1913</c:v>
                </c:pt>
                <c:pt idx="11">
                  <c:v>1986</c:v>
                </c:pt>
                <c:pt idx="12">
                  <c:v>2045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57.2</c:v>
                </c:pt>
                <c:pt idx="1">
                  <c:v>56.3</c:v>
                </c:pt>
                <c:pt idx="2">
                  <c:v>57.3</c:v>
                </c:pt>
                <c:pt idx="3">
                  <c:v>58.5</c:v>
                </c:pt>
                <c:pt idx="4">
                  <c:v>57.7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c:v>
                </c:pt>
                <c:pt idx="1">
                  <c:v>15.7</c:v>
                </c:pt>
                <c:pt idx="2">
                  <c:v>16.4</c:v>
                </c:pt>
                <c:pt idx="3">
                  <c:v>16.8</c:v>
                </c:pt>
                <c:pt idx="4">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12.2</c:v>
                </c:pt>
                <c:pt idx="1">
                  <c:v>12.4</c:v>
                </c:pt>
                <c:pt idx="2">
                  <c:v>11.7</c:v>
                </c:pt>
                <c:pt idx="3">
                  <c:v>13.1</c:v>
                </c:pt>
                <c:pt idx="4">
                  <c:v>13.4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8.4</c:v>
                </c:pt>
                <c:pt idx="1">
                  <c:v>8.6</c:v>
                </c:pt>
                <c:pt idx="2">
                  <c:v>7.8</c:v>
                </c:pt>
                <c:pt idx="3">
                  <c:v>9.3</c:v>
                </c:pt>
                <c:pt idx="4">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0.3</c:v>
                </c:pt>
                <c:pt idx="3">
                  <c:v>-0.2</c:v>
                </c:pt>
                <c:pt idx="4">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7.1</c:v>
                </c:pt>
                <c:pt idx="2">
                  <c:v>2.1</c:v>
                </c:pt>
                <c:pt idx="4">
                  <c:v>-3.5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c:v>
                </c:pt>
                <c:pt idx="1">
                  <c:v>63</c:v>
                </c:pt>
                <c:pt idx="2">
                  <c:v>62</c:v>
                </c:pt>
                <c:pt idx="3">
                  <c:v>66</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128</c:v>
                </c:pt>
                <c:pt idx="1">
                  <c:v>148</c:v>
                </c:pt>
                <c:pt idx="2">
                  <c:v>137</c:v>
                </c:pt>
                <c:pt idx="3">
                  <c:v>144</c:v>
                </c:pt>
                <c:pt idx="4">
                  <c:v>141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220</c:v>
                </c:pt>
                <c:pt idx="1">
                  <c:v>221</c:v>
                </c:pt>
                <c:pt idx="2">
                  <c:v>202</c:v>
                </c:pt>
                <c:pt idx="3">
                  <c:v>229</c:v>
                </c:pt>
                <c:pt idx="4">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502</c:v>
                </c:pt>
                <c:pt idx="1">
                  <c:v>166</c:v>
                </c:pt>
                <c:pt idx="2">
                  <c:v>337</c:v>
                </c:pt>
                <c:pt idx="3">
                  <c:v>689</c:v>
                </c:pt>
                <c:pt idx="4">
                  <c:v>234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638</c:v>
                </c:pt>
                <c:pt idx="1">
                  <c:v>755</c:v>
                </c:pt>
                <c:pt idx="2">
                  <c:v>736</c:v>
                </c:pt>
                <c:pt idx="3">
                  <c:v>912</c:v>
                </c:pt>
                <c:pt idx="4">
                  <c:v>939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36.9</c:v>
                </c:pt>
                <c:pt idx="1">
                  <c:v>29.8</c:v>
                </c:pt>
                <c:pt idx="2">
                  <c:v>21.3</c:v>
                </c:pt>
                <c:pt idx="3">
                  <c:v>23.7</c:v>
                </c:pt>
                <c:pt idx="4">
                  <c:v>22.1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9.3</c:v>
                </c:pt>
                <c:pt idx="1">
                  <c:v>10.3</c:v>
                </c:pt>
                <c:pt idx="2">
                  <c:v>9.1</c:v>
                </c:pt>
                <c:pt idx="3">
                  <c:v>10.9</c:v>
                </c:pt>
                <c:pt idx="4">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-4.15</c:v>
                </c:pt>
                <c:pt idx="1">
                  <c:v>-3.25</c:v>
                </c:pt>
                <c:pt idx="2">
                  <c:v>-2.97</c:v>
                </c:pt>
                <c:pt idx="3">
                  <c:v>-2.77</c:v>
                </c:pt>
                <c:pt idx="4">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545</c:v>
                </c:pt>
                <c:pt idx="2">
                  <c:v>0</c:v>
                </c:pt>
                <c:pt idx="3">
                  <c:v>115</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177</c:v>
                </c:pt>
                <c:pt idx="1">
                  <c:v>175</c:v>
                </c:pt>
                <c:pt idx="2">
                  <c:v>173</c:v>
                </c:pt>
                <c:pt idx="3">
                  <c:v>241</c:v>
                </c:pt>
                <c:pt idx="4">
                  <c:v>237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501</c:v>
                </c:pt>
                <c:pt idx="4">
                  <c:v>501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3</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maxingvest / BBG (familia Herz)</c:v>
                </c:pt>
                <c:pt idx="1">
                  <c:v>Autocartera</c:v>
                </c:pt>
                <c:pt idx="2">
                  <c:v>Capital libre</c:v>
                </c:pt>
              </c:strCache>
            </c:strRef>
          </c:cat>
          <c:val>
            <c:numRef>
              <c:f>Hoja1!$B$2:$B$4</c:f>
              <c:numCache>
                <c:formatCode>0.0"%"</c:formatCode>
                <c:ptCount val="3"/>
                <c:pt idx="0">
                  <c:v>53.5</c:v>
                </c:pt>
                <c:pt idx="1">
                  <c:v>9.55</c:v>
                </c:pt>
                <c:pt idx="2">
                  <c:v>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c:v>
                </c:pt>
                <c:pt idx="1">
                  <c:v>22.4</c:v>
                </c:pt>
                <c:pt idx="2">
                  <c:v>-6.2</c:v>
                </c:pt>
                <c:pt idx="3">
                  <c:v>17.9</c:v>
                </c:pt>
                <c:pt idx="4">
                  <c:v>-10.8</c:v>
                </c:pt>
                <c:pt idx="5">
                  <c:v>-3.6</c:v>
                </c:pt>
                <c:pt idx="6">
                  <c:v>19.5</c:v>
                </c:pt>
                <c:pt idx="7">
                  <c:v>27.3</c:v>
                </c:pt>
                <c:pt idx="8">
                  <c:v>-7.9</c:v>
                </c:pt>
                <c:pt idx="9">
                  <c:v>-23.8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12.7</c:v>
                </c:pt>
                <c:pt idx="1">
                  <c:v>14.4</c:v>
                </c:pt>
                <c:pt idx="2">
                  <c:v>16.8</c:v>
                </c:pt>
                <c:pt idx="3">
                  <c:v>14.2</c:v>
                </c:pt>
                <c:pt idx="4">
                  <c:v>10.1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Beiersdorf</c:v>
                </c:pt>
                <c:pt idx="1">
                  <c:v>L’Oréal</c:v>
                </c:pt>
                <c:pt idx="2">
                  <c:v>Unilever</c:v>
                </c:pt>
                <c:pt idx="3">
                  <c:v>Procter &amp; Gamble</c:v>
                </c:pt>
                <c:pt idx="4">
                  <c:v>Colgate-Palmolive</c:v>
                </c:pt>
                <c:pt idx="5">
                  <c:v>Kenvue</c:v>
                </c:pt>
                <c:pt idx="6">
                  <c:v>Haleon</c:v>
                </c:pt>
                <c:pt idx="7">
                  <c:v>Estée Lauder</c:v>
                </c:pt>
              </c:strCache>
            </c:strRef>
          </c:cat>
          <c:val>
            <c:numRef>
              <c:f>Hoja1!$B$2:$B$9</c:f>
              <c:numCache>
                <c:formatCode>0.0"x"</c:formatCode>
                <c:ptCount val="8"/>
                <c:pt idx="0">
                  <c:v>9.3</c:v>
                </c:pt>
                <c:pt idx="1">
                  <c:v>18.4</c:v>
                </c:pt>
                <c:pt idx="2">
                  <c:v>14.6</c:v>
                </c:pt>
                <c:pt idx="3">
                  <c:v>15</c:v>
                </c:pt>
                <c:pt idx="4">
                  <c:v>15.1</c:v>
                </c:pt>
                <c:pt idx="5">
                  <c:v>11.6</c:v>
                </c:pt>
                <c:pt idx="6">
                  <c:v>13</c:v>
                </c:pt>
                <c:pt idx="7">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Beiersdorf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c:v>
                </c:pt>
              </c:numCache>
            </c:numRef>
          </c:xVal>
          <c:yVal>
            <c:numRef>
              <c:f>Hoja1!$C$2</c:f>
              <c:numCache>
                <c:formatCode>0.0"x"</c:formatCode>
                <c:ptCount val="1"/>
                <c:pt idx="0">
                  <c:v>9.3</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8.9</c:v>
                </c:pt>
              </c:numCache>
            </c:numRef>
          </c:xVal>
          <c:yVal>
            <c:numRef>
              <c:f>Hoja1!$C$3</c:f>
              <c:numCache>
                <c:formatCode>0.0"x"</c:formatCode>
                <c:ptCount val="1"/>
                <c:pt idx="0">
                  <c:v>18.4</c:v>
                </c:pt>
              </c:numCache>
            </c:numRef>
          </c:yVal>
          <c:smooth val="0"/>
        </c:ser>
        <c:ser>
          <c:idx val="2"/>
          <c:order val="2"/>
          <c:tx>
            <c:strRef>
              <c:f>Hoja1!$A$4</c:f>
              <c:strCache>
                <c:ptCount val="1"/>
                <c:pt idx="0">
                  <c:v>Unilever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14.6</c:v>
                </c:pt>
              </c:numCache>
            </c:numRef>
          </c:yVal>
          <c:smooth val="0"/>
        </c:ser>
        <c:ser>
          <c:idx val="3"/>
          <c:order val="3"/>
          <c:tx>
            <c:strRef>
              <c:f>Hoja1!$A$5</c:f>
              <c:strCache>
                <c:ptCount val="1"/>
                <c:pt idx="0">
                  <c:v>Procter &amp; Gamble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2.9</c:v>
                </c:pt>
              </c:numCache>
            </c:numRef>
          </c:xVal>
          <c:yVal>
            <c:numRef>
              <c:f>Hoja1!$C$5</c:f>
              <c:numCache>
                <c:formatCode>0.0"x"</c:formatCode>
                <c:ptCount val="1"/>
                <c:pt idx="0">
                  <c:v>15</c:v>
                </c:pt>
              </c:numCache>
            </c:numRef>
          </c:yVal>
          <c:smooth val="0"/>
        </c:ser>
        <c:ser>
          <c:idx val="4"/>
          <c:order val="4"/>
          <c:tx>
            <c:strRef>
              <c:f>Hoja1!$A$6</c:f>
              <c:strCache>
                <c:ptCount val="1"/>
                <c:pt idx="0">
                  <c:v>Colgate-Palmolive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4.2</c:v>
                </c:pt>
              </c:numCache>
            </c:numRef>
          </c:xVal>
          <c:yVal>
            <c:numRef>
              <c:f>Hoja1!$C$6</c:f>
              <c:numCache>
                <c:formatCode>0.0"x"</c:formatCode>
                <c:ptCount val="1"/>
                <c:pt idx="0">
                  <c:v>15.1</c:v>
                </c:pt>
              </c:numCache>
            </c:numRef>
          </c:yVal>
          <c:smooth val="0"/>
        </c:ser>
        <c:ser>
          <c:idx val="5"/>
          <c:order val="5"/>
          <c:tx>
            <c:strRef>
              <c:f>Hoja1!$A$7</c:f>
              <c:strCache>
                <c:ptCount val="1"/>
                <c:pt idx="0">
                  <c:v>Kenvue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3.1</c:v>
                </c:pt>
              </c:numCache>
            </c:numRef>
          </c:xVal>
          <c:yVal>
            <c:numRef>
              <c:f>Hoja1!$C$7</c:f>
              <c:numCache>
                <c:formatCode>0.0"x"</c:formatCode>
                <c:ptCount val="1"/>
                <c:pt idx="0">
                  <c:v>11.6</c:v>
                </c:pt>
              </c:numCache>
            </c:numRef>
          </c:yVal>
          <c:smooth val="0"/>
        </c:ser>
        <c:ser>
          <c:idx val="6"/>
          <c:order val="6"/>
          <c:tx>
            <c:strRef>
              <c:f>Hoja1!$A$8</c:f>
              <c:strCache>
                <c:ptCount val="1"/>
                <c:pt idx="0">
                  <c:v>Haleon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13</c:v>
                </c:pt>
              </c:numCache>
            </c:numRef>
          </c:yVal>
          <c:smooth val="0"/>
        </c:ser>
        <c:ser>
          <c:idx val="7"/>
          <c:order val="7"/>
          <c:tx>
            <c:strRef>
              <c:f>Hoja1!$A$9</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5.6</c:v>
                </c:pt>
              </c:numCache>
            </c:numRef>
          </c:xVal>
          <c:yVal>
            <c:numRef>
              <c:f>Hoja1!$C$9</c:f>
              <c:numCache>
                <c:formatCode>0.0"x"</c:formatCode>
                <c:ptCount val="1"/>
                <c:pt idx="0">
                  <c:v>16.1</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Kenvue</c:v>
                </c:pt>
                <c:pt idx="1">
                  <c:v>Wella, Clairol, OPI y ghd (60 %)</c:v>
                </c:pt>
                <c:pt idx="2">
                  <c:v>Aesop</c:v>
                </c:pt>
                <c:pt idx="3">
                  <c:v>Byredo (77 %)</c:v>
                </c:pt>
                <c:pt idx="4">
                  <c:v>Rhode</c:v>
                </c:pt>
                <c:pt idx="5">
                  <c:v>Chantecaille</c:v>
                </c:pt>
                <c:pt idx="6">
                  <c:v>Creed</c:v>
                </c:pt>
              </c:strCache>
            </c:strRef>
          </c:cat>
          <c:val>
            <c:numRef>
              <c:f>Hoja1!$B$2:$B$8</c:f>
              <c:numCache>
                <c:formatCode>0.0"x"</c:formatCode>
                <c:ptCount val="7"/>
                <c:pt idx="0">
                  <c:v>14.3</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684</c:v>
                </c:pt>
                <c:pt idx="1">
                  <c:v>667</c:v>
                </c:pt>
                <c:pt idx="2">
                  <c:v>735</c:v>
                </c:pt>
                <c:pt idx="3">
                  <c:v>805</c:v>
                </c:pt>
                <c:pt idx="4">
                  <c:v>872</c:v>
                </c:pt>
                <c:pt idx="5">
                  <c:v>933</c:v>
                </c:pt>
                <c:pt idx="6">
                  <c:v>987</c:v>
                </c:pt>
                <c:pt idx="7">
                  <c:v>1031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4689</c:v>
                </c:pt>
                <c:pt idx="1">
                  <c:v>13952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81,00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78.17</c:v>
                </c:pt>
                <c:pt idx="1">
                  <c:v>103.57</c:v>
                </c:pt>
                <c:pt idx="2">
                  <c:v>121.25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81,00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(67,08 – 110,15)</c:v>
                </c:pt>
                <c:pt idx="1">
                  <c:v>Precio objetivo de los analistas (67,00 – 95,00)</c:v>
                </c:pt>
                <c:pt idx="2">
                  <c:v>Comparables: EV/EBITDA NTM (111,06 – 123,19)</c:v>
                </c:pt>
                <c:pt idx="3">
                  <c:v>Comparables: PER NTM (68,08 – 97,73)</c:v>
                </c:pt>
                <c:pt idx="4">
                  <c:v>DCF (WACC y g ± 0,5) (96,55 – 113,37)</c:v>
                </c:pt>
                <c:pt idx="5">
                  <c:v>Escenarios (bajista – alcista) (78,17 – 121,25)</c:v>
                </c:pt>
                <c:pt idx="6">
                  <c:v>Suma de partes (89,35 – 114,50)</c:v>
                </c:pt>
                <c:pt idx="7">
                  <c:v>DCF con la prima implícita del mercado (4,2 %)</c:v>
                </c:pt>
                <c:pt idx="8">
                  <c:v>Precio actual (81,00)</c:v>
                </c:pt>
              </c:strCache>
            </c:strRef>
          </c:cat>
          <c:val>
            <c:numRef>
              <c:f>Hoja1!$B$2:$B$10</c:f>
              <c:numCache>
                <c:formatCode>#,##0</c:formatCode>
                <c:ptCount val="9"/>
                <c:pt idx="0">
                  <c:v>67.08</c:v>
                </c:pt>
                <c:pt idx="1">
                  <c:v>67</c:v>
                </c:pt>
                <c:pt idx="2">
                  <c:v>111.06</c:v>
                </c:pt>
                <c:pt idx="3">
                  <c:v>68.08</c:v>
                </c:pt>
                <c:pt idx="4">
                  <c:v>96.55</c:v>
                </c:pt>
                <c:pt idx="5">
                  <c:v>78.17</c:v>
                </c:pt>
                <c:pt idx="6">
                  <c:v>89.35</c:v>
                </c:pt>
                <c:pt idx="7">
                  <c:v>108.03</c:v>
                </c:pt>
                <c:pt idx="8">
                  <c:v>80.6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(67,08 – 110,15)</c:v>
                </c:pt>
                <c:pt idx="1">
                  <c:v>Precio objetivo de los analistas (67,00 – 95,00)</c:v>
                </c:pt>
                <c:pt idx="2">
                  <c:v>Comparables: EV/EBITDA NTM (111,06 – 123,19)</c:v>
                </c:pt>
                <c:pt idx="3">
                  <c:v>Comparables: PER NTM (68,08 – 97,73)</c:v>
                </c:pt>
                <c:pt idx="4">
                  <c:v>DCF (WACC y g ± 0,5) (96,55 – 113,37)</c:v>
                </c:pt>
                <c:pt idx="5">
                  <c:v>Escenarios (bajista – alcista) (78,17 – 121,25)</c:v>
                </c:pt>
                <c:pt idx="6">
                  <c:v>Suma de partes (89,35 – 114,50)</c:v>
                </c:pt>
                <c:pt idx="7">
                  <c:v>DCF con la prima implícita del mercado (4,2 %)</c:v>
                </c:pt>
                <c:pt idx="8">
                  <c:v>Precio actual (81,00)</c:v>
                </c:pt>
              </c:strCache>
            </c:strRef>
          </c:cat>
          <c:val>
            <c:numRef>
              <c:f>Hoja1!$C$2:$C$10</c:f>
              <c:numCache>
                <c:formatCode>#,##0</c:formatCode>
                <c:ptCount val="9"/>
                <c:pt idx="0">
                  <c:v>43.07000000000001</c:v>
                </c:pt>
                <c:pt idx="1">
                  <c:v>28</c:v>
                </c:pt>
                <c:pt idx="2">
                  <c:v>12.129999999999995</c:v>
                </c:pt>
                <c:pt idx="3">
                  <c:v>29.650000000000006</c:v>
                </c:pt>
                <c:pt idx="4">
                  <c:v>16.820000000000007</c:v>
                </c:pt>
                <c:pt idx="5">
                  <c:v>43.08</c:v>
                </c:pt>
                <c:pt idx="6">
                  <c:v>25.150000000000006</c:v>
                </c:pt>
                <c:pt idx="7">
                  <c:v>14.560000000000002</c:v>
                </c:pt>
                <c:pt idx="8">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