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Manhattan Associates, Inc.</w:t>
      </w:r>
    </w:p>
    <w:p>
      <w:pPr>
        <w:spacing w:after="60"/>
        <w:rPr>
          <w:color w:val="52514E"/>
          <w:sz w:val="22"/>
          <w:szCs w:val="22"/>
        </w:rPr>
      </w:pPr>
      <w:r>
        <w:rPr>
          <w:color w:val="52514E"/>
          <w:sz w:val="22"/>
          <w:szCs w:val="22"/>
        </w:rPr>
        <w:t xml:space="preserve">MANH · Nasdaq Global Select Market · ISIN US5627501092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222,17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274,40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+23,5 % (base +26,6 %)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90,70 USD · mercado 105,26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13.008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Manhattan Associates,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MANH / US5627501092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 1990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https://www.manh.com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222,17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119,06 – 231,63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13.008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153,3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274,40 USD</w:t>
      </w:r>
      <w:r>
        <w:t xml:space="preserve"> frente a 222,17 · Rentabilidad a 12 meses </w:t>
      </w:r>
      <w:r>
        <w:rPr>
          <w:b/>
          <w:bCs/>
        </w:rPr>
        <w:t xml:space="preserve">+23,5 % (base +26,6 %)</w:t>
      </w:r>
      <w:r>
        <w:t xml:space="preserve"> · Valor intrínseco 90,70 USD · con la prima implícita del mercado: 105,26 (-52,6 %) · Alcista / bajista -54,4 % / -74,8 %</w:t>
      </w:r>
    </w:p>
    <w:p>
      <w:pPr>
        <w:spacing w:after="100"/>
      </w:pPr>
      <w:r>
        <w:rPr>
          <w:b/>
        </w:rPr>
        <w:t xml:space="preserve">La recomendación y por qué.</w:t>
      </w:r>
      <w:r>
        <w:t xml:space="preserve"> Mantener con convicción baja, que en la práctica es no comprar. La regla a 12 meses da un objetivo de 274,40 USD (+23,5 % ponderado, +26,6 % en el base) frente a un precio de 222,17 USD (cierre del 16-oct-2026; 225,52 en la sesión del 19-oct a las 12:25 de Nueva York), porque el PER actual (37 veces el BPA ajustado de los próximos 12 meses) está por debajo de su mediana de cinco años (45,6). Pero el valor intrínseco es de 90,70 USD, un 59 % por debajo del precio: el DCF inverso dice que el precio descuenta un crecimiento del 21,8 % anual durante diez años, el triple del nuestro. La regla no da Comprar y no pasa el filtro de mantener; con el BPA un 10 % menor, la ponderada cae al 9,5 %. Compraríamos por debajo de 90,70 USD. La convicción es baja, y no media como sugieren los criterios, porque las dos señales chocan: la regla de múltiplos ve un 23 % de subida y el valor intrínseco un 59 % de caída. La subiría un margen a largo plazo muy superior al guiado o un precio cercano al valor intrínseco; la bajaría (hacia vender) una guía de 2027 floja o una nube creciendo menos del 20 %.</w:t>
      </w:r>
    </w:p>
    <w:p>
      <w:pPr>
        <w:spacing w:after="100"/>
      </w:pPr>
      <w:r>
        <w:rPr>
          <w:b/>
        </w:rPr>
        <w:t xml:space="preserve">El negocio.</w:t>
      </w:r>
      <w:r>
        <w:t xml:space="preserve"> Líder en software de gestión de almacenes, transporte y pedidos omnicanal, con 1.081 M USD de ventas en 2025, sin deuda y con 186 M de caja [1, 2]. La nube (38 % de las ventas) crece un 26 % y la cartera contratada (2.470 M) un 23 %; los servicios de implantación (47 %) son la parte cíclica [2]. El ROIC exigente es del 72 % (+61 puntos sobre el WACC): calidad «Sí». La sostenibilidad del crecimiento es «Sí»: proyectamos un 7,3 % anual sin necesidad de capital y con la cuota constante.</w:t>
      </w:r>
    </w:p>
    <w:p>
      <w:pPr>
        <w:spacing w:after="100"/>
      </w:pPr>
      <w:r>
        <w:rPr>
          <w:b/>
        </w:rPr>
        <w:t xml:space="preserve">Finanzas.</w:t>
      </w:r>
      <w:r>
        <w:t xml:space="preserve"> El BPA ajustado creció un 18 % anual de 2021 a 2025 (de 2,23 a 5,06 USD) y la guía de 2026 es de 5,44-5,50 (+8 %), subida dos veces [2, 6]. El margen operativo ajustado pasó del 26 % al 35 %, pero la remuneración en acciones (111 M, 10,3 % de las ventas) es la diferencia entre el BPA ajustado y el GAAP (3,60) [10]. El flujo libre fue de 374 M en 2025, todo para recompras (315 M) [10].</w:t>
      </w:r>
    </w:p>
    <w:p>
      <w:pPr>
        <w:spacing w:after="100"/>
      </w:pPr>
      <w:r>
        <w:rPr>
          <w:b/>
        </w:rPr>
        <w:t xml:space="preserve">Equipo y gobierno.</w:t>
      </w:r>
      <w:r>
        <w:t xml:space="preserve"> Eric Clark, consejero delegado desde febrero de 2025, ha devuelto el crecimiento del 3 % al 9 % y la empresa ha batido la guía inicial de BPA en 2025 y 2026 [2, 22]. Nueva directora financiera desde abril de 2026. Debilidades: consejo escalonado, 24,6 % de votos contra un consejero y directivos que venden (3,3 M USD) sin comprar [23, 27].</w:t>
      </w:r>
    </w:p>
    <w:p>
      <w:pPr>
        <w:spacing w:after="100"/>
      </w:pPr>
      <w:r>
        <w:rPr>
          <w:b/>
        </w:rPr>
        <w:t xml:space="preserve">Valoración.</w:t>
      </w:r>
      <w:r>
        <w:t xml:space="preserve"> El DCF da 82,98 USD (−62,7 %) con un WACC del 10,87 %; con la prima del mercado, 100,49, y sin restar la remuneración en acciones, ≈ 112. Los comparables dan 87-164 USD y las transacciones 117-166: todos los métodos quedan muy por debajo del precio. La regla a 12 meses es favorable solo porque la historia del PER (45-56 veces en 2021-2024) se formó con tipos cercanos a cero.</w:t>
      </w:r>
    </w:p>
    <w:p>
      <w:pPr>
        <w:spacing w:after="100"/>
      </w:pPr>
      <w:r>
        <w:rPr>
          <w:b/>
        </w:rPr>
        <w:t xml:space="preserve">Riesgos y catalizadores.</w:t>
      </w:r>
      <w:r>
        <w:t xml:space="preserve"> El mayor riesgo es el múltiplo. Después, la IA (exposición media): el WMS es difícil de sustituir, pero los servicios de implantación (47 %) y el precio por usuario pueden abaratarse, y SAP, Oracle y Blue Yonder pueden regalar agentes; el mercado ya castigó a la acción un 10 % y un 7 % en dos días de anuncios de Anthropic. Catalizador: resultados del 3T26 el 27-oct-2026. Regla 13: no cambia.</w:t>
      </w:r>
    </w:p>
    <w:p>
      <w:pPr>
        <w:spacing w:after="100"/>
      </w:pPr>
      <w:r>
        <w:rPr>
          <w:b/>
        </w:rPr>
        <w:t xml:space="preserve">Qué cambiaría la decisión.</w:t>
      </w:r>
      <w:r>
        <w:t xml:space="preserve"> Comprar por debajo de 90,70 USD; con más margen a largo plazo (ajustado del 45 % o más) o crecimiento sostenido del 15 % el valor subiría, pero no hasta el precio. Una guía de 2027 por debajo de 6,15 USD o una nube creciendo menos del 20 % reforzarían la venta.</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274,40 USD</w:t>
      </w:r>
      <w:r>
        <w:t xml:space="preserve"> (rentabilidad +23,5 % (base +26,6 %)) · Valor intrínseco: 90,70 USD (-59,2 % sobre 222,17) · con la prima implícita del mercado: 105,26 (-52,6 %)</w:t>
      </w:r>
    </w:p>
    <w:p>
      <w:pPr>
        <w:spacing w:after="100"/>
      </w:pPr>
      <w:r>
        <w:t xml:space="preserve">Manhattan es probablemente el mejor software de almacén del mundo: líder de Gartner desde 2005, una sola plataforma nativa de nube, ninguna compra en diez años, sin deuda y con un ROIC que no cabe en la contabilidad. Tras caer un 61 % por la guía floja de 2025 y el miedo a la IA, ha recuperado el crecimiento (+9 %), la nube (+26 %) y la contratación (RPO +23 %) [2].</w:t>
      </w:r>
    </w:p>
    <w:p>
      <w:pPr>
        <w:spacing w:after="100"/>
      </w:pPr>
      <w:r>
        <w:t xml:space="preserve">El problema es el precio: tras subir un 86 % desde abril, cotiza a 37 veces el BPA ajustado de los próximos 12 meses y a 45 veces el EBITDA. El DCF, con márgenes que suben cinco puntos y un crecimiento por encima del histórico, vale 83 USD; el precio descuenta un 21,8 % de crecimiento anual durante diez años.</w:t>
      </w:r>
    </w:p>
    <w:p>
      <w:pPr>
        <w:spacing w:after="100"/>
      </w:pPr>
      <w:r>
        <w:t xml:space="preserve">La regla de múltiplos da una ganancia del 23 % a 12 meses solo porque compara con 2021-2024, cuando el software cotizaba a 45-56 veces con tipos cercanos a cero. Con el bono a 10 años al 5,1 % y la IA cuestionando el precio del software, no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 × 6,02 = 190,83 · 40,7x × 6,91 = 281,24 · 45,6x × 7,55 = 344,28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 / 26,6 %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230,20 (nuestro base +22,2 %)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 / -74,8 %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frente a 10,9 %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 frente a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90,70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90,70 y 304,89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304,89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Mantener (ponderada +23,5 %, base +26,6 %), pero el valor intrínseco (90,70 USD) está un 60 % bajo el precio: no se compra y las pruebas de robustez lo dejan en «no mantener».</w:t>
      </w:r>
    </w:p>
    <w:p>
      <w:pPr>
        <w:pStyle w:val="Heading2"/>
      </w:pPr>
      <w:r>
        <w:t xml:space="preserve">Qué cambiaría la recomendación</w:t>
      </w:r>
    </w:p>
    <w:p>
      <w:pPr>
        <w:pStyle w:val="ListParagraph"/>
        <w:numPr>
          <w:ilvl w:val="0"/>
          <w:numId w:val="2"/>
        </w:numPr>
        <w:spacing w:after="60"/>
      </w:pPr>
      <w:r>
        <w:t xml:space="preserve">Precio por debajo de 90,70 USD: Comprar (valor intrínseco por encima del precio y regla a 12 meses favorable).</w:t>
      </w:r>
    </w:p>
    <w:p>
      <w:pPr>
        <w:pStyle w:val="ListParagraph"/>
        <w:numPr>
          <w:ilvl w:val="0"/>
          <w:numId w:val="2"/>
        </w:numPr>
        <w:spacing w:after="60"/>
      </w:pPr>
      <w:r>
        <w:t xml:space="preserve">Margen operativo ajustado guiado a largo plazo del 45 % o más con crecimiento del 12 % o más: revisar el DCF al alza.</w:t>
      </w:r>
    </w:p>
    <w:p>
      <w:pPr>
        <w:pStyle w:val="ListParagraph"/>
        <w:numPr>
          <w:ilvl w:val="0"/>
          <w:numId w:val="2"/>
        </w:numPr>
        <w:spacing w:after="60"/>
      </w:pPr>
      <w:r>
        <w:t xml:space="preserve">Guía de 2027 (enero) por debajo de 6,15 USD o nube creciendo menos del 20 %: reforzar no comprar.</w:t>
      </w:r>
    </w:p>
    <w:p>
      <w:pPr>
        <w:pStyle w:val="ListParagraph"/>
        <w:numPr>
          <w:ilvl w:val="0"/>
          <w:numId w:val="2"/>
        </w:numPr>
        <w:spacing w:after="60"/>
      </w:pPr>
      <w:r>
        <w:t xml:space="preserve">Agentes de IA de SAP, Oracle o Blue Yonder incluidos sin coste en sus suites y caída de la tasa de éxito: rebajar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nube sigue creciendo al 20-25 % durante años, que los agentes de IA son una oportunidad y no una amenaza, y que el múltiplo de 37 veces es el normal de un software de calidad; los analistas esperan 230 USD (+4 %).</w:t>
      </w:r>
    </w:p>
    <w:p>
      <w:pPr>
        <w:keepNext/>
        <w:spacing w:after="100"/>
      </w:pPr>
      <w:r>
        <w:rPr>
          <w:b/>
          <w:bCs/>
        </w:rPr>
        <w:t xml:space="preserve">Lo que creemos nosotros.</w:t>
      </w:r>
    </w:p>
    <w:p>
      <w:pPr>
        <w:spacing w:after="100"/>
      </w:pPr>
      <w:r>
        <w:t xml:space="preserve">Coincidimos en el BPA (6,14 USD en 2027e frente a 6,145) y en la calidad, y discrepamos en el precio: ningún flujo de caja razonable justifica 222 USD con un coste del capital del 9,5-10,9 %.</w:t>
      </w:r>
    </w:p>
    <w:p>
      <w:pPr>
        <w:keepNext/>
        <w:spacing w:after="100"/>
      </w:pPr>
      <w:r>
        <w:rPr>
          <w:b/>
          <w:bCs/>
        </w:rPr>
        <w:t xml:space="preserve">Por qué podemos tener razón.</w:t>
      </w:r>
    </w:p>
    <w:p>
      <w:pPr>
        <w:spacing w:after="100"/>
      </w:pPr>
      <w:r>
        <w:t xml:space="preserve">La historia del PER de 2021-2024 se formó con tipos cercanos a cero; en 2017-2018, con tipos del 2-3 %, el PER adelantado fue de 24-28 veces. La IA no destruye el WMS, pero sí puede abaratar los servicios (47 % de las ventas) y el precio por usuario.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22,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Líder del nicho</w:t>
      </w:r>
      <w:r>
        <w:t xml:space="preserve">: Gartner desde 2005 y tasa de éxito superior al 70 % en concursos.</w:t>
      </w:r>
    </w:p>
    <w:p>
      <w:pPr>
        <w:pStyle w:val="ListParagraph"/>
        <w:numPr>
          <w:ilvl w:val="0"/>
          <w:numId w:val="2"/>
        </w:numPr>
        <w:spacing w:after="60"/>
      </w:pPr>
      <w:r>
        <w:rPr>
          <w:b/>
        </w:rPr>
        <w:t xml:space="preserve">Nube +26 %</w:t>
      </w:r>
      <w:r>
        <w:t xml:space="preserve">: RPO de 2.470 M (+23 %) y guía subida dos veces en 2026.</w:t>
      </w:r>
    </w:p>
    <w:p>
      <w:pPr>
        <w:pStyle w:val="ListParagraph"/>
        <w:numPr>
          <w:ilvl w:val="0"/>
          <w:numId w:val="2"/>
        </w:numPr>
        <w:spacing w:after="60"/>
      </w:pPr>
      <w:r>
        <w:rPr>
          <w:b/>
        </w:rPr>
        <w:t xml:space="preserve">Sin deuda y sin compras</w:t>
      </w:r>
      <w:r>
        <w:t xml:space="preserve">: crecimiento orgánico con circulante negativo y ROIC exigente del 72 %.</w:t>
      </w:r>
    </w:p>
    <w:p>
      <w:pPr>
        <w:pStyle w:val="ListParagraph"/>
        <w:numPr>
          <w:ilvl w:val="0"/>
          <w:numId w:val="2"/>
        </w:numPr>
        <w:spacing w:after="60"/>
      </w:pPr>
      <w:r>
        <w:rPr>
          <w:b/>
        </w:rPr>
        <w:t xml:space="preserve">Riesgo de IA bajo en el núcleo</w:t>
      </w:r>
      <w:r>
        <w:t xml:space="preserve">: el WMS es un sistema de registro y ejecución; la empresa ya vende agentes.</w:t>
      </w:r>
    </w:p>
    <w:p>
      <w:pPr>
        <w:pStyle w:val="ListParagraph"/>
        <w:numPr>
          <w:ilvl w:val="0"/>
          <w:numId w:val="2"/>
        </w:numPr>
        <w:spacing w:after="60"/>
      </w:pPr>
      <w:r>
        <w:rPr>
          <w:b/>
        </w:rPr>
        <w:t xml:space="preserve">BPA +12 % anual</w:t>
      </w:r>
      <w:r>
        <w:t xml:space="preserve">: 5,47 USD en 2026e y 6,91 en 2028e en nuestro base.</w:t>
      </w:r>
    </w:p>
    <w:p>
      <w:pPr>
        <w:pStyle w:val="Heading2"/>
      </w:pPr>
      <w:r>
        <w:t xml:space="preserve">En contra</w:t>
      </w:r>
    </w:p>
    <w:p>
      <w:pPr>
        <w:pStyle w:val="ListParagraph"/>
        <w:numPr>
          <w:ilvl w:val="0"/>
          <w:numId w:val="2"/>
        </w:numPr>
        <w:spacing w:after="60"/>
      </w:pPr>
      <w:r>
        <w:rPr>
          <w:b/>
        </w:rPr>
        <w:t xml:space="preserve">Precio</w:t>
      </w:r>
      <w:r>
        <w:t xml:space="preserve">: DCF de 83 USD frente a 222; el precio descuenta un 21,8 % de crecimiento anual.</w:t>
      </w:r>
    </w:p>
    <w:p>
      <w:pPr>
        <w:pStyle w:val="ListParagraph"/>
        <w:numPr>
          <w:ilvl w:val="0"/>
          <w:numId w:val="2"/>
        </w:numPr>
        <w:spacing w:after="60"/>
      </w:pPr>
      <w:r>
        <w:rPr>
          <w:b/>
        </w:rPr>
        <w:t xml:space="preserve">Múltiplo</w:t>
      </w:r>
      <w:r>
        <w:t xml:space="preserve">: 37 veces el BPA ajustado y 45 veces el EBITDA; +86 % desde abril.</w:t>
      </w:r>
    </w:p>
    <w:p>
      <w:pPr>
        <w:pStyle w:val="ListParagraph"/>
        <w:numPr>
          <w:ilvl w:val="0"/>
          <w:numId w:val="2"/>
        </w:numPr>
        <w:spacing w:after="60"/>
      </w:pPr>
      <w:r>
        <w:rPr>
          <w:b/>
        </w:rPr>
        <w:t xml:space="preserve">IA y servicios</w:t>
      </w:r>
      <w:r>
        <w:t xml:space="preserve">: el 47 % de las ventas son horas de implantación que la IA puede abaratar.</w:t>
      </w:r>
    </w:p>
    <w:p>
      <w:pPr>
        <w:pStyle w:val="ListParagraph"/>
        <w:numPr>
          <w:ilvl w:val="0"/>
          <w:numId w:val="2"/>
        </w:numPr>
        <w:spacing w:after="60"/>
      </w:pPr>
      <w:r>
        <w:rPr>
          <w:b/>
        </w:rPr>
        <w:t xml:space="preserve">Remuneración en acciones</w:t>
      </w:r>
      <w:r>
        <w:t xml:space="preserve">: 10,3 % de las ventas, excluida del BPA ajustado.</w:t>
      </w:r>
    </w:p>
    <w:p>
      <w:pPr>
        <w:pStyle w:val="ListParagraph"/>
        <w:numPr>
          <w:ilvl w:val="0"/>
          <w:numId w:val="2"/>
        </w:numPr>
        <w:spacing w:after="60"/>
      </w:pPr>
      <w:r>
        <w:rPr>
          <w:b/>
        </w:rPr>
        <w:t xml:space="preserve">Directivos vendedores</w:t>
      </w:r>
      <w:r>
        <w:t xml:space="preserve">: ventas sin ninguna compra en 12 meses.</w:t>
      </w:r>
    </w:p>
    <w:p>
      <w:pPr>
        <w:pStyle w:val="Heading2"/>
      </w:pPr>
      <w:r>
        <w:t xml:space="preserve">Qué tiene que pasar para que la tesis funcione</w:t>
      </w:r>
    </w:p>
    <w:p>
      <w:pPr>
        <w:spacing w:after="100"/>
      </w:pPr>
      <w:r>
        <w:t xml:space="preserve">La tesis del mercado depende de que la nube siga creciendo por encima del 20 % y de que la IA sea una línea nueva y no un recorte de precio. La señal en contra sería un RPO por debajo del +15 %, servicios cayendo más de un 5 % o una guía de 2027 por debajo de 6,15 USD de BPA.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(cartera contratada)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 M (+23 %); guía 2.620-2.680</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nube.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servicios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130 M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víctima del riesgo de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35,0-35,2 %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precios o de costes.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5,44-5,50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5,44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objetivo a 12 meses.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63,7x / 36,9x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Manhattan Associates nace en 1990 en Atlanta como una consultora de software para almacenes, fundada por Alan Dabbiere; en 1995 lanza su sistema de gestión de almacenes (WMS) para AS/400 y en 1998 sale a bolsa en el Nasdaq [17]. Con compras pequeñas sumó transporte (Logistics.com, 2002), planificación (Evant, 2005) y tienda (GlobalBay, 2014), y desde 2005 es líder del cuadrante de Gartner en WMS [17]. Su giro decisivo fue reescribir todo el producto como una sola plataforma nativa de nube (Manhattan Active, desde 2017): Active WM en 2020 y Active TM en 2021 [17]. Desde entonces la nube ha pasado de casi nada a ser el 38 % de las ventas, con un margen operativo ajustado que subió del 25 % al 35 % [4]. Eddie Capel, consejero delegado de 2013 a 2025, dejó el cargo a Eric Clark (de NTT Data) en febrero de 2025 y es presidente no ejecutivo desde 2026 [22,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Atlanta (Georgia) como especialista en software de almacenes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Logistics.com: entrada en la gestión del transporte (TMS)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Evant (planificación); primer año como líder de Gartner en WMS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GlobalBay (tienda y punto de venta); última compra relevante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Manhattan Active: plataforma única nativa de nube; Active WM (2020) y Active TM (2021)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Clark sucede a Eddie Capel como consejero delegado; venta de servicios floja y acción −36 % en el año [22,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(Active Agents, Agent Foundry), recorte de plantilla del ≈ 6 %, recompras de 275 M en el 1S26 y guía subida dos veces [1, 2, 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Manhattan Associates (Atlanta) diseña y vende software para gestionar almacenes, transporte, inventario y pedidos de empresas que mueven mercancía: minoristas, fabricantes de bienes de consumo, distribuidores de alimentación, operadores logísticos, industria, tecnología y farmacia [1]. Su plataforma Manhattan Active, nativa de nube, une la ejecución (WMS, TMS, mano de obra), el comercio omnicanal (gestión de pedidos, tienda y punto de venta) y la planificación (demanda, reposición, asignación) [1]. Desde 2026 vende agentes de IA (Active Agents) y una herramienta para que el cliente cree los suyos (Agent Foundry) [1]. Vende sobre todo de forma directa y con socios integradores (Accenture, Deloitte, Cognizant) y de hardware (Zebra, Honeywell); el 65 % de las ventas es de EE. UU. [1].</w:t>
      </w:r>
    </w:p>
    <w:p>
      <w:pPr>
        <w:pStyle w:val="Heading2"/>
      </w:pPr>
      <w:r>
        <w:t xml:space="preserve">Cómo gana dinero</w:t>
      </w:r>
    </w:p>
    <w:p>
      <w:pPr>
        <w:spacing w:after="100"/>
      </w:pPr>
      <w:r>
        <w:t xml:space="preserve">Cinco ingresos en 2025: nube 38 % (suscripción de ≥ 5 años, recurrente), servicios de implantación 47 % (por horas, cíclicos), mantenimiento 12 % (licencias antiguas, en retirada), licencias 1 % y hardware 2 % [1]. Lo recurrente (nube + mantenimiento) es el 50 % de las ventas sin hardware. El beneficio sale de la nube: margen bruto alto y creciente con la escala, mientras los servicios dejan un margen bajo y dependen de que los clientes arranquen proyectos. Cada cliente que pasa a la nube paga más que en mantenimiento y suma productos con el tiempo. No hay estacionalidad fuerte; el apalancamiento operativo viene de la nube y de la plantilla de I+D en India.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 (Norte y Latinoamérica)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 (Norte y Latinoamérica)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Proveedores, fabricantes, distribuidores, minoristas y operadores logísticos de muchos sectores; los cinco primeros clientes suman el 10 % de las ventas en 2025 (12 % en 2024) y ninguno pasa del 10 % [1]. Los contratos de nube duran normalmente cinco años o más y no se pueden cancelar; el 56 % del valor de los nuevos contratos de nube de 2025 vino de clientes nuevos [1]. Poder de precios: el paso de licencia y mantenimiento a nube multiplica el ingreso por cliente (los contratos «suben de alcance y precio» a lo largo del plazo) y el margen ajustado ha subido con la mezcla [1]. La venta es larga (9-12 meses, a veces años) y depende de los presupuestos de los clientes, sobre todo de los minoristas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nube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 (2025); 126,7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+26 %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principal según la empresa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 obligaciones pendientes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1.760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(dic-2025); 2.470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+23 % interanual en junio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98 % de nube; guía de 2.620-2.680 M a fin de 2026 [1,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que migra a la nube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+3 %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75 % ligados a implantaciones de nube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 (2025); guía 35,0-35,2 %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pagos en acciones ni no recurrentes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4.580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4.370 (dic-2025); −6 % en junio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 y −6 %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 2025 y 2026 por eficiencia [1,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Software de gestión de la cadena de suministro (SCM): ejecución (almacenes, WMS; transporte, TMS; mano de obra), comercio omnicanal (gestión de pedidos, tienda y punto de venta) y planificación (demanda, reposición, asignación), vendido como suscripción en la nube, licencia o servicios [1]. Uso el perímetro de MarketsandMarkets (38.510 M USD en 2025), que lista a Manhattan entre los actores principales junto a SAP, Oracle, Infor, Blue Yonder, Körber, Descartes, Kinaxis y E2open [14]; Allied Market Research da 36.900 M en 2025 [15]. Es mundial, aunque Gartner estima, según la empresa, que más del 80 % del gasto está en Norteamérica y Europa [1]. El nicho donde Manhattan es líder (WMS y gestión de pedidos) es una parte de este total.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38.510 M USD en 2025 (MarketsandMarkets) [14]; ≈ 36.900 M (Allied)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y omnicanal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pedidos pequeños y devoluciones exigen WMS y gestión de pedidos; el 56 % de la contratación de nube de Manhattan en 2025 fue con clientes nuevos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base instalada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−6 % y nube +21 % en Manhattan en 2025; la nube ya es el 96 % de su software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y robótica de almacenes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Manhattan Automation Network desde 2019 para integrar robots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relocalización de cadenas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complejidad (más centros, más rutas) pero presupuestos de proyecto aplazados: servicios −4 %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agéntica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que automatizan tareas de planificación y operación; puede ser módulo de pago o abaratar alternativas [1, 16].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de SAP, Oracle, Infor, Blue Yonder (Panasonic), Körber/Infios, E2open (WiseTech) y especialistas; Manhattan dice ganar más del 70 % de los concursos en 2026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minoristas y operadores logísticos, pero ninguno pasa del 10 % de las ventas; contratos de ≥ 5 años no cancelables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se aloja en Google Cloud (socio declarado); el talento es el insumo crítico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experiencia de décadas en almacenes, integración con ERP y automatismos, y referencias; la propia empresa lo cita como barrera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Desarrollos propios de TI y, a futuro, agentes de IA generales que orquesten procesos; el mercado castigó al sector en febrero y abril de 2026 por ese miedo [16, 20].</w:t>
            </w:r>
          </w:p>
        </w:tc>
      </w:tr>
    </w:tbl>
    <w:p>
      <w:pPr>
        <w:spacing w:after="160" w:before="0"/>
      </w:pPr>
    </w:p>
    <w:p>
      <w:pPr>
        <w:pStyle w:val="Heading2"/>
      </w:pPr>
      <w:r>
        <w:t xml:space="preserve">Ciclo</w:t>
      </w:r>
    </w:p>
    <w:p>
      <w:pPr>
        <w:spacing w:after="100"/>
      </w:pPr>
      <w:r>
        <w:t xml:space="preserve">El gasto en software de cadena de suministro depende de la inversión de minoristas e industriales: en 2009 las licencias de Manhattan cayeron y el mantenimiento aguantó; en 2020-2021 el confinamiento disparó el comercio electrónico y la demanda; en 2025 la incertidumbre por aranceles retrasó proyectos y los servicios cayeron un 4 % [1]. En 2026 la contratación vuelve a récords (tres trimestres seguidos) y las ventas aceleran al +9 %: fase de expansión, con el riesgo de que la macro vuelva a frenar los proyectos.</w:t>
      </w:r>
    </w:p>
    <w:p>
      <w:pPr>
        <w:pStyle w:val="Heading2"/>
      </w:pPr>
      <w:r>
        <w:t xml:space="preserve">Regulación</w:t>
      </w:r>
    </w:p>
    <w:p>
      <w:pPr>
        <w:spacing w:after="100"/>
      </w:pPr>
      <w:r>
        <w:t xml:space="preserve">Poco regulado. Afectan la protección de datos (RGPD en Europa, leyes estatales en EE. UU.), los controles de exportación y sanciones, y la Ley de IA de la UE para los sistemas de alto riesgo [1, 16]. Indirectamente, los aranceles y las normas de trazabilidad (alimentación, farmacia) aumentan la complejidad logística y la demanda de sistemas de control. Ningún cambio en tramitación con efecto directo sobre las cifras.</w:t>
      </w:r>
    </w:p>
    <w:p>
      <w:pPr>
        <w:pStyle w:val="Heading2"/>
      </w:pPr>
      <w:r>
        <w:t xml:space="preserve">Tendencias y disrupción</w:t>
      </w:r>
    </w:p>
    <w:p>
      <w:pPr>
        <w:spacing w:after="100"/>
      </w:pPr>
      <w:r>
        <w:t xml:space="preserve">Tres tendencias: (1) la nube, que sustituye las instalaciones propias y sube el ingreso por cliente; (2) la unificación de almacén, transporte y pedidos en una plataforma, que es la apuesta de Manhattan (Manhattan Active) frente a proveedores con productos sueltos [1, 17]; (3) la IA agéntica, que Manhattan vende como módulo (Active Agents y Agent Foundry, 2026) y que el mercado teme que abarate el software por puesto [1, 20]. Manhattan gana con las dos primeras; la tercera es mixta: el WMS es un sistema de registro y control en tiempo real, de riesgo de sustitución bajo-medio según la ficha sectorial [16].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WMS y en gestión de pedidos omnicanal (líder del cuadrante de Gartner en WMS desde 2005 y único líder de Forrester en gestión de pedidos en 2021 y 2023) [17]; ≈ 2,8 % del mercado total de SCM de MarketsandMarkets (1.081 ÷ 38.510)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 (SCM, EWM)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ERP dominante; vende su WMS (EWM) a su base instalada. Margen del grupo [1,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 (SCM Cloud, WMS Cloud)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ERP y nube; integra almacén y transporte en su suite. Margen del grupo [1,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Blue Yonder (Panasonic)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Antigua JDA; planificación y ejecución; comprada por Panasonic en 2021 valorada en 8.500 M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Körber / Infios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WMS (antigua HighJump); no cotiza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Descartes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DSGX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logística, aduanas y rutas; comprador en serie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Kinaxis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KXS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Planificación de la cadena de suministro (RapidResponse)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E2open (WiseTech)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colaboración y comercio global; ventas en caída, comprada por WiseTech en 2025 por 2.100 M de valor empresa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SPS Commerce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SPSC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de intercambio electrónico con minoristas; complementario más que rival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la comunidad de clientes y socios (Accenture, Deloitte, Zebra, Honeywell) ayuda a vender, pero el valor de un cliente no depende de los demás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WMS controla cada movimiento del almacén e integra robots y ERP; cambiar exige proyectos de 9-24 meses y riesgo operativo; contratos de nube de ≥ 5 años; Jockey es cliente desde 1991 [B1,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 Gartner en WMS desde 2005 y referencias en los mayores minoristas; plataforma nativa de nube única en el sector [B5,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 de I+D en Bangalore y una sola plataforma para todos los productos; margen operativo ajustado del 35 % frente al 15-33 % de los cotizados del sector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de tamaño medio donde 4-6 proveedores especializados se reparten las grandes cuentas [B2].</w:t>
            </w:r>
          </w:p>
        </w:tc>
      </w:tr>
    </w:tbl>
    <w:p>
      <w:pPr>
        <w:spacing w:after="160" w:before="0"/>
      </w:pPr>
    </w:p>
    <w:p>
      <w:pPr>
        <w:pStyle w:val="Heading2"/>
      </w:pPr>
      <w:r>
        <w:t xml:space="preserve">Amenazas</w:t>
      </w:r>
    </w:p>
    <w:p>
      <w:pPr>
        <w:spacing w:after="100"/>
      </w:pPr>
      <w:r>
        <w:t xml:space="preserve">Tres amenazas: (1) la IA agéntica, que podría permitir a los clientes o a un integrador orquestar almacén y transporte con agentes sobre un ERP, o reducir los puestos de usuario; probabilidad baja-media a cinco años, porque el WMS es un sistema de control en tiempo real con integración física [16, 20]; (2) los ERP (SAP, Oracle) que empaquetan su WMS a precio bajo en su base instalada; media; (3) un ciclo de proyectos más lento por aranceles o recesión, que ya restó un 4 % a los servicios en 2025; media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2016-2025: ingresos </w:t>
      </w:r>
      <w:r>
        <w:rPr>
          <w:b/>
          <w:bCs/>
        </w:rPr>
        <w:t xml:space="preserve">6,7 %</w:t>
      </w:r>
      <w:r>
        <w:t xml:space="preserve">, EBITDA </w:t>
      </w:r>
      <w:r>
        <w:rPr>
          <w:b/>
          <w:bCs/>
        </w:rPr>
        <w:t xml:space="preserve">3,7 %</w:t>
      </w:r>
      <w:r>
        <w:t xml:space="preserve">, BPA </w:t>
      </w:r>
      <w:r>
        <w:rPr>
          <w:b/>
          <w:bCs/>
        </w:rPr>
        <w:t xml:space="preserve">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Diez años sin compras de empresas: todo el crecimiento es orgánico [1]. Las ventas pasaron de 586 M USD en 2020 a 1.081 M en 2025 (+13 % anual), con dos fases: 2021-2023, de +13-21 % al año por la subida de los servicios de implantación (+18 % y +24 %) y de la nube (+44 % dos años seguidos) [7]; y 2024-2025, de +12 % y +4 %, cuando los servicios cayeron un 4 % en 2025 porque los clientes aplazaron proyectos y el mantenimiento bajó un 6 % al migrar la base instalada a la nube [1]. La nube (408 M, +21 %) ya es el 38 % de las ventas y el 96 % de los ingresos de software [1]. En 2026 vuelve a acelerar: +7,4 % en el 1T y +9,3 % en el 2T, nube +24 % y +26 % [2, 3]. El margen operativo GAAP subió de 19,5 % en 2020 a 25,9 % en 2025 por la mezcla de nube y el apalancamiento; el ajustado (sin pagos en acciones) es del 35,8 % [4]. Los pagos en acciones pasaron de 59 M (7,7 % de las ventas) en 2022 a 111 M (10,3 %) en 2025 [10].</w:t>
      </w:r>
    </w:p>
    <w:p>
      <w:pPr>
        <w:pStyle w:val="Heading2"/>
      </w:pPr>
      <w:r>
        <w:t xml:space="preserve">Ajustes y partidas no recurrentes</w:t>
      </w:r>
    </w:p>
    <w:p>
      <w:pPr>
        <w:spacing w:after="100"/>
      </w:pPr>
      <w:r>
        <w:t xml:space="preserve">La empresa publica un resultado y un BPA «ajustados» que excluyen todos los pagos en acciones (111 M USD en 2025, 1,57 USD por acción), la reclamación extraordinaria de un seguro médico (gasto de 7,0 M en 2024, recuperaciones netas de 6,9 M en 2025), la reestructuración (2,9 M en el 1T25 por unos 100 puestos y 8,3 M en el 2T26 por el ≈ 6 % de la plantilla) y el efecto fiscal de la entrega de acciones [2, 4, 9]. BPA 2025: 3,60 USD GAAP frente a 5,06 ajustado. En este informe la cuenta, el EBITDA y el DCF son GAAP (con los pagos en acciones como coste); solo la reclamación y la reestructuración van como no recurrentes. El objetivo a 12 meses usa el BPA ajustado, la base del consenso y de la guía, en la misma base que la historia del PER.</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de 2026 (1T26): el consejero delegado, Eric Clark, habló de una demanda «amplia», de un 55 % de los nuevos contratos de nube con clientes nuevos y de una tasa de éxito en concursos por encima del 70 %; subió la guía de 2026 (ventas 1.147-1.157 M USD, BPA ajustado 5,29-5,37) y dijo que el efecto de los agentes de IA en las cuentas sería prudente en 2026 y «significativo» en 2027, con clientes que pagan el módulo tras justificarlo con menos horas extra [3, 11]. Julio (2T26): tercer trimestre seguido de contratación récord, nube +26 %, RPO de 2.470 M (+23 %) y guía subida otra vez (ventas 1.160-1.166 M, BPA ajustado 5,44-5,50); los agentes Active llegan a más del 10 % de la base instalada en piloto o suscripción, y la empresa presenta las «Active Editions», paquetes que incluyen la IA, y fija un RPO de 2.620-2.680 M para final de año [2, 12, 13]. Cambio de discurso: de «macro difícil» y servicios a la baja en 2025 a crecimiento que se acelera y ganancia de cuota en 2026. Los analistas preguntaron sobre todo por los servicios (planos, +3 %), la conversión de pilotos de IA en ingresos y si la IA abarata la implantación; la dirección no cuantificó los ingresos de IA ni el número de clientes que pagan por ella [11,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y circulante negativo: clientes 215 M, proveedores 22 M y cobros anticipados 337 M a cierre de 2025, un circulante comercial de −144 M (−13 % de las ventas), que se hace más negativo al crecer la nube [1]. El patrimonio cayó de 315 M en diciembre de 2025 a 158 M en junio de 2026 por las recompras (306 M pagados en el semestre, más que la caja generada) y la caja bajó a 186 M [2]. Con los cobros por adelantado y sin necesidad de inversión (capex del 1-1,5 % de las ventas), toda la caja libre vuelve al accionista vía recompras.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1.946</w:t>
      </w:r>
      <w:r>
        <w:t xml:space="preserve">, conversión </w:t>
      </w:r>
      <w:r>
        <w:rPr>
          <w:b/>
          <w:bCs/>
        </w:rPr>
        <w:t xml:space="preserve">142 %</w:t>
      </w:r>
      <w:r>
        <w:t xml:space="preserve"> del beneficio neto; adquisiciones 0, dividendos 0, recompras 1.737.</w:t>
      </w:r>
    </w:p>
    <w:p>
      <w:pPr>
        <w:spacing w:after="100"/>
      </w:pPr>
      <w:r>
        <w:t xml:space="preserve">La conversión de beneficio en caja es alta y creciente: flujo operativo de 389,5 M USD en 2025 frente a un beneficio neto de 219,9 M (1,8 veces), porque los pagos en acciones (111 M) no son caja y los cobros anticipados de la nube suben (+59 M en 2025) [1, 10]. El capex es mínimo (15,5 M, 1,4 % de las ventas; 2025 lleva la reforma de oficinas) [1]. Caja libre de 374 M en 2025 y 399 M en los últimos doce meses a junio de 2026 [2]. Toda va a recompras: 1.142 M en 2021-2025 frente a 1.296 M de flujo operativo; sin dividendos ni compras de empresas [10]. Matiz: la caja libre que se ve incluye el ahorro de pagar en acciones; descontando los 111 M de pagos en acciones, la caja «económica» de 2025 es de ≈ 263 M (24 % de las ventas).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la empresa desde 2002 (24 años), sin salvedades [1]. No hay capitalización de I+D: los 145 M de I+D de 2025 van a gasto [1]. Los ingresos de nube se reconocen a lo largo del contrato (≥ 5 años) y los servicios a medida que se prestan; el RPO (2.200 M a cierre de 2025, más del 98 % de nube, 38 % a reconocer en 24 meses) da visibilidad [1]. La partida que más distorsiona es la remuneración en acciones: 111 M en 2025, un 10,3 % de las ventas y el 51 % del beneficio neto GAAP; la empresa la excluye de su resultado ajustado y además recompra acciones para compensar la dilución [2, 10]. El tipo impositivo efectivo subió del 18 % en 2024 al 23 % en 2025 y al 27 % en el 1S26 por el menor beneficio fiscal de las acciones entregadas [2]. Lectura de los indicadores del motor: Altman alto porque no hay deuda; Piotroski y Beneish sin señales; el ROE y el ROIC salen enormes o sin sentido por el patrimonio pequeño y el capital invertido negativo, no por ninguna rareza contable.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del 10,3 % de las ventas, creciendo más deprisa que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 M (7,7 %) en 2022 → 111 M (10,3 %) en 2025; el BPA ajustado la ignora y el GAAP es un 29 % menor [4,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por encima de la caja generada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306 M pagados en el 1S26 frente a 175 M de flujo operativo: la caja bajó de 329 M a 186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director financiero tras 20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Story se jubila; le sucede Linda Pinne, interventora general y responsable contable desde 2016 (sucesión interna anunciada)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62 M en 2025 (el 655 % del capital invertido medio); ha subido más de un 5 % en 0 de 9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10,9 %.</w:t>
      </w:r>
    </w:p>
    <w:p>
      <w:pPr>
        <w:spacing w:after="100"/>
      </w:pPr>
      <w:r>
        <w:t xml:space="preserve">El ROIC del motor no sirve: el capital invertido contable es casi nulo o negativo porque los clientes pagan la nube por adelantado (337 M USD de pasivos de contrato en 2025) y las recompras han dejado el patrimonio en 157,5 M en junio de 2026, sin deuda [1, 2]. La medida exigente, con inmovilizado, fondo de comercio y clientes (≈ 300 M en 2025) y el resultado operativo GAAP después de impuestos (215 M), da un 72 %, frente a un WACC del 10,9 %: ≈ +61 puntos. Es el perfil de un software maduro de nicho que crece sin capital: inversión del 1,4 % de las ventas y ninguna compra de empresas en diez años. El ROE (72 %) lo inflan las recompras, no la deuda. La tendencia es buena: el resultado operativo GAAP pasó de 144 M en 2021 a 280 M en 2025 con un capital casi constante, y el margen operativo ajustado del 26 % al 35 % [4, 10]. El riesgo para la rentabilidad no es el capital sino el precio: si los agentes de IA abaratan el software de almacén o los servicios de implantación, la caída sería de margen, no de rotación.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186,1 M USD a 30-jun-2026 (328,7 M a 31-dic-2025), sin deuda financiera y sin líneas de crédito [2,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sin pensiones de prestación definida y sin compras pendientes de pago. Pasivos por arrendamiento operativo de oficinas: 61,1 M USD a cierre de 2025 (53,9 M a largo plazo en junio de 2026); en US GAAP su gasto ya está en el EBITDA, así que no se suman a la deuda [1, 2]. El pasivo que importa son los cobros anticipados (ingresos diferidos) de 343,2 M a 30-jun-2026: la nube y el mantenimiento se facturan por adelantado y financian el circulante [2]. Compromiso de recompra: quedaban 225 M de la autorización de 500 M aprobada en marzo de 2026 [2]. Litigios: ninguno relevante declarado en el 10-K [1].</w:t>
      </w:r>
    </w:p>
    <w:p>
      <w:pPr>
        <w:pStyle w:val="Heading1"/>
      </w:pPr>
      <w:r>
        <w:t xml:space="preserve">12. Asignación de capital</w:t>
      </w:r>
    </w:p>
    <w:p>
      <w:pPr>
        <w:pStyle w:val="Confianza"/>
        <w:spacing w:after="100"/>
      </w:pPr>
      <w:r>
        <w:t xml:space="preserve">Confianza: Alta</w:t>
      </w:r>
    </w:p>
    <w:p>
      <w:pPr>
        <w:spacing w:after="100"/>
      </w:pPr>
      <w:r>
        <w:t xml:space="preserve">Sin dividendo. Prioridades declaradas: invertir en I+D (145 M USD en 2025, 13 % de las ventas) y en ventas, y devolver el resto con recompras [1]. En marzo de 2026 el consejo subió la autorización de recompra de 100 M a 500 M; en el 1S26 se recompraron 1,92 millones de acciones por 275 M y quedaban 225 M [2]. En diez años la empresa ha invertido más de 1.500 M en recompras y ha reducido las acciones en circulación un 15 %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Asignación de capital disciplinada y simple: ninguna compra de empresas en diez años (la última relevante, GlobalBay en 2014), todo el crecimiento es orgánico y la caja va a recompras. El fondo de comercio de 62 M no se mueve desde hace una década [1]. Las recompras han bajado las acciones diluidas de 72,1 M en 2016 a 61,1 M en 2025 (−1,6 % al año), pero buena parte solo compensa la emisión por la remuneración en acciones; y el ritmo de 2026 (275 M en seis meses a precios de 120-160 USD) ha sido oportuno, porque se hizo cerca de los mínimos [2, 10]. Riesgo: recomprar a 40 veces beneficios ajustados rinde poco al accionista que se queda.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A. Clark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NTT Data North America (2024-2025) y de NTT Ltd. Americas (2022-2024); antes, director digital y de estrategia de NTT Data Services. Llegó en febrero de 2025 de fuera: desde entonces el crecimiento ha pasado del +3 % al +9 % y la contratación ha marcado tres récords trimestrales [2,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C. Pinne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abril 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2005; interventora general y responsable contable desde 2016. Sucede a Dennis Story, director financiero desde 2006 [22,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Eddie Capel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desde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2013 a febrero de 2025; con él las ventas se duplicaron y la empresa pasó a la nube. Presidente ejecutivo en 2025 y no ejecutivo desde el 1-ene-2026 [22,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G. Howell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comercial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2006; dirigió América desde 2022 y ventas de Norteamérica desde 2013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 Stewart Gantt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servicios profesionales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 empresa desde 1995 (I+D, producto, soporte); lleva los servicios de implantación, el 47 % de las ventas [22].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 de 2025: ventas 1.060-1.070 M USD; BPA ajustado 4,45-4,55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1.081,4 M; BPA ajustado 5,06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 de 2026: ventas 1.133-1.153 M; BPA ajustado 5,04-5,20 (subida a 5,29-5,37 en abril y a 5,44-5,50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580,0 M y BPA ajustado 2,62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en transición pero estable en lo operativo: consejero delegado nuevo desde febrero de 2025 (Eric Clark, de fuera), presidente que deja de ser ejecutivo en 2026 y directora financiera interna desde abril de 2026, tras 20 años de Dennis Story [22, 25, 26]. La dirección suele dar una guía prudente y superarla: en 2025 dio 4,45-4,55 de BPA ajustado y logró 5,06; en 2026 ha subido la guía dos veces [2]. El riesgo es que el nuevo equipo comercial gaste más en ventas (gastos comerciales +54 % en el 2T26) sin que la contratación récord llegue a ingresos.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Eddie Capel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A. Clark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E. Noonan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Edmond I. Eger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T. Hollembaek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Kimberly A. Kuryea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(directora financiera de General Dynamics)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 Moran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Danielle Sheer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Eddie Capel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3,34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indexado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febrero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julio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febrero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febrero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(13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501.191 acciones a 2-mar-2026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A. Clark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Linda T. Hollembaek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 Stewart Gantt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A. Clark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 Stewart Gantt (vicepresidente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Eric A. Clark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16,7 M USD en 2025: 0,71 M de sueldo, 2,1 M de bonificación de entrada, 0,84 M de variable anual y 13,0 M en acciones (la mitad sujetas a objetivos), por su primer año [22]. El variable anual y la mitad de las acciones dependen de tres medidas: ingresos, nuevas contrataciones de nube y resultado operativo ajustado; no hay ninguna de rentabilidad sobre el capital, caja libre ni rentabilidad para el accionista [22]. En 2025 se superaron los objetivos y el variable pagó por encima del objetivo. Hay política de recuperación (clawback) [22]. Ratio con el empleado medio: 121 a 1 (216 a 1 sin ajustar por poder de compra) [22]. En la junta de 2026 se amplió el plan de acciones en 3 millones de títulos (≈ 5 % del capital), con un 5 % de votos en contra [23, 28].</w:t>
      </w:r>
    </w:p>
    <w:p>
      <w:pPr>
        <w:pStyle w:val="Heading2"/>
      </w:pPr>
      <w:r>
        <w:t xml:space="preserve">Operaciones vinculadas, estructura de control y defensas</w:t>
      </w:r>
    </w:p>
    <w:p>
      <w:pPr>
        <w:spacing w:after="100"/>
      </w:pPr>
      <w:r>
        <w:t xml:space="preserve">Sin accionista de control: los mayores son gestoras indexadas (Vanguard 11 %, BlackRock 10 %) y los internos tienen menos del 1 % [22]. Una acción, un voto. Defensa principal: </w:t>
      </w:r>
      <w:r>
        <w:rPr>
          <w:b/>
        </w:rPr>
        <w:t xml:space="preserve">consejo escalonado</w:t>
      </w:r>
      <w:r>
        <w:t xml:space="preserve"> en tres clases (cada consejero se elige para tres años), que hace más lenta una toma de control hostil [23]. Sin operaciones vinculadas relevantes. El presidente, Eddie Capel, fue consejero delegado hasta 2025, así que no es independiente; por eso hay consejero coordinador independiente (Thomas Noonan, en el consejo desde 1999) [22]. Seis de los ocho consejeros son independientes y las tres comisiones lo son al 100 % [22].</w:t>
      </w:r>
    </w:p>
    <w:p>
      <w:pPr>
        <w:pStyle w:val="Heading2"/>
      </w:pPr>
      <w:r>
        <w:t xml:space="preserve">Señales de alerta</w:t>
      </w:r>
    </w:p>
    <w:p>
      <w:pPr>
        <w:pStyle w:val="ListParagraph"/>
        <w:numPr>
          <w:ilvl w:val="0"/>
          <w:numId w:val="2"/>
        </w:numPr>
        <w:spacing w:after="60"/>
      </w:pPr>
      <w:r>
        <w:t xml:space="preserve">Consejo escalonado (clasificado en tres clases): defensa frente a ofertas.</w:t>
      </w:r>
    </w:p>
    <w:p>
      <w:pPr>
        <w:pStyle w:val="ListParagraph"/>
        <w:numPr>
          <w:ilvl w:val="0"/>
          <w:numId w:val="2"/>
        </w:numPr>
        <w:spacing w:after="60"/>
      </w:pPr>
      <w:r>
        <w:t xml:space="preserve">Votos en contra altos en consejeros: Linda Hollembaek 24,6 % en 2026 y Thomas Noonan 19,2 % en 2025 (antigüedad desde 1999 y comisiones) [23, 24].</w:t>
      </w:r>
    </w:p>
    <w:p>
      <w:pPr>
        <w:pStyle w:val="ListParagraph"/>
        <w:numPr>
          <w:ilvl w:val="0"/>
          <w:numId w:val="2"/>
        </w:numPr>
        <w:spacing w:after="60"/>
      </w:pPr>
      <w:r>
        <w:t xml:space="preserve">Ventas de directivos sin compras en 12 meses (3,3 M USD, ninguna con plan 10b5-1), pequeñas frente a su remuneración en acciones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del 28-jul-2026 (segunda subida del año): ventas 1.160-1.166 M USD (+7-8 %), margen operativo GAAP 24,2-24,4 % y ajustado 35,0-35,2 %, BPA GAAP 3,59-3,65 y ajustado 5,44-5,50 (+8-9 %); RPO de 2.620-2.680 M a fin de año [2]. En enero la guía era de 1.133-1.153 M y 5,04-5,20, por debajo de lo que esperaba el mercado (la acción cayó un 5,2 %) [39]. No hay plan a medio plazo publicado.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11 analistas; BPA ajustado (sin pagos en acciones)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11 analistas; BPA ajustado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190,00 – 260,00</w:t>
            </w:r>
          </w:p>
        </w:tc>
      </w:tr>
    </w:tbl>
    <w:p>
      <w:pPr>
        <w:spacing w:after="160" w:before="0"/>
      </w:pPr>
    </w:p>
    <w:p>
      <w:pPr>
        <w:pStyle w:val="Heading2"/>
      </w:pPr>
      <w:r>
        <w:t xml:space="preserve">Revisiones de estimaciones</w:t>
      </w:r>
    </w:p>
    <w:p>
      <w:pPr>
        <w:spacing w:after="100"/>
      </w:pPr>
      <w:r>
        <w:t xml:space="preserve">El BPA ajustado de 2026 del consenso ha subido de 5,36 USD hace 90 días a 5,5 y el de 2027 de 5,95 a 6,15 (+3 %), tras la subida de guía del 2T26 [31]. En 12 meses la guía de BPA ajustado de 2026 ha pasado de 5,04-5,20 (enero) a 5,44-5,50 [2]. Morgan Stanley subió la recomendación a Sobreponderar el 12-oct-2026 con objetivo de 250 USD (desde 180) por la aceleración de la contratación de nube y la IA, aunque solo ve un 1-2 % más de ventas que el consenso [38, 40]. Stock Analysis da un BPA 2026 de 5,41-5,66 y un objetivo medio de 230,2 USD con 11 recomendaciones (9 de compra, 2 de mantener) [32].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bl>
    <w:p>
      <w:pPr>
        <w:spacing w:after="160" w:before="0"/>
      </w:pPr>
    </w:p>
    <w:p>
      <w:pPr>
        <w:spacing w:after="100"/>
      </w:pPr>
      <w:r>
        <w:t xml:space="preserve">La acción bajó un 61 % desde el máximo de diciembre de 2024 (≈ 312 USD) hasta el mínimo del 10-abr-2026 (119 USD): en 2025 por la caída de los servicios y la guía floja (−35,9 % en el año frente a +17,7 % del S&amp;P 500), y en febrero-abril de 2026 por el miedo a que los agentes de IA sustituyan el software de aplicaciones (−10,0 % el 3-feb y −7,3 % el 9-abr con los anuncios de Anthropic) [16, 20, 30]. Desde abril sube un 86 %: guía subida en abril (+5,9 %), resultados del 2T26 con nube +26 % y contratación récord (+21,3 % el 29-jul), y mejora de Morgan Stanley el 12-oct (+6,3 %) [30, 37, 38]. En 2026 gana un 28 % frente al 13 % del S&amp;P 500 y el −1 % del software (IGV), pero a 3 y 5 años sigue muy por detrás del índice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 +41,5 % / +68,2 % / +16,6 %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 / +86,2 %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el 28-jul: ventas +9,3 %, nube +26 %, cartera contratada (RPO) de 2.470 M (+23 %), BPA ajustado de 1,39 frente a 1,32 esperado y guía de 2026 subida por segunda vez; la acción subió un 21,3 % el 29-jul (+22,6 % en la sesión) [2, 37]. Antes, la guía del 1T26 (+5,9 % el 22-abr)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al día siguiente de la subida del 21 %; sin noticia de la empresa [30,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30-sep con el software y la subida de la rentabilidad del Tesoro (bono a 10 años por encima del 5 %); sin noticia de la empresa [33,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sin causa propia encontrada (sin notas, 8-K ni cambios de recomendación ese día en EDGAR ni en los titulares revisados)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Miedo a que los agentes de IA sustituyan el software de aplicaciones: −10,0 % el 3-feb (herramientas de Anthropic para empresas), −9,8 % el 23-feb (sin causa propia encontrada), −5,1 % el 24-mar y −7,3 % el 9-abr (Managed Agents de Anthropic); mínimo de 119 USD el 10-abr [16, 20]. Antes, −5,2 % el 28-ene por una guía de 2026 floja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Morgan Stanley sube MANH a Sobreponderar y el objetivo de 180 a 250 USD (+6,3 % en el día) [38,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resultados del 3T26: 27-oct-2026 tras el cierre, con conferencia a las 16:30 de Nueva York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en 12 meses por 3,34 M USD (Clark 3.000 acciones a 197,76 el 11-ago; Gantt 5.139 a 195,53 el 30-jul; Hollembaek 1.579 a 189,88), ninguna compra y ninguna con plan 10b5-1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guía de 2026 subida a 1.160-1.166 M de ventas y 5,44-5,50 USD de BPA ajustado; recompras de 275 M en el semestre y 225 M autorizados pendientes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Reducción de plantilla del ≈ 6 % con 8,3 M de reestructuración; guía confirmada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2026: 89,4 % a favor de la remuneración; 24,6 % en contra del consejero Hollembaek; ampliación del plan de acciones en 3 M de títulos (≈ 5 % del capital) [23,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subido un 86 % desde el mínimo de abril y está a un 1 % del máximo de 52 semanas: lo explica la recuperación de la contratación y de la guía (2T26) y una mejora de Morgan Stanley, después de una caída del 61 % entre diciembre de 2024 y abril de 2026 por la guía floja de 2025 y el miedo a la IA [20, 30, 37]. No hay colocaciones, ampliaciones, convertibles ni ofertas; los directivos venden poco (3,3 M USD) y no compran. El único hecho pendiente son los resultados del 27-oct, que no aplazan la decisión (la tendencia es alcista). Veredicto: no cambia, porque la decisión ya es no comprar por valoración, no por el momento de la cotización.</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GAAP, Manhattan ha cotizado entre 30 y 80 veces sus beneficios de los últimos 12 meses en 2019-2025 [30]: el múltiplo subió con la nube y los tipos bajos (2021) y volvió a bajar con la caída de 2025. Hoy, a 222,17 USD, cotiza a 64 veces el BPA GAAP de los últimos 12 meses (3,49) y a 37 veces el BPA ajustado de los próximos 12 meses, por debajo de la mediana de 46 veces de 2021-2025 en la misma base (precio de cierre ÷ BPA ajustado del año siguiente). Lo estructural que ha cambiado: el bono a 10 años en el 5,1 % frente al 1,5 % de 2021, y el miedo a la IA en el software de aplicaciones [16, 33].</w:t>
      </w:r>
    </w:p>
    <w:p>
      <w:pPr>
        <w:pStyle w:val="Heading1"/>
      </w:pPr>
      <w:r>
        <w:t xml:space="preserve">18. Comparables cotizados</w:t>
      </w:r>
    </w:p>
    <w:p>
      <w:pPr>
        <w:pStyle w:val="Confianza"/>
        <w:spacing w:after="100"/>
      </w:pPr>
      <w:r>
        <w:t xml:space="preserve">Confianza: Media</w:t>
      </w:r>
    </w:p>
    <w:p>
      <w:pPr>
        <w:spacing w:after="100"/>
      </w:pPr>
      <w:r>
        <w:t xml:space="preserve">Software vertical y de cadena de suministro con márgenes altos y cobro recurrente: Descartes, Kinaxis y SPS Commerce (cadena de suministro y logística, los más cercanos) y software vertical de calidad (Tyler, Bentley, PTC, Guidewire, Roper, Veeva). Fuera SAP y Oracle: son ERP y nube de propósito general (Oracle crece un 46 % por los centros de datos de IA) y el dato de Yahoo de SAP mezcla divisas; Blue Yonder, Körber e Infor no cotizan. Todos con datos de Yahoo del 19-oct-2026 (PER adelantado del ejercicio siguiente, en general ajustado; EV/EBITDA de los últimos 12 meses con EBITDA de Yahoo).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Manhattan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Descartes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Kinaxis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SPS Commerce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Guidewire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 / 25,9x / 33,3x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23,3x / 25,6x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 / 7,5x / 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r>
    </w:tbl>
    <w:p>
      <w:pPr>
        <w:spacing w:after="160" w:before="0"/>
      </w:pPr>
    </w:p>
    <w:p>
      <w:pPr>
        <w:spacing w:after="100"/>
      </w:pPr>
      <w:r>
        <w:t xml:space="preserve">Manhattan cotiza a 36,7 veces el BPA ajustado de 2027 del consenso y a 44 veces el EBITDA de los últimos 12 meses, frente a una mediana de 23,3 veces de PER en los comparables: una prima del 57 % [31]. Se justifica en parte por el ROIC (capital invertido negativo), el balance sin deuda, el margen ajustado del 35 % y un crecimiento de la nube del 26 %; pero las ventas totales crecen un 8-9 %, como Tyler, Bentley o Descartes, que cotizan a 23-26 veces. Kinaxis y Guidewire, que crecen más, cotizan a 25 y 32 veces. El múltiplo de los comparables no sirve para valorar a Manhattan por sí solo: usaría el PER para el contraste y le daría poco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E2open (red de comercio y cadena de suministro)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WiseTech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 USD por acción en efectivo, prima del 28 % sobre el cierre del 23-may; ventas FY2025 de 607,7 M en caída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Coupa Software (compras y cadena de suministro)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USD por acción; 8,4 veces las ventas de los próximos 12 meses del consenso según la propia presentación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Yonder (planificación y ejecución de la cadena de suministro)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Panasonic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Panasonic compró el 80 % que no tenía por 5.600 M más deuda; valor del 100 % de 8.500 M y ventas de 2020 de algo más de 1.000 M (múltiplo aproximado, estimación propia) [21].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117,24 – 165,71</w:t>
            </w:r>
          </w:p>
        </w:tc>
      </w:tr>
    </w:tbl>
    <w:p>
      <w:pPr>
        <w:spacing w:after="160" w:before="0"/>
      </w:pPr>
    </w:p>
    <w:p>
      <w:pPr>
        <w:spacing w:after="100"/>
      </w:pPr>
      <w:r>
        <w:t xml:space="preserve">Las tres operaciones de cadena de suministro de los últimos cinco años se pagaron a 3,5-8,5 veces las ventas, frente a las 11,4 veces de Manhattan hoy (12.821 M de valor empresa de Yahoo sobre 1.126 M de ventas de los últimos 12 meses) [31]. Es decir, el precio de bolsa ya está muy por encima de lo que pagaron compradores con prima de control por Blue Yonder o Coupa. Manhattan no tiene accionista de control y su consejo escalonado dificulta una oferta hostil; un comprador natural (SAP, Oracle, un fondo grande) tendría que pagar más de 13.000 M.</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(+7,5 %, fijo) es el centro de la guía de ventas (1.160-1.166 M USD) [2] y el consenso (1.165,5 M) [31]. Después, +9,0 % en 2027e (consenso +8,5 % [31]) y +9,5 % en 2028e, apoyados en una cartera contratada (RPO) de 2.470 M (+23 %) y una nube que crece un 26 % [2]; a partir de 2029e el crecimiento baja al 4 % de 2035e. La media de 2026e-2035e (7,3 %) está por encima del 6,7 % anual de 2021-2025 y por debajo del mercado de software de cadena de suministro (+8,7 % anual hasta 2030 según MarketsandMarkets [14]), porque la nube empuja pero los servicios (47 % de las ventas) y el mantenimiento en retirada frenan [1].</w:t>
      </w:r>
    </w:p>
    <w:p>
      <w:pPr>
        <w:keepNext/>
        <w:spacing w:after="100"/>
      </w:pPr>
      <w:r>
        <w:rPr>
          <w:b/>
          <w:bCs/>
        </w:rPr>
        <w:t xml:space="preserve">Márgenes.</w:t>
      </w:r>
    </w:p>
    <w:p>
      <w:pPr>
        <w:spacing w:after="100"/>
      </w:pPr>
      <w:r>
        <w:t xml:space="preserve">Margen EBITDA GAAP (con la remuneración en acciones como coste) del 24,8 % en 2026e, calibrado con la guía de BPA GAAP (3,59-3,65 USD) y la reestructuración de 8,3 M [2, 9], que sube al 30,5 % en 2032e: equivale a un margen operativo ajustado de ≈ 40 %, cinco puntos sobre el 35,1 % guiado para 2026, por la escala de la nube (margen bruto creciente) y el menor peso de los servicios. Es un supuesto generoso: el margen GAAP de 2025 fue del 26,5 % y no se proyecta ninguna presión de precios de la IA en el caso base.</w:t>
      </w:r>
    </w:p>
    <w:p>
      <w:pPr>
        <w:keepNext/>
        <w:spacing w:after="100"/>
      </w:pPr>
      <w:r>
        <w:rPr>
          <w:b/>
          <w:bCs/>
        </w:rPr>
        <w:t xml:space="preserve">Inversión y circulante.</w:t>
      </w:r>
    </w:p>
    <w:p>
      <w:pPr>
        <w:spacing w:after="100"/>
      </w:pPr>
      <w:r>
        <w:t xml:space="preserve">Inversión del 1,4 % de las ventas (15,5 M USD en 2025 [10]) y amortización del 0,6 %. Circulante del −13 % de las ventas (clientes 215 M, proveedores 22 M y cobros anticipados 337 M en 2025 [1]): crecer genera caja. No se proyectan compras de empresas (ninguna en diez años).</w:t>
      </w:r>
    </w:p>
    <w:p>
      <w:pPr>
        <w:keepNext/>
        <w:spacing w:after="100"/>
      </w:pPr>
      <w:r>
        <w:rPr>
          <w:b/>
          <w:bCs/>
        </w:rPr>
        <w:t xml:space="preserve">Coste del capital.</w:t>
      </w:r>
    </w:p>
    <w:p>
      <w:pPr>
        <w:spacing w:after="100"/>
      </w:pPr>
      <w:r>
        <w:t xml:space="preserve">Tasa libre del 5,09 % (bono del Tesoro a 10 años, 16-oct-2026 [33]); beta de 1,05, entre la ajustada mensual a 5 años (0,92) y la semanal a 2 años (1,15) [30]; prima del 5,5 %; sin deuda. WACC del 10,87 %. Con la prima implícita del mercado (4,2 % [34]) el WACC baja al 9,5 % y el DCF sube a 100,49 USD: la conclusión no depende de la tasa.</w:t>
      </w:r>
    </w:p>
    <w:p>
      <w:pPr>
        <w:keepNext/>
        <w:spacing w:after="100"/>
      </w:pPr>
      <w:r>
        <w:rPr>
          <w:b/>
          <w:bCs/>
        </w:rPr>
        <w:t xml:space="preserve">Valor terminal.</w:t>
      </w:r>
    </w:p>
    <w:p>
      <w:pPr>
        <w:spacing w:after="100"/>
      </w:pPr>
      <w:r>
        <w:t xml:space="preserve">Crecimiento a perpetuidad del 3,0 %, algo por encima de la inflación esperada porque el software de cadena de suministro sigue ganando peso; el valor terminal pesa un 54 % del total. Con un 4 % y un WACC del 9,9 % (la esquina más favorable de la tabla) el DCF solo llega a 104,90 USD.</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 (reinvierte el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frente al 7,3 %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(hoy: 2,8 %)</w:t>
            </w:r>
          </w:p>
        </w:tc>
      </w:tr>
    </w:tbl>
    <w:p>
      <w:pPr>
        <w:spacing w:after="160" w:before="0"/>
      </w:pPr>
    </w:p>
    <w:p>
      <w:pPr>
        <w:spacing w:after="100"/>
      </w:pPr>
      <w:r>
        <w:t xml:space="preserve">La proyección apenas necesita inversión neta de la amortización (reinversión acumulada de -6 M, con un capex bruto medio del 1,4 % de las ventas). En un negocio de activos ligeros, el crecimiento medio del 7,3 % tiene que salir de subir precios y de ganar volumen sin capital nuevo, y la prueba es el poder de precios y la cuota (2,8 % del mercado en 2030e, frente al 2,8 %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[2]: volumen (clientes nuevos y migraciones a la nube, +26 % de nube) del 6 %, precio del 2,5 % (subidas anuales de suscripción) y −1 punto de otros por la caída del mantenimiento y del hardware.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6,5 % (RPO +23 %, conversión a la nube de la base instalada [2]) y precio del 2,5 %; consenso +8,5 % [31].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con los agentes de IA y la gestión del transporte vendidos a la base, y precio del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6,5 % y precio del 2,5 %: la nube pesa más y los servicios de implantación crecen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6 % y precio del 2,5 %, en línea con el mercado (+8,7 % anual hasta 2030 [14]).</w:t>
            </w:r>
          </w:p>
        </w:tc>
      </w:tr>
    </w:tbl>
    <w:p>
      <w:pPr>
        <w:spacing w:after="160" w:before="0"/>
      </w:pPr>
    </w:p>
    <w:p>
      <w:pPr>
        <w:spacing w:after="100"/>
      </w:pPr>
      <w:r>
        <w:t xml:space="preserve">El crecimiento proyectado (7,3 % medio en 2026e-2035e) no necesita capital: el circulante es negativo, la inversión es del 1,4 % de las ventas y no hay compras. La cuota implícita en 2030e (≈ 2,8 % de un mercado de 58.420 M USD [14]) es la misma que hoy, y la cartera contratada (2.470 M, 2,1 veces las ventas de 2026) cubre buena parte de los dos primeros años [2]. El motor da también «Sí». El riesgo para la sostenibilidad no es la financiación sino el precio: si la IA reduce las horas de implantación (los servicios son el 47 % de las ventas) o abarata las licencias por usuario, las ventas crecerían menos con el mismo volumen;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 (base: 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61 % justifica el precio (base: 30,5 %)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(WACC: 10,9 %)</w:t>
            </w:r>
          </w:p>
        </w:tc>
      </w:tr>
    </w:tbl>
    <w:p>
      <w:pPr>
        <w:spacing w:after="160" w:before="0"/>
      </w:pPr>
    </w:p>
    <w:p>
      <w:pPr>
        <w:spacing w:after="100"/>
      </w:pPr>
      <w:r>
        <w:t xml:space="preserve">El DCF da 82,98 USD por acción, un 62,7 % por debajo del precio, con un WACC del 10,87 % y un valor terminal del 54 %. El DCF inverso dice que el precio descuenta un crecimiento anual de las ventas del 21,8 % durante diez años con nuestros márgenes, el triple de nuestro 7,3 % y del 8,7 % del mercado [14]: la rentabilidad implícita en el precio es del 6,0 % anual, por debajo de cualquier coste del capital razonable. Con la prima de riesgo que hoy pide el mercado (4,2 %) vale 100,49 USD, y aun excluyendo la remuneración en acciones (como hace la empresa en su ajustado) ≈ 112 USD. La conclusión es robusta: el precio paga un crecimiento y unos márgenes que ni la guía ni el mercado sostienen.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y SAP, Oracle y Blue Yonder abaratan el software de almacén y reducen las horas de implantación (servicios, 47 % de las ventas); el crecimiento queda 3 puntos por debajo y el margen 3 puntos por debajo del base, con WACC medio punto mayor y crecimiento terminal del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crece al 20-25 % mientras los servicios se estabilizan; ventas +7,5-9,5 % en 2026-2028 y bajando hacia el 4 %, margen EBITDA GAAP del 24,8 % al 30,5 % por la escala de la nube.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se convierten en una línea de ingresos nueva sobre la base instalada y el transporte gana cuota: 2 puntos más de crecimiento y de margen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222,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80,80 USD (-63,6 %).</w:t>
      </w:r>
    </w:p>
    <w:p>
      <w:pPr>
        <w:spacing w:after="100"/>
      </w:pPr>
      <w:r>
        <w:t xml:space="preserve">Los tres escenarios del DCF quedan muy por debajo del precio: bajista 55,90 USD (−74,8 %), base 82,98 (−62,7 %) y alcista 101,34 (−54,4 %); el ponderado es de 80,79 USD. Ni con dos puntos más de crecimiento y margen al año durante diez años se acerca al precio: la cotización depende de que el mercado siga pagando 37 veces el BPA ajustado, no del flujo de caja.</w:t>
      </w:r>
    </w:p>
    <w:p>
      <w:pPr>
        <w:pStyle w:val="Heading1"/>
      </w:pPr>
      <w:r>
        <w:t xml:space="preserve">22. Suma de partes</w:t>
      </w:r>
    </w:p>
    <w:p>
      <w:pPr>
        <w:pStyle w:val="Confianza"/>
        <w:spacing w:after="100"/>
      </w:pPr>
      <w:r>
        <w:t xml:space="preserve">Confianza: Alta</w:t>
      </w:r>
    </w:p>
    <w:p>
      <w:pPr>
        <w:spacing w:after="100"/>
      </w:pPr>
      <w:r>
        <w:t xml:space="preserve">No aplica: Manhattan es un solo negocio de software de cadena de suministro (almacén, transporte, pedidos y punto de venta) sobre una misma plataforma (Manhattan Active), con segmentos solo geográficos [1]. Servicios, nube y mantenimiento son formas de cobrar el mismo producto, no negocios separables.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222,1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90,70 USD (-59,2 % sobre 222,17).</w:t>
      </w:r>
    </w:p>
    <w:p>
      <w:pPr>
        <w:spacing w:after="100"/>
      </w:pPr>
      <w:r>
        <w:t xml:space="preserve">Pesos: DCF 45 %, escenarios 40 % y comparables 15 %. El DCF manda porque Manhattan es un negocio estable, sin deuda y con caja predecible; los comparables (software vertical con ROIC alto: Descartes, Kinaxis, SPS Commerce, Tyler, Bentley, PTC, Guidewire, Roper y Veeva) dan entre 87 y 164 USD por EV/EBITDA y entre 131 y 154 por PER, también muy por debajo del precio: Manhattan cotiza a 45 veces el EBITDA LTM y 37 veces el BPA de los próximos 12 meses, frente a una mediana de comparables de 23 veces el PER [31]. Las transacciones (E2open a 3,5 veces las ventas, Coupa a 8,4 y Blue Yonder a ≈ 8,5) dan 117-166 USD [19, 21, 36] y no pesan porque no hay EBITDA publicado. El valor objetivo de la síntesis es de 90,70 USD (−59,2 %); con la prima del mercado, 105,26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(37x) × 1.1 (tope: la mediana de 5 años, 45.6x,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r>
    </w:tbl>
    <w:p>
      <w:pPr>
        <w:spacing w:after="160" w:before="0"/>
      </w:pPr>
    </w:p>
    <w:p>
      <w:pPr>
        <w:spacing w:after="100"/>
      </w:pPr>
      <w:r>
        <w:rPr>
          <w:b/>
          <w:bCs/>
        </w:rPr>
        <w:t xml:space="preserve">Objetivo a 12 meses (ponderado):</w:t>
      </w:r>
      <w:r>
        <w:t xml:space="preserve"> 274,40 USD · rentabilidad +23,5 % (base +26,6 %) · señal Mantener.</w:t>
      </w:r>
    </w:p>
    <w:p>
      <w:pPr>
        <w:spacing w:after="100"/>
      </w:pPr>
      <w:r>
        <w:t xml:space="preserve">Para comparar, con la regla v2 (historia al cierre, mismo precio): 34,3x / 37,0x / 46,5x, 20,3 % Mantener; con el tope anterior del base (×1,3, 14-oct mediodía): 24,1 %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(5,47 USD) está en el centro de la guía (5,44-5,50) y un 0,5 % bajo el consenso (5,50); el de 2027e (6,14) coincide con el consenso (6,145) [2, 31]. No hay consenso gratuito de 2028e; nuestro 6,91 supone un +12,5 % sobre 2027e. La distancia con el objetivo medio de los analistas (230,20 USD, 10 analistas) está en el múltiplo: el consenso aplica ≈ 37 veces el BPA de 2027e y la regla común lleva el PER a 40,7 veces, porque la mediana de cinco años (45,6) es más alta que el múltiplo actual.</w:t>
      </w:r>
    </w:p>
    <w:p>
      <w:pPr>
        <w:keepNext/>
        <w:spacing w:after="100"/>
      </w:pPr>
      <w:r>
        <w:rPr>
          <w:b/>
          <w:bCs/>
        </w:rPr>
        <w:t xml:space="preserve">Del valor intrínseco al objetivo a 12 meses.</w:t>
      </w:r>
    </w:p>
    <w:p>
      <w:pPr>
        <w:spacing w:after="100"/>
      </w:pPr>
      <w:r>
        <w:t xml:space="preserve">El objetivo a 12 meses (274,40 USD, ponderado) queda un 23,5 % sobre el precio del 16-oct (+21,7 % sobre los 225,52 de la sesión del 19-oct) y el base (281,24) un 26,6 %: la regla de múltiplos ve la acción barata frente a su propia historia, que se formó con tipos bajos y la fiebre del software de 2021-2024 (PER adelantado de 45-56 veces). Pero no basta: el valor intrínseco (90,70 USD) está un 60 % bajo el precio, así que la regla no da Comprar y no pasa el filtro de mantener (valor intrínseco no más de un 15 % bajo el precio). Con el BPA un 10 % menor la ponderada cae al 9,5 %. Crecimiento del BPA base: +12,4 % anual sobre el ajustado (el que mide el motor sobre el BPA GAAP de 3,60 incluye la remuneración en acciones). Para comprar haría falta un precio de 90,70 USD (−59 %).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(tras el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nube y del RPO frente a la guía de 2.620-2.680 M; guía de 2026 (consenso de BPA del trimestre: 1,46 USD) [31,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frente a los 6,15 USD de BPA del consenso; en 2025 y 2026 la guía inicial decepcionó (−5,2 % el 28-ene-2026)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agentes de IA (Active Agents, Agent Foundry)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convierten en ingresos medibles, línea nueva sobre la base instalada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agentes de empresa de Anthropic, OpenAI, SAP u Oracle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anuncio ha costado al software de aplicaciones un 5-10 % en un día (3-feb, 9-abr) [16,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(225 M USD autorizados pendientes)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+1,5 % de BPA al año; a 37 veces el BPA rinden poco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a largo plazo (bono a 10 años del 5,1 %)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múltiplo de 37 veces es muy sensible a los tipos: la caída de septiembre de 2026 [33]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37 veces el BPA ajustado de los próximos 12 meses y 45 veces el EBITDA; el DCF vale 83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el PER vuelve a 31,7 (mínimo de 5 años); −60 % al valor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12 % anual y 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 6,15 USD de BPA o crecimiento de la nube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agentes que automatizan la planificación y la implantación, o que abaratan el software por usuario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−35 % a 3-5 años (bajista del DCF −25 % sobre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WMS es un sistema de registro que ejecuta en tiempo real con hardware y robots; Manhattan vende sus propios agentes [1, 16]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los servicios de implantación más allá de lo guiado o precios por usuario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SAP (EWM), Oracle (WMS Cloud), Blue Yonder (Panasonic) y Körber, y de los ERP que venden a su base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éxito en concursos superior al 70 % y liderazgo de Gartner desde 2005 [11,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de éxito por debajo del 60 % o pérdida de clientes grandes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implantación (47 % de las ventas) cíclicos y en presión: cayeron en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plantilla del 6 % y socios integradores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por debajo de 130 M USD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(10,3 % de las ventas) y recompras a múltiplos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al año de dilución compensada con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diluidas −1,6 % al año en diez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por encima del 11 %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del comercio minorista y de la logística (aranceles, consumo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del 50 % y RPO de 2.470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RPO creciendo menos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consejo escalonado, directivos que venden y no compran, 24,6 % en contra de un consejero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y consejero independiente de referencia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directivos fuera de las ventanas habituales</w:t>
            </w:r>
          </w:p>
        </w:tc>
      </w:tr>
    </w:tbl>
    <w:p>
      <w:pPr>
        <w:spacing w:after="160" w:before="0"/>
      </w:pPr>
    </w:p>
    <w:p>
      <w:pPr>
        <w:pStyle w:val="Heading2"/>
      </w:pPr>
      <w:r>
        <w:t xml:space="preserve">Pre-mortem</w:t>
      </w:r>
    </w:p>
    <w:p>
      <w:pPr>
        <w:spacing w:after="100"/>
      </w:pPr>
      <w:r>
        <w:t xml:space="preserve">Octubre de 2027: la acción ha perdido un 40 %. No fue un mal trimestre sino un cambio de precio del software: SAP y Oracle incluyeron agentes de almacén y transporte en sus suites sin coste adicional, y los agentes de propósito general redujeron a la mitad las horas de configuración de un WMS, así que los servicios (47 % de las ventas) cayeron un 15 % y la nube siguió creciendo pero al 15 %, no al 25 %. La guía de 2027 decepcionó por tercer año en enero, el bono a 10 años siguió por encima del 5 % y el mercado dejó de pagar 37 veces: volvió a las 25-30 veces de 2017-2018. El BPA creció un 6 % en vez del 12 %. La señal temprana: un RPO creciendo por debajo del 15 % y una tasa de éxito en concursos por debajo del 70 %.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−20 a +10 % a 3-5 años</w:t>
      </w:r>
    </w:p>
    <w:p>
      <w:pPr>
        <w:spacing w:after="100"/>
      </w:pPr>
      <w:r>
        <w:t xml:space="preserve">Manhattan está en la parte menos expuesta del software de aplicaciones: el WMS y el TMS son sistemas de registro y ejecución en tiempo real, conectados con escáneres, robots y transportistas, donde un error para un almacén; la ficha sectorial los pone en riesgo bajo o medio-bajo [16]. Un agente no sustituye esa capa: la necesita para actuar. La empresa ya vende agentes (Active Agents) y una herramienta para crearlos (Agent Foundry), adoptados por más del 10 % de su base según la conferencia del 2T26 [1, 13]. La exposición está en dos sitios. Primero, los servicios de implantación (47 % de las ventas, ≈ 530 M USD en 2026e), trabajo de configuración e integración que la IA puede abaratar: si las horas caen un 20 %, las ventas caen ≈ 9 %. Segundo, el precio: si SAP, Oracle o Blue Yonder regalan agentes con sus suites, o si los clientes pagan por resultado y no por usuario, la nube crece menos. El mercado ya lo ha castigado dos veces (−10 % el 3-feb y −7,3 % el 9-abr con anuncios de Anthropic) y ha rebotado con los resultados [20]. Lo recoge el bajista (−3 puntos de crecimiento y de margen). Señal: servicios cayendo más rápido que la nube crece.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Manhattan es la seguridad y disponibilidad de su nube (sus clientes paran almacenes y tiendas si el sistema cae), la protección de datos de clientes y consumidores, el uso responsable de la IA (agentes que toman decisiones operativas) y la retención de talento técnico, con buena parte de la I+D en India [1]. Su efecto ambiental es indirecto: el software reduce kilómetros vacíos, inventario y desperdicio de sus clientes; las emisiones propias son de oficinas y de la nube contratada (Google Cloud).</w:t>
      </w:r>
    </w:p>
    <w:p>
      <w:pPr>
        <w:pStyle w:val="Heading2"/>
      </w:pPr>
      <w:r>
        <w:t xml:space="preserve">Controversias</w:t>
      </w:r>
    </w:p>
    <w:p>
      <w:pPr>
        <w:spacing w:after="100"/>
      </w:pPr>
      <w:r>
        <w:t xml:space="preserve">Sin controversias ni demandas relevantes en el 10-K de 2025 ni en los 10-Q de 2026 [1, 8]. En gobierno: consejo escalonado (no se elige entero cada año), 24,6 % de votos en contra del consejero Hollembaek en 2026 y 10,5 % en contra de la remuneración, con un consejero delegado que cobró 16,70 M USD en 2025 (121 veces el empleado mediano) [22, 23].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servicios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horas de implantación por cliente ahorran hoy los agentes y las herramientas de IA, y cómo se reflejará en el precio de los servicios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son el 47 % de las ventas; es la vía principal del riesgo de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agentes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cobran Active Agents y Agent Foundry (por usuario, por transacción, incluidos) y qué parte del RPO corresponde a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una línea nueva (alcista) o un regalo para defender la base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 evolucionado la tasa de éxito frente a SAP EWM, Oracle y Blue Yonder en los concursos de 2026, y en cuántos los ERP ofrecen el WMS gratis?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tasa superior al 70 % sostiene el crecimiento de la nube.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operativo ajustado a largo plazo y cuánto aportará el recorte de plantilla del 6 %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base ya supone ≈ 40 % de margen ajustado; más margen es la única vía para acercarse al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remuneración en acciones subió de 59 M USD en 2022 a 111 M en 2025 y qué nivel se espera?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coste del 10 % de las ventas que el ajustado excluye.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qué criterio de precio se recompra, después de gastar 275 M en el 1S26 y con la acción hoy un 60 % más cara?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Recomprar a 37 veces el BPA rinde menos del 3 % al accionista.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alcistas tras el 2T26 («aburrida» pero ganadora) y la mejora de Morgan Stanley; algunos recogen beneficios. Un resumen muy leído apunta que la mejora es más de sentimiento que de cifras (solo un 1-2 % más de ventas que el consenso)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conviven «el siguiente capítulo ya está en el precio» y «ediciones, agentes y paciencia»; en marzo se publicó «un mal momento, con o sin amenaza de IA» y en abril «el foso sigue siendo amplio»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StockStory (análisis automatizado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razones de riesgo: crecimiento de ventas modesto, múltiplo alto y servicios flojos, tras una subida del 61 % en seis meses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amenaza 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los agentes están en más del 10 % de la base y que pesarán en 2027; aún no hay ingresos publicados de IA. El informe lo trata como riesgo bajo-medio con opción al alza.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subir un 86 % desde abril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razón: 37 veces el BPA ajustado y 64 veces el GAAP; el DCF no justifica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Aceleración de la nube y contratación récord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nube +26 % y RPO +23 % en el 2T26; los servicios siguen planos.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M en el 1S26 a precios bajos; la autorización restante (225 M) es el 2 % de la capitalización.</w:t>
            </w:r>
          </w:p>
        </w:tc>
      </w:tr>
    </w:tbl>
    <w:p>
      <w:pPr>
        <w:spacing w:after="160" w:before="0"/>
      </w:pPr>
    </w:p>
    <w:p>
      <w:pPr>
        <w:spacing w:after="100"/>
      </w:pPr>
      <w:r>
        <w:t xml:space="preserve">El sentimiento ha pasado de miedo (febrero-abril, la IA como amenaza) a entusiasmo moderado (julio-octubre), con la mejora de Morgan Stanley como sello. Los foros no dan argumentos que el análisis no tenga; el más útil es que la mejora reciente es de sentimiento más que de cifras, lo que coincide con el informe: el precio ya descuenta la aceleración. No hay euforia extrema ni capitulación.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42 (22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2,8 % en 2030e frente al 2,8 %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-13,4 %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(no dan el consenso); 2) titulares de Seeking Alpha del RSS (solo 1T26 y 2T26); 3) StockStory y MarketBeat (solo movimientos del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RPO de diciembre de 2024 exacto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el crecimiento del 25 %); 2) nota del 4T24; 3) derivado: 2.200 ÷ 1,25 ≈ 1.760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(solo previsión y lista de actores); 2) Allied (previsión 2026-2034); 3) ficha sectorial de software (sin cifra de la cadena de suministro)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SAP, Oracle, Blue Yonder y Körber en cadena de suministro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SAP y Oracle (no desglosan SCM); 2) Panasonic Connect (Blue Yonder sin cuenta propia publicada); 3) Körber es privada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2026 y 2027); 2) Stock Analysis (2027-2028 de pago);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EV/EBITDA de las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las operaciones (solo valor y prima); 2) presentación de Coupa (solo ventas); 3) prensa (sin EBITDA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comentarios de lectores en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2) comentarios de Motley Fool (sin hilo de MANH reciente); 3) MarketBeat (solo noticias)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segmentos, RPO, competidores, riesgos de IA, plantilla,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https://www.sec.gov/Archives/edgar/data/1056696/000119312526037138/manh-20251231.htm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Manhattan Associates Reports Second Quarter Results (2T26; guía 2026; conciliación GAAP-ajustado; balance y flujos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Manhattan Associates,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https://www.sec.gov/Archives/edgar/data/1056696/000119312526320952/manh-ex99_1.htm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Reports First Quarter Results (1T26; guía 2026 revisada)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https://www.sec.gov/Archives/edgar/data/1056696/000119312526166709/manh-ex99_1.htm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Reports Fourth Quarter Results (4T25 y año 2025; guía inicial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https://www.sec.gov/Archives/edgar/data/1056696/000119312526024382/manh-ex99_1.htm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Reports Third Quarter Results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https://www.sec.gov/Archives/edgar/data/1056696/000119312525245073/manh-ex99_1.htm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de 2018 a 2024 (BPA ajustado anual y trimestral,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https://www.sec.gov/Archives/edgar/data/1056696/000095017025009786/manh-ex99_1.htm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2023 (segmentos y tipos de ingreso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https://www.sec.gov/Archives/edgar/data/1056696/000095017024011411/manh-20231231.htm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(acciones a 28-jul-2026, RPO, liquidez sin deuda ni líneas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https://www.sec.gov/Archives/edgar/data/1056696/000119312526327591/manh-20260630.htm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reducción de plantilla del ≈ 6 % (partida 2.05) y confirmación de la guía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https://www.sec.gov/Archives/edgar/data/1056696/000119312526251382/manh-20260601.htm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la SEC (companyfacts): cuenta, balance y flujos 2016-2025;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https://data.sec.gov/api/xbrl/companyfacts/CIK0001056696.json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Q1 2026: guidance raise, cloud +24 %, win rate above 70 %, agents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FreightWaves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https://www.freightwaves.com/?p=572449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MANH (2T26: BPA 1,39 bate en 0,07 y ventas en 10 M; 1T26: bate en 0,13; guía de RPO 2.620-2.680 M; Active Editions)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https://seekingalpha.com/api/sa/combined/MANH.xml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Q2 2026 earnings call highlights (agentes en más del 10 % de la base Active; ingenieros desplegados)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https://www.marketbeat.com/instant-alerts/manhattan-associates-q2-earnings-call-highlights-2026-07-28/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Supply Chain Management Market worth $58.42 billion by 2030 (38.510 M USD en 2025, +8,7 %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https://www.marketsandmarkets.com/PressReleases/supply-chain-management.asp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Supply Chain Management Market to Reach USD 93.9 Billion by 2034 at 10.9 % CAGR (36.900 M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Allied Market Research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https://www.bolsamania.com/nota-de-prensa_amp/mercados/supply-chain-management-market-to-reach-usd-939-billion-globally-by-2034-at-109-cagr-allied-market-research--22482031.html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Software de aplicaciones: ficha sectorial corta (mapa del riesgo de IA, márgenes,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(sectores/software-2026-10-14.md)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sectores/software-2026-10-14.md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story and timeline (1990-2024)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https://www.manh.com/en-au/about-us/our-story-and-timeline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ventas, márgenes operativos y EBITDA de los competidores cotizados (Descartes, Kinaxis, SPS Commerce, SAP, Oracle)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https://finance.yahoo.com/quote/DSGX/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E2open Announces Acquisition by WiseTech Global (3,30 USD por acción; valor empresa 2.100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E2open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https://www.businesswire.com/news/home/20250525560328/en/E2open-Announces-Acquisition-by-WiseTech-Global-Concluding-Strategic-Review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Paylocity, Rapid7, DigitalOcean, and Manhattan Associates Shares Plummet (Anthropic Managed Agents; MANH −7,3 %)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https://finance.yahoo.com/markets/stocks/articles/autodesk-paylocity-rapid7-digitalocean-manhattan-023747720.html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Panasonic acquires supply chain software provider Blue Yonder (5.600 M por el 80 %; 8.500 M de valor del 100 %)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ZDNet / SiliconAngle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https://www.zdnet.com.au/article/panasonic-acquires-supply-chain-software-iot-provider-blue-yonder-in-7-1-billion-deal/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2025, accionistas, ratio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https://www.sec.gov/Archives/edgar/data/1056696/000119312526140024/manh-20260402.htm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5.07: votaciones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https://www.sec.gov/Archives/edgar/data/1056696/000119312526228194/manh-20260514.htm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5.07: votaciones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https://www.sec.gov/Archives/edgar/data/1056696/000095017025071356/manh-20250513.htm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sucesión del director financiero (Dennis Story → Linda Pinne)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https://www.sec.gov/Archives/edgar/data/1056696/000119312526073584/manh-20260225.htm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(en el 8-K del 3T25): el presidente Eddie Capel pasa a no ejecutivo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https://www.sec.gov/Archives/edgar/data/1056696/000119312525245073/manh-20251021.htm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(19-oct-2025 a 19-oct-2026),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https://www.sec.gov/cgi-bin/browse-edgar?action=getcompany&amp;CIK=0001056696&amp;type=4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ampliación del plan de acciones 2020 en 3 millones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https://www.sec.gov/Archives/edgar/data/1056696/000119312526232142/manh-20260514.htm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8-K/A 5.02: remuneración de la nueva directora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https://www.sec.gov/Archives/edgar/data/1056696/000119312526140163/manh-20260327.htm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MANH, SPY e IGV (herramienta bolsa.mjs) hasta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https://finance.yahoo.com/quote/MANH/history/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consenso de BPA y ventas 2026-2027, recomendaciones, objetivos, datos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https://finance.yahoo.com/quote/MANH/analysis/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previsiones de MANH (BPA 2026 5,41-5,66; objetivo medio 230,2; 11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https://stockanalysis.com/stocks/manh/forecast/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(bono a 10 años: 5,09 %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Announces Date for Reporting Third Quarter 2026 Financial Results (27-oct-2026, tras el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Manhattan Associates (Business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https://finviz.com/news/399827/manhattan-associates-announces-date-for-reporting-third-quarter-2026-financial-results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 – Thoma Bravo investor presentation (8.000 M USD de valor empresa; 8,4 veces las ventas adelantadas)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Coupa Software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https://s201.q4cdn.com/341840168/files/doc_presentation/2022/12/Coupa-Software-Thoma-Bravo-Investor-Presentation.pdf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Manhattan Associates (MANH) Stock Is Up Today (+22,6 % el 29-jul-2026 tras 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(Barchart,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https://www.webull.com/news/15312242971796480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MANH en FinancialContent (StockStory): mejora de Morgan Stanley (12-oct), caídas del sector por tipos (28-sep), subidas (13 y 27-ago)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FinancialContent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https://www.financialcontent.com/quote/NQ:MANH/news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Manhattan Associates (MANH) shares are sliding today (−5,2 % el 28-ene-2026 por la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https://business.minstercommunitypost.com/minstercommunitypost/article/stockstory-2026-1-28-why-manhattan-associates-manh-shares-are-sliding-today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resumen de la mejora de Morgan Stanley a Sobreponderar (objetivo 180 → 250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https://stocktwits.com/symbol/MANH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MANH (≈ 30 mensajes de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https://api.stocktwits.com/api/2/streams/symbol/MANH.json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análisis de lectores sobre MANH («The Next Chapter Is Already Priced In», «Editions, Agents, And The Case For Patience», «A Tough Set-Up, With Or Without AI Threat»)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https://seekingalpha.com/symbol/MANH/analysis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87,7 %</w:t>
      </w:r>
      <w:r>
        <w:t xml:space="preserve"> · Secciones con menos del 60 % de campos cubiertos: </w:t>
      </w:r>
      <w:r>
        <w:rPr>
          <w:b/>
          <w:bCs/>
        </w:rPr>
        <w:t xml:space="preserve">capital</w:t>
      </w:r>
      <w:r>
        <w:t xml:space="preserve"> · Generado el 19 oct 2026.</w:t>
      </w:r>
    </w:p>
    <w:p>
      <w:pPr>
        <w:pStyle w:val="Nota"/>
        <w:spacing w:after="100"/>
      </w:pPr>
      <w:r>
        <w:t xml:space="preserve">Cifras en millones de USD, ejercicio natural (cierre a 31 de diciembre), US GAAP. Último ejercicio real: 2025 (10-K del 4-feb-2026); últimos 12 meses a 30-jun-2026 (10-Q del 2T26, 31-jul-2026). El 3T26 se publica el 27-oct-2026 tras el cierre (no el 21-oct, como se suponía al encargar el análisis) [35]. Precio: cierre del 16-oct-2026 (222,17 USD); la sesión del 19-oct estaba abierta al hacer el análisis (225,52 USD a las 12:25 de Nueva York [30]) y la decisión se comprueba con ese precio en las pruebas de robustez. El DCF usa el EBITDA GAAP, que resta la remuneración en acciones (111 M USD en 2025, 10,3 % de las ventas): es un coste real para el accionista. La regla a 12 meses y su historia usan el BPA AJUSTADO de la empresa (sin remuneración en acciones ni reestructuración), la misma base que el consenso. Los arrendamientos operativos no van al puente (US GAAP). El ROIC del motor no es significativo: el capital invertido contable es casi nulo o negativo (cobros anticipados de 337 M y patrimonio reducido por las recompras). Las estimaciones de 2028e del consenso y los múltiplos EV/EBITDA de las transacciones no se encontraron gratis.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Manhattan Associates, Inc. (MANH)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222,17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(119,06 – 231,63)</c:v>
                </c:pt>
                <c:pt idx="1">
                  <c:v>Precio objetivo de los analistas (190,00 – 260,00)</c:v>
                </c:pt>
                <c:pt idx="2">
                  <c:v>Comparables: PER NTM (130,64 – 154,11)</c:v>
                </c:pt>
                <c:pt idx="3">
                  <c:v>Transacciones precedentes (EV/ventas) (117,24 – 165,71)</c:v>
                </c:pt>
                <c:pt idx="4">
                  <c:v>DCF (WACC y g ± 0,5) (75,65 – 92,38)</c:v>
                </c:pt>
                <c:pt idx="5">
                  <c:v>Escenarios (bajista – alcista) (55,90 – 101,34)</c:v>
                </c:pt>
                <c:pt idx="6">
                  <c:v>DCF con la prima implícita del mercado (4,2 %)</c:v>
                </c:pt>
                <c:pt idx="7">
                  <c:v>Precio actual (222,17)</c:v>
                </c:pt>
              </c:strCache>
            </c:strRef>
          </c:cat>
          <c:val>
            <c:numRef>
              <c:f>Hoja1!$B$2:$B$9</c:f>
              <c:numCache>
                <c:formatCode>#,##0</c:formatCode>
                <c:ptCount val="8"/>
                <c:pt idx="0">
                  <c:v>119.06</c:v>
                </c:pt>
                <c:pt idx="1">
                  <c:v>190</c:v>
                </c:pt>
                <c:pt idx="2">
                  <c:v>130.64</c:v>
                </c:pt>
                <c:pt idx="3">
                  <c:v>117.24</c:v>
                </c:pt>
                <c:pt idx="4">
                  <c:v>75.65</c:v>
                </c:pt>
                <c:pt idx="5">
                  <c:v>55.9</c:v>
                </c:pt>
                <c:pt idx="6">
                  <c:v>93.27</c:v>
                </c:pt>
                <c:pt idx="7">
                  <c:v>221.06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(119,06 – 231,63)</c:v>
                </c:pt>
                <c:pt idx="1">
                  <c:v>Precio objetivo de los analistas (190,00 – 260,00)</c:v>
                </c:pt>
                <c:pt idx="2">
                  <c:v>Comparables: PER NTM (130,64 – 154,11)</c:v>
                </c:pt>
                <c:pt idx="3">
                  <c:v>Transacciones precedentes (EV/ventas) (117,24 – 165,71)</c:v>
                </c:pt>
                <c:pt idx="4">
                  <c:v>DCF (WACC y g ± 0,5) (75,65 – 92,38)</c:v>
                </c:pt>
                <c:pt idx="5">
                  <c:v>Escenarios (bajista – alcista) (55,90 – 101,34)</c:v>
                </c:pt>
                <c:pt idx="6">
                  <c:v>DCF con la prima implícita del mercado (4,2 %)</c:v>
                </c:pt>
                <c:pt idx="7">
                  <c:v>Precio actual (222,17)</c:v>
                </c:pt>
              </c:strCache>
            </c:strRef>
          </c:cat>
          <c:val>
            <c:numRef>
              <c:f>Hoja1!$C$2:$C$9</c:f>
              <c:numCache>
                <c:formatCode>#,##0</c:formatCode>
                <c:ptCount val="8"/>
                <c:pt idx="0">
                  <c:v>112.57</c:v>
                </c:pt>
                <c:pt idx="1">
                  <c:v>70</c:v>
                </c:pt>
                <c:pt idx="2">
                  <c:v>23.470000000000027</c:v>
                </c:pt>
                <c:pt idx="3">
                  <c:v>48.47000000000001</c:v>
                </c:pt>
                <c:pt idx="4">
                  <c:v>16.72999999999999</c:v>
                </c:pt>
                <c:pt idx="5">
                  <c:v>45.440000000000005</c:v>
                </c:pt>
                <c:pt idx="6">
                  <c:v>15.650000000000006</c:v>
                </c:pt>
                <c:pt idx="7">
                  <c:v>2.219999999999999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 (Norte y Latinoamérica)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526.2</c:v>
                </c:pt>
                <c:pt idx="1">
                  <c:v>603.9</c:v>
                </c:pt>
                <c:pt idx="2">
                  <c:v>719.2</c:v>
                </c:pt>
                <c:pt idx="3">
                  <c:v>802.5</c:v>
                </c:pt>
                <c:pt idx="4">
                  <c:v>810.4</c:v>
                </c:pt>
              </c:numCache>
            </c:numRef>
          </c:val>
        </c:ser>
        <c:ser>
          <c:idx val="1"/>
          <c:order val="1"/>
          <c:tx>
            <c:strRef>
              <c:f>Hoja1!$C$1</c:f>
              <c:strCache>
                <c:ptCount val="1"/>
                <c:pt idx="0">
                  <c:v>EMEA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110.6</c:v>
                </c:pt>
                <c:pt idx="1">
                  <c:v>128.9</c:v>
                </c:pt>
                <c:pt idx="2">
                  <c:v>166.6</c:v>
                </c:pt>
                <c:pt idx="3">
                  <c:v>190.5</c:v>
                </c:pt>
                <c:pt idx="4">
                  <c:v>215.8</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26.9</c:v>
                </c:pt>
                <c:pt idx="1">
                  <c:v>34.3</c:v>
                </c:pt>
                <c:pt idx="2">
                  <c:v>42.9</c:v>
                </c:pt>
                <c:pt idx="3">
                  <c:v>49.3</c:v>
                </c:pt>
                <c:pt idx="4">
                  <c:v>55.2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 (Norte y Latinoamérica)</c:v>
                </c:pt>
                <c:pt idx="1">
                  <c:v>EMEA</c:v>
                </c:pt>
                <c:pt idx="2">
                  <c:v>Asia-Pacífico</c:v>
                </c:pt>
              </c:strCache>
            </c:strRef>
          </c:cat>
          <c:val>
            <c:numRef>
              <c:f>Hoja1!$B$2:$B$4</c:f>
              <c:numCache>
                <c:formatCode>General</c:formatCode>
                <c:ptCount val="3"/>
                <c:pt idx="0">
                  <c:v>74.9</c:v>
                </c:pt>
                <c:pt idx="1">
                  <c:v>20</c:v>
                </c:pt>
                <c:pt idx="2">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EMEA</c:v>
                </c:pt>
                <c:pt idx="2">
                  <c:v>Asia-Pacífico, Canadá y Latinoamérica</c:v>
                </c:pt>
              </c:strCache>
            </c:strRef>
          </c:cat>
          <c:val>
            <c:numRef>
              <c:f>Hoja1!$B$2:$B$4</c:f>
              <c:numCache>
                <c:formatCode>0"%"</c:formatCode>
                <c:ptCount val="3"/>
                <c:pt idx="0">
                  <c:v>65</c:v>
                </c:pt>
                <c:pt idx="1">
                  <c:v>20</c:v>
                </c:pt>
                <c:pt idx="2">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38510</c:v>
                </c:pt>
                <c:pt idx="1">
                  <c:v>41860</c:v>
                </c:pt>
                <c:pt idx="2">
                  <c:v>45500</c:v>
                </c:pt>
                <c:pt idx="3">
                  <c:v>49460</c:v>
                </c:pt>
                <c:pt idx="4">
                  <c:v>53760</c:v>
                </c:pt>
                <c:pt idx="5">
                  <c:v>58420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Manhattan</c:v>
                </c:pt>
                <c:pt idx="1">
                  <c:v>SAP (SCM, EWM)</c:v>
                </c:pt>
                <c:pt idx="2">
                  <c:v>Oracle (SCM Cloud, WMS Cloud)</c:v>
                </c:pt>
                <c:pt idx="3">
                  <c:v>Blue Yonder (Panasonic)</c:v>
                </c:pt>
                <c:pt idx="4">
                  <c:v>Körber / Infios</c:v>
                </c:pt>
                <c:pt idx="5">
                  <c:v>Descartes Systems</c:v>
                </c:pt>
                <c:pt idx="6">
                  <c:v>Kinaxis</c:v>
                </c:pt>
                <c:pt idx="7">
                  <c:v>E2open (WiseTech)</c:v>
                </c:pt>
                <c:pt idx="8">
                  <c:v>SPS Commerce</c:v>
                </c:pt>
              </c:strCache>
            </c:strRef>
          </c:cat>
          <c:val>
            <c:numRef>
              <c:f>Hoja1!$B$2:$B$10</c:f>
              <c:numCache>
                <c:formatCode>0.0"%"</c:formatCode>
                <c:ptCount val="9"/>
                <c:pt idx="0">
                  <c:v>25.5</c:v>
                </c:pt>
                <c:pt idx="1">
                  <c:v>27.6</c:v>
                </c:pt>
                <c:pt idx="2">
                  <c:v>35.6</c:v>
                </c:pt>
                <c:pt idx="5">
                  <c:v>33.2</c:v>
                </c:pt>
                <c:pt idx="6">
                  <c:v>15.4</c:v>
                </c:pt>
                <c:pt idx="8">
                  <c:v>16.1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604.6</c:v>
                </c:pt>
                <c:pt idx="1">
                  <c:v>594.6</c:v>
                </c:pt>
                <c:pt idx="2">
                  <c:v>559.2</c:v>
                </c:pt>
                <c:pt idx="3">
                  <c:v>617.9</c:v>
                </c:pt>
                <c:pt idx="4">
                  <c:v>586.4</c:v>
                </c:pt>
                <c:pt idx="5">
                  <c:v>663.6</c:v>
                </c:pt>
                <c:pt idx="6">
                  <c:v>767.1</c:v>
                </c:pt>
                <c:pt idx="7">
                  <c:v>928.7</c:v>
                </c:pt>
                <c:pt idx="8">
                  <c:v>1042.4</c:v>
                </c:pt>
                <c:pt idx="9">
                  <c:v>1081.4</c:v>
                </c:pt>
                <c:pt idx="10">
                  <c:v>1163</c:v>
                </c:pt>
                <c:pt idx="11">
                  <c:v>1267</c:v>
                </c:pt>
                <c:pt idx="12">
                  <c:v>1388</c:v>
                </c:pt>
                <c:pt idx="13">
                  <c:v>1512</c:v>
                </c:pt>
                <c:pt idx="14">
                  <c:v>1641</c:v>
                </c:pt>
                <c:pt idx="15">
                  <c:v>1772</c:v>
                </c:pt>
                <c:pt idx="16">
                  <c:v>1896</c:v>
                </c:pt>
                <c:pt idx="17">
                  <c:v>2010</c:v>
                </c:pt>
                <c:pt idx="18">
                  <c:v>2111</c:v>
                </c:pt>
                <c:pt idx="19">
                  <c:v>2195</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203.4</c:v>
                </c:pt>
                <c:pt idx="1">
                  <c:v>194.7</c:v>
                </c:pt>
                <c:pt idx="2">
                  <c:v>142.5</c:v>
                </c:pt>
                <c:pt idx="3">
                  <c:v>123.9</c:v>
                </c:pt>
                <c:pt idx="4">
                  <c:v>123</c:v>
                </c:pt>
                <c:pt idx="5">
                  <c:v>142.2</c:v>
                </c:pt>
                <c:pt idx="6">
                  <c:v>159.4</c:v>
                </c:pt>
                <c:pt idx="7">
                  <c:v>215.7</c:v>
                </c:pt>
                <c:pt idx="8">
                  <c:v>274.9</c:v>
                </c:pt>
                <c:pt idx="9">
                  <c:v>282.20000000000005</c:v>
                </c:pt>
                <c:pt idx="10">
                  <c:v>288</c:v>
                </c:pt>
                <c:pt idx="11">
                  <c:v>329</c:v>
                </c:pt>
                <c:pt idx="12">
                  <c:v>375</c:v>
                </c:pt>
                <c:pt idx="13">
                  <c:v>423</c:v>
                </c:pt>
                <c:pt idx="14">
                  <c:v>476</c:v>
                </c:pt>
                <c:pt idx="15">
                  <c:v>523</c:v>
                </c:pt>
                <c:pt idx="16">
                  <c:v>569</c:v>
                </c:pt>
                <c:pt idx="17">
                  <c:v>613</c:v>
                </c:pt>
                <c:pt idx="18">
                  <c:v>644</c:v>
                </c:pt>
                <c:pt idx="19">
                  <c:v>669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58.7</c:v>
                </c:pt>
                <c:pt idx="1">
                  <c:v>58.7</c:v>
                </c:pt>
                <c:pt idx="2">
                  <c:v>56.9</c:v>
                </c:pt>
                <c:pt idx="3">
                  <c:v>53.9</c:v>
                </c:pt>
                <c:pt idx="4">
                  <c:v>54</c:v>
                </c:pt>
                <c:pt idx="5">
                  <c:v>55.1</c:v>
                </c:pt>
                <c:pt idx="6">
                  <c:v>53.3</c:v>
                </c:pt>
                <c:pt idx="7">
                  <c:v>53.6</c:v>
                </c:pt>
                <c:pt idx="8">
                  <c:v>54.8</c:v>
                </c:pt>
                <c:pt idx="9">
                  <c:v>56.3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33.6</c:v>
                </c:pt>
                <c:pt idx="1">
                  <c:v>32.7</c:v>
                </c:pt>
                <c:pt idx="2">
                  <c:v>25.5</c:v>
                </c:pt>
                <c:pt idx="3">
                  <c:v>20.1</c:v>
                </c:pt>
                <c:pt idx="4">
                  <c:v>21</c:v>
                </c:pt>
                <c:pt idx="5">
                  <c:v>21.4</c:v>
                </c:pt>
                <c:pt idx="6">
                  <c:v>20.8</c:v>
                </c:pt>
                <c:pt idx="7">
                  <c:v>23.2</c:v>
                </c:pt>
                <c:pt idx="8">
                  <c:v>26.4</c:v>
                </c:pt>
                <c:pt idx="9">
                  <c:v>26.1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32.1</c:v>
                </c:pt>
                <c:pt idx="1">
                  <c:v>31.2</c:v>
                </c:pt>
                <c:pt idx="2">
                  <c:v>23.9</c:v>
                </c:pt>
                <c:pt idx="3">
                  <c:v>18.8</c:v>
                </c:pt>
                <c:pt idx="4">
                  <c:v>19.5</c:v>
                </c:pt>
                <c:pt idx="5">
                  <c:v>20.2</c:v>
                </c:pt>
                <c:pt idx="6">
                  <c:v>19.9</c:v>
                </c:pt>
                <c:pt idx="7">
                  <c:v>22.6</c:v>
                </c:pt>
                <c:pt idx="8">
                  <c:v>25.8</c:v>
                </c:pt>
                <c:pt idx="9">
                  <c:v>25.5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20.5</c:v>
                </c:pt>
                <c:pt idx="1">
                  <c:v>19.6</c:v>
                </c:pt>
                <c:pt idx="2">
                  <c:v>18.7</c:v>
                </c:pt>
                <c:pt idx="3">
                  <c:v>13.9</c:v>
                </c:pt>
                <c:pt idx="4">
                  <c:v>14.9</c:v>
                </c:pt>
                <c:pt idx="5">
                  <c:v>16.7</c:v>
                </c:pt>
                <c:pt idx="6">
                  <c:v>16.8</c:v>
                </c:pt>
                <c:pt idx="7">
                  <c:v>19</c:v>
                </c:pt>
                <c:pt idx="8">
                  <c:v>21</c:v>
                </c:pt>
                <c:pt idx="9">
                  <c:v>20.3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11.8</c:v>
                </c:pt>
                <c:pt idx="1">
                  <c:v>7.4</c:v>
                </c:pt>
                <c:pt idx="2">
                  <c:v>3.2</c:v>
                </c:pt>
                <c:pt idx="3">
                  <c:v>2.7</c:v>
                </c:pt>
                <c:pt idx="4">
                  <c:v>3.4</c:v>
                </c:pt>
                <c:pt idx="5">
                  <c:v>5.7</c:v>
                </c:pt>
                <c:pt idx="6">
                  <c:v>7.4</c:v>
                </c:pt>
                <c:pt idx="7">
                  <c:v>9.3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11.8</c:v>
                </c:pt>
                <c:pt idx="1">
                  <c:v>7.4</c:v>
                </c:pt>
                <c:pt idx="2">
                  <c:v>3.2</c:v>
                </c:pt>
                <c:pt idx="3">
                  <c:v>2.7</c:v>
                </c:pt>
                <c:pt idx="4">
                  <c:v>3.4</c:v>
                </c:pt>
                <c:pt idx="5">
                  <c:v>5.7</c:v>
                </c:pt>
                <c:pt idx="6">
                  <c:v>7.4</c:v>
                </c:pt>
                <c:pt idx="7">
                  <c:v>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61</c:v>
                </c:pt>
                <c:pt idx="1">
                  <c:v>57</c:v>
                </c:pt>
                <c:pt idx="2">
                  <c:v>65</c:v>
                </c:pt>
                <c:pt idx="3">
                  <c:v>60</c:v>
                </c:pt>
                <c:pt idx="4">
                  <c:v>68</c:v>
                </c:pt>
                <c:pt idx="5">
                  <c:v>68</c:v>
                </c:pt>
                <c:pt idx="6">
                  <c:v>79</c:v>
                </c:pt>
                <c:pt idx="7">
                  <c:v>71</c:v>
                </c:pt>
                <c:pt idx="8">
                  <c:v>72</c:v>
                </c:pt>
                <c:pt idx="9">
                  <c:v>72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c:v>
                </c:pt>
                <c:pt idx="1">
                  <c:v>21</c:v>
                </c:pt>
                <c:pt idx="2">
                  <c:v>28</c:v>
                </c:pt>
                <c:pt idx="3">
                  <c:v>26</c:v>
                </c:pt>
                <c:pt idx="4">
                  <c:v>24</c:v>
                </c:pt>
                <c:pt idx="5">
                  <c:v>24</c:v>
                </c:pt>
                <c:pt idx="6">
                  <c:v>26</c:v>
                </c:pt>
                <c:pt idx="7">
                  <c:v>21</c:v>
                </c:pt>
                <c:pt idx="8">
                  <c:v>21</c:v>
                </c:pt>
                <c:pt idx="9">
                  <c:v>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132.5</c:v>
                </c:pt>
                <c:pt idx="1">
                  <c:v>157.9</c:v>
                </c:pt>
                <c:pt idx="2">
                  <c:v>130</c:v>
                </c:pt>
                <c:pt idx="3">
                  <c:v>131.70000000000002</c:v>
                </c:pt>
                <c:pt idx="4">
                  <c:v>138.20000000000002</c:v>
                </c:pt>
                <c:pt idx="5">
                  <c:v>181.2</c:v>
                </c:pt>
                <c:pt idx="6">
                  <c:v>173</c:v>
                </c:pt>
                <c:pt idx="7">
                  <c:v>241.5</c:v>
                </c:pt>
                <c:pt idx="8">
                  <c:v>286.3</c:v>
                </c:pt>
                <c:pt idx="9">
                  <c:v>374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124.2</c:v>
                </c:pt>
                <c:pt idx="1">
                  <c:v>116.5</c:v>
                </c:pt>
                <c:pt idx="2">
                  <c:v>104.7</c:v>
                </c:pt>
                <c:pt idx="3">
                  <c:v>85.8</c:v>
                </c:pt>
                <c:pt idx="4">
                  <c:v>87.2</c:v>
                </c:pt>
                <c:pt idx="5">
                  <c:v>110.5</c:v>
                </c:pt>
                <c:pt idx="6">
                  <c:v>129</c:v>
                </c:pt>
                <c:pt idx="7">
                  <c:v>176.6</c:v>
                </c:pt>
                <c:pt idx="8">
                  <c:v>218.4</c:v>
                </c:pt>
                <c:pt idx="9">
                  <c:v>219.9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166.7</c:v>
                </c:pt>
                <c:pt idx="1">
                  <c:v>189.6</c:v>
                </c:pt>
                <c:pt idx="2">
                  <c:v>211.1</c:v>
                </c:pt>
                <c:pt idx="3">
                  <c:v>215.2</c:v>
                </c:pt>
                <c:pt idx="4">
                  <c:v>382.2</c:v>
                </c:pt>
                <c:pt idx="5">
                  <c:v>20120.9</c:v>
                </c:pt>
                <c:pt idx="7">
                  <c:v>3898</c:v>
                </c:pt>
                <c:pt idx="8">
                  <c:v>1085.3</c:v>
                </c:pt>
                <c:pt idx="9">
                  <c:v>2234.8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10.9</c:v>
                </c:pt>
                <c:pt idx="1">
                  <c:v>10.9</c:v>
                </c:pt>
                <c:pt idx="2">
                  <c:v>10.9</c:v>
                </c:pt>
                <c:pt idx="3">
                  <c:v>10.9</c:v>
                </c:pt>
                <c:pt idx="4">
                  <c:v>10.9</c:v>
                </c:pt>
                <c:pt idx="5">
                  <c:v>10.9</c:v>
                </c:pt>
                <c:pt idx="6">
                  <c:v>10.9</c:v>
                </c:pt>
                <c:pt idx="7">
                  <c:v>10.9</c:v>
                </c:pt>
                <c:pt idx="8">
                  <c:v>10.9</c:v>
                </c:pt>
                <c:pt idx="9">
                  <c:v>10.9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73.3</c:v>
                </c:pt>
                <c:pt idx="1">
                  <c:v>67.7</c:v>
                </c:pt>
                <c:pt idx="2">
                  <c:v>65</c:v>
                </c:pt>
                <c:pt idx="3">
                  <c:v>59.3</c:v>
                </c:pt>
                <c:pt idx="4">
                  <c:v>48.3</c:v>
                </c:pt>
                <c:pt idx="5">
                  <c:v>47.1</c:v>
                </c:pt>
                <c:pt idx="6">
                  <c:v>54</c:v>
                </c:pt>
                <c:pt idx="7">
                  <c:v>69.9</c:v>
                </c:pt>
                <c:pt idx="8">
                  <c:v>75.6</c:v>
                </c:pt>
                <c:pt idx="9">
                  <c:v>71.6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-0.47</c:v>
                </c:pt>
                <c:pt idx="1">
                  <c:v>-0.64</c:v>
                </c:pt>
                <c:pt idx="2">
                  <c:v>-0.7</c:v>
                </c:pt>
                <c:pt idx="3">
                  <c:v>-0.89</c:v>
                </c:pt>
                <c:pt idx="4">
                  <c:v>-1.66</c:v>
                </c:pt>
                <c:pt idx="5">
                  <c:v>-1.85</c:v>
                </c:pt>
                <c:pt idx="6">
                  <c:v>-1.41</c:v>
                </c:pt>
                <c:pt idx="7">
                  <c:v>-1.25</c:v>
                </c:pt>
                <c:pt idx="8">
                  <c:v>-0.97</c:v>
                </c:pt>
                <c:pt idx="9">
                  <c:v>-1.16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167.9</c:v>
                </c:pt>
                <c:pt idx="1">
                  <c:v>131.7</c:v>
                </c:pt>
                <c:pt idx="2">
                  <c:v>149.3</c:v>
                </c:pt>
                <c:pt idx="3">
                  <c:v>121.5</c:v>
                </c:pt>
                <c:pt idx="4">
                  <c:v>43.6</c:v>
                </c:pt>
                <c:pt idx="5">
                  <c:v>120.4</c:v>
                </c:pt>
                <c:pt idx="6">
                  <c:v>204.5</c:v>
                </c:pt>
                <c:pt idx="7">
                  <c:v>196</c:v>
                </c:pt>
                <c:pt idx="8">
                  <c:v>286.4</c:v>
                </c:pt>
                <c:pt idx="9">
                  <c:v>315.2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AllianceBernstein</c:v>
                </c:pt>
                <c:pt idx="3">
                  <c:v>FMR (Fidelity)</c:v>
                </c:pt>
                <c:pt idx="4">
                  <c:v>Consejeros y directivos (13 personas)</c:v>
                </c:pt>
              </c:strCache>
            </c:strRef>
          </c:cat>
          <c:val>
            <c:numRef>
              <c:f>Hoja1!$B$2:$B$6</c:f>
              <c:numCache>
                <c:formatCode>0.0"%"</c:formatCode>
                <c:ptCount val="5"/>
                <c:pt idx="0">
                  <c:v>11</c:v>
                </c:pt>
                <c:pt idx="1">
                  <c:v>10</c:v>
                </c:pt>
                <c:pt idx="2">
                  <c:v>5</c:v>
                </c:pt>
                <c:pt idx="3">
                  <c:v>5</c:v>
                </c:pt>
                <c:pt idx="4">
                  <c:v>0.84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-19.9</c:v>
                </c:pt>
                <c:pt idx="1">
                  <c:v>-6.6</c:v>
                </c:pt>
                <c:pt idx="2">
                  <c:v>-14.5</c:v>
                </c:pt>
                <c:pt idx="3">
                  <c:v>88.2</c:v>
                </c:pt>
                <c:pt idx="4">
                  <c:v>31.9</c:v>
                </c:pt>
                <c:pt idx="5">
                  <c:v>47.8</c:v>
                </c:pt>
                <c:pt idx="6">
                  <c:v>-21.9</c:v>
                </c:pt>
                <c:pt idx="7">
                  <c:v>77.4</c:v>
                </c:pt>
                <c:pt idx="8">
                  <c:v>25.5</c:v>
                </c:pt>
                <c:pt idx="9">
                  <c:v>-35.9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18.3</c:v>
                </c:pt>
                <c:pt idx="1">
                  <c:v>17</c:v>
                </c:pt>
                <c:pt idx="2">
                  <c:v>19</c:v>
                </c:pt>
                <c:pt idx="3">
                  <c:v>41</c:v>
                </c:pt>
                <c:pt idx="4">
                  <c:v>53.3</c:v>
                </c:pt>
                <c:pt idx="5">
                  <c:v>68.5</c:v>
                </c:pt>
                <c:pt idx="6">
                  <c:v>46.9</c:v>
                </c:pt>
                <c:pt idx="7">
                  <c:v>61.2</c:v>
                </c:pt>
                <c:pt idx="8">
                  <c:v>60.2</c:v>
                </c:pt>
                <c:pt idx="9">
                  <c:v>36.4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44</c:v>
                </c:pt>
                <c:pt idx="1">
                  <c:v>44</c:v>
                </c:pt>
                <c:pt idx="2">
                  <c:v>44</c:v>
                </c:pt>
                <c:pt idx="3">
                  <c:v>44</c:v>
                </c:pt>
                <c:pt idx="4">
                  <c:v>44</c:v>
                </c:pt>
                <c:pt idx="5">
                  <c:v>44</c:v>
                </c:pt>
                <c:pt idx="6">
                  <c:v>44</c:v>
                </c:pt>
                <c:pt idx="7">
                  <c:v>44</c:v>
                </c:pt>
                <c:pt idx="8">
                  <c:v>44</c:v>
                </c:pt>
                <c:pt idx="9">
                  <c:v>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214</c:v>
                </c:pt>
                <c:pt idx="1">
                  <c:v>251</c:v>
                </c:pt>
                <c:pt idx="2">
                  <c:v>287</c:v>
                </c:pt>
                <c:pt idx="3">
                  <c:v>323</c:v>
                </c:pt>
                <c:pt idx="4">
                  <c:v>362</c:v>
                </c:pt>
                <c:pt idx="5">
                  <c:v>397</c:v>
                </c:pt>
                <c:pt idx="6">
                  <c:v>430</c:v>
                </c:pt>
                <c:pt idx="7">
                  <c:v>461</c:v>
                </c:pt>
                <c:pt idx="8">
                  <c:v>482</c:v>
                </c:pt>
                <c:pt idx="9">
                  <c:v>499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2144</c:v>
                </c:pt>
                <c:pt idx="1">
                  <c:v>2529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222,17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55.9</c:v>
                </c:pt>
                <c:pt idx="1">
                  <c:v>82.98</c:v>
                </c:pt>
                <c:pt idx="2">
                  <c:v>101.34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222,17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(119,06 – 231,63)</c:v>
                </c:pt>
                <c:pt idx="1">
                  <c:v>Precio objetivo de los analistas (190,00 – 260,00)</c:v>
                </c:pt>
                <c:pt idx="2">
                  <c:v>Comparables: PER NTM (130,64 – 154,11)</c:v>
                </c:pt>
                <c:pt idx="3">
                  <c:v>Transacciones precedentes (EV/ventas) (117,24 – 165,71)</c:v>
                </c:pt>
                <c:pt idx="4">
                  <c:v>DCF (WACC y g ± 0,5) (75,65 – 92,38)</c:v>
                </c:pt>
                <c:pt idx="5">
                  <c:v>Escenarios (bajista – alcista) (55,90 – 101,34)</c:v>
                </c:pt>
                <c:pt idx="6">
                  <c:v>DCF con la prima implícita del mercado (4,2 %)</c:v>
                </c:pt>
                <c:pt idx="7">
                  <c:v>Precio actual (222,17)</c:v>
                </c:pt>
              </c:strCache>
            </c:strRef>
          </c:cat>
          <c:val>
            <c:numRef>
              <c:f>Hoja1!$B$2:$B$9</c:f>
              <c:numCache>
                <c:formatCode>#,##0</c:formatCode>
                <c:ptCount val="8"/>
                <c:pt idx="0">
                  <c:v>119.06</c:v>
                </c:pt>
                <c:pt idx="1">
                  <c:v>190</c:v>
                </c:pt>
                <c:pt idx="2">
                  <c:v>130.64</c:v>
                </c:pt>
                <c:pt idx="3">
                  <c:v>117.24</c:v>
                </c:pt>
                <c:pt idx="4">
                  <c:v>75.65</c:v>
                </c:pt>
                <c:pt idx="5">
                  <c:v>55.9</c:v>
                </c:pt>
                <c:pt idx="6">
                  <c:v>93.27</c:v>
                </c:pt>
                <c:pt idx="7">
                  <c:v>221.06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(119,06 – 231,63)</c:v>
                </c:pt>
                <c:pt idx="1">
                  <c:v>Precio objetivo de los analistas (190,00 – 260,00)</c:v>
                </c:pt>
                <c:pt idx="2">
                  <c:v>Comparables: PER NTM (130,64 – 154,11)</c:v>
                </c:pt>
                <c:pt idx="3">
                  <c:v>Transacciones precedentes (EV/ventas) (117,24 – 165,71)</c:v>
                </c:pt>
                <c:pt idx="4">
                  <c:v>DCF (WACC y g ± 0,5) (75,65 – 92,38)</c:v>
                </c:pt>
                <c:pt idx="5">
                  <c:v>Escenarios (bajista – alcista) (55,90 – 101,34)</c:v>
                </c:pt>
                <c:pt idx="6">
                  <c:v>DCF con la prima implícita del mercado (4,2 %)</c:v>
                </c:pt>
                <c:pt idx="7">
                  <c:v>Precio actual (222,17)</c:v>
                </c:pt>
              </c:strCache>
            </c:strRef>
          </c:cat>
          <c:val>
            <c:numRef>
              <c:f>Hoja1!$C$2:$C$9</c:f>
              <c:numCache>
                <c:formatCode>#,##0</c:formatCode>
                <c:ptCount val="8"/>
                <c:pt idx="0">
                  <c:v>112.57</c:v>
                </c:pt>
                <c:pt idx="1">
                  <c:v>70</c:v>
                </c:pt>
                <c:pt idx="2">
                  <c:v>23.470000000000027</c:v>
                </c:pt>
                <c:pt idx="3">
                  <c:v>48.47000000000001</c:v>
                </c:pt>
                <c:pt idx="4">
                  <c:v>16.72999999999999</c:v>
                </c:pt>
                <c:pt idx="5">
                  <c:v>45.440000000000005</c:v>
                </c:pt>
                <c:pt idx="6">
                  <c:v>15.650000000000006</c:v>
                </c:pt>
                <c:pt idx="7">
                  <c:v>2.219999999999999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