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Euronext N.V.</w:t>
      </w:r>
    </w:p>
    <w:p>
      <w:pPr>
        <w:spacing w:after="60"/>
        <w:rPr>
          <w:color w:val="52514E"/>
          <w:sz w:val="22"/>
          <w:szCs w:val="22"/>
        </w:rPr>
      </w:pPr>
      <w:r>
        <w:rPr>
          <w:color w:val="52514E"/>
          <w:sz w:val="22"/>
          <w:szCs w:val="22"/>
        </w:rPr>
        <w:t xml:space="preserve">ENX · Euronext París · ISIN NL0006294274 · Financials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166,80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154,30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-5,6 % (base -3,6 %)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182,06 EUR · mercado 220,96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16.887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ENX / NL0006294274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Financials / Capital Markets (Financial Exchanges &amp; Data)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Ámsterdam (sede social); dirección en París · 2000</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www.euronext.com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166,80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110,00 – 168,30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16.887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19.288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27,3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154,30 EUR</w:t>
      </w:r>
      <w:r>
        <w:t xml:space="preserve"> frente a 166,80 · Rentabilidad a 12 meses </w:t>
      </w:r>
      <w:r>
        <w:rPr>
          <w:b/>
          <w:bCs/>
        </w:rPr>
        <w:t xml:space="preserve">-5,6 % (base -3,6 %)</w:t>
      </w:r>
      <w:r>
        <w:t xml:space="preserve"> · Valor intrínseco 182,06 EUR · con la prima implícita del mercado: 220,96 (+32,5 %) · Alcista / bajista +23,9 % / -18,5 %</w:t>
      </w:r>
    </w:p>
    <w:p>
      <w:pPr>
        <w:spacing w:after="100"/>
      </w:pPr>
      <w:r>
        <w:rPr>
          <w:b/>
        </w:rPr>
        <w:t xml:space="preserve">La recomendación y por qué.</w:t>
      </w:r>
      <w:r>
        <w:t xml:space="preserve"> Mantener, con convicción baja. El objetivo a 12 meses es de 154,30 EUR, un 5,6 % por debajo del precio de 166,80 EUR con el dividendo (ponderada); en el caso base, −3,6 %. El valor intrínseco es de 182,06 EUR (+9,1 %) y el objetivo medio de los analistas, de 168,41. La razón: Euronext es un negocio excelente que cotiza en máximos, a 22,1 veces nuestro beneficio de 2027 frente a una mediana histórica de 17,2 veces, y la regla a 12 meses supone que el múltiplo devuelve parte de esa prima. La convicción es baja porque las reglas discrepan (Mantener con nuestro WACC, Comprar con la prima del mercado); subiría con una caída del precio por debajo de 136,94 EUR o con un 3T26 (5-nov) que confirme crecimiento orgánico de doble dígito sin volatilidad extraordinaria.</w:t>
      </w:r>
    </w:p>
    <w:p>
      <w:pPr>
        <w:spacing w:after="100"/>
      </w:pPr>
      <w:r>
        <w:rPr>
          <w:b/>
        </w:rPr>
        <w:t xml:space="preserve">El negocio.</w:t>
      </w:r>
      <w:r>
        <w:t xml:space="preserve"> Euronext controla el 29 % de la negociación europea de acciones, ocho bolsas, una cámara y cinco depositarios [2]. El 58 % de los ingresos no depende del volumen y cubre el 170 % de los costes; el margen EBITDA publicado es del 62,6 % y el ROIC del 10,9 % frente a un WACC del 7,36 % (+3,5 puntos), lastrado por el fondo de comercio de Borsa Italiana. Veredicto de calidad: </w:t>
      </w:r>
      <w:r>
        <w:rPr>
          <w:b/>
        </w:rPr>
        <w:t xml:space="preserve">Sí</w:t>
      </w:r>
      <w:r>
        <w:t xml:space="preserve">, con foso amplio. La sostenibilidad del crecimiento también es </w:t>
      </w:r>
      <w:r>
        <w:rPr>
          <w:b/>
        </w:rPr>
        <w:t xml:space="preserve">Sí</w:t>
      </w:r>
      <w:r>
        <w:t xml:space="preserve">: el 6,2 % medio proyectado está por debajo del orgánico reciente y no necesita capital.</w:t>
      </w:r>
    </w:p>
    <w:p>
      <w:pPr>
        <w:spacing w:after="100"/>
      </w:pPr>
      <w:r>
        <w:rPr>
          <w:b/>
        </w:rPr>
        <w:t xml:space="preserve">Finanzas.</w:t>
      </w:r>
      <w:r>
        <w:t xml:space="preserve"> Los ingresos crecen un 11,8 % en 2025 y un 15,8 % en el primer semestre de 2026, con 9,9 % orgánico en el 2T26 [1, 2]. La deuda neta ajustada es de 1.971 M (1,6 veces el EBITDA). Las cifras «ajustadas» de la empresa excluyen costes que se repiten; usamos las publicadas.</w:t>
      </w:r>
    </w:p>
    <w:p>
      <w:pPr>
        <w:spacing w:after="100"/>
      </w:pPr>
      <w:r>
        <w:rPr>
          <w:b/>
        </w:rPr>
        <w:t xml:space="preserve">Comparación con Deutsche Börse.</w:t>
      </w:r>
      <w:r>
        <w:t xml:space="preserve"> Euronext cotiza a 20,8 veces el beneficio de los próximos doce meses frente a 22,7 de Deutsche Börse, con más margen (62,6 % frente a 58,3 %) y más crecimiento (11,8 % frente a 3,4 % en 2025), pero menos ROIC (10,9 % frente a 14 %) [14, 28]. Deutsche Börse depende más de los tipos (resultado de tesorería, 14 % de sus ingresos frente al 4 %) y Euronext más del volumen de contado. Las dos salen en Mantener a 12 meses; Euronext ofrece más calidad de crecimiento, Deutsche Börse más diversificación.</w:t>
      </w:r>
    </w:p>
    <w:p>
      <w:pPr>
        <w:spacing w:after="100"/>
      </w:pPr>
      <w:r>
        <w:rPr>
          <w:b/>
        </w:rPr>
        <w:t xml:space="preserve">Equipo y gobierno.</w:t>
      </w:r>
      <w:r>
        <w:t xml:space="preserve"> Equipo que cumple sus planes, pero el consejero delegado sale en mayo de 2027 sin sucesor elegido [12] y la junta de 2025 rechazó el informe de remuneraciones (60,14 % en contra) [19]. Los Estados francés, italiano y belga suman el 24 % en un pacto: no hay control, pero sí influencia en la sucesión [9].</w:t>
      </w:r>
    </w:p>
    <w:p>
      <w:pPr>
        <w:spacing w:after="100"/>
      </w:pPr>
      <w:r>
        <w:rPr>
          <w:b/>
        </w:rPr>
        <w:t xml:space="preserve">Valoración.</w:t>
      </w:r>
      <w:r>
        <w:t xml:space="preserve"> El DCF da 185,12 EUR; el precio descuenta un crecimiento del 3,3 % anual frente al 5,0 % de nuestro base. Con la prima del mercado (4,2 %) el DCF sube a 235,12: la discrepancia es de tasa, no de flujos. Nuestro BPA de 2028 (8,08 EUR) queda un 8,8 % por debajo del consenso porque restamos la amortización de compras y no suponemos recompras.</w:t>
      </w:r>
    </w:p>
    <w:p>
      <w:pPr>
        <w:spacing w:after="100"/>
      </w:pPr>
      <w:r>
        <w:rPr>
          <w:b/>
        </w:rPr>
        <w:t xml:space="preserve">Riesgos y catalizadores.</w:t>
      </w:r>
      <w:r>
        <w:t xml:space="preserve"> El mayor riesgo es el múltiplo: en el bajista a 12 meses el PER vuelve a 14,0 veces y la acción cae a 103,18 EUR. Después, la normalización de volúmenes y la sucesión. El riesgo de que la IA se coma el negocio es bajo: la infraestructura regulada no se sustituye, y la negociación algorítmica suma volumen. Catalizadores: 3T26 el 5-nov-2026, resultados anuales en febrero y relevo en mayo de 2027. El foro, escaso y favorable, especula con la fusión con Deutsche Börse.</w:t>
      </w:r>
    </w:p>
    <w:p>
      <w:pPr>
        <w:spacing w:after="100"/>
      </w:pPr>
      <w:r>
        <w:rPr>
          <w:b/>
        </w:rPr>
        <w:t xml:space="preserve">Qué cambiaría la decisión.</w:t>
      </w:r>
      <w:r>
        <w:t xml:space="preserve"> Compraríamos por debajo de 136,94 EUR y venderíamos por encima de 174,98. Pasaríamos a Vender si el volumen medio diario de contado cae por debajo de 12.000 M EUR dos trimestres seguidos o si el margen EBITDA ajustado baja del 60 %.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154,30 EUR</w:t>
      </w:r>
      <w:r>
        <w:t xml:space="preserve"> (rentabilidad -5,6 % (base -3,6 %)) · Valor intrínseco: 182,06 EUR (+9,1 % sobre 166,80) · con la prima implícita del mercado: 220,96 (+32,5 %)</w:t>
      </w:r>
    </w:p>
    <w:p>
      <w:pPr>
        <w:spacing w:after="100"/>
      </w:pPr>
      <w:r>
        <w:t xml:space="preserve">Euronext es la mayor infraestructura de mercados de Europa: 29 % de la negociación de acciones, 1.800 emisores, 8,1 billones de EUR en custodia y una cámara propia desde 2024 [2]. Gana dinero con un margen EBITDA del 62,6 % y un 58 % de ingresos recurrentes que cubren de sobra los costes, de modo que el volumen extra cae casi entero al beneficio.</w:t>
      </w:r>
    </w:p>
    <w:p>
      <w:pPr>
        <w:spacing w:after="100"/>
      </w:pPr>
      <w:r>
        <w:t xml:space="preserve">El precio de 166,80 EUR descuenta un crecimiento del 3,3 % anual en 2027-2032, por debajo de nuestro 5,0 % y del orgánico reciente; a 20,8 veces el beneficio de los próximos doce meses cotiza con descuento frente a sus comparables (23,4 veces) pero con prima frente a su historia (24,2 veces de PER de los últimos doce meses frente a una media de 19,5).</w:t>
      </w:r>
    </w:p>
    <w:p>
      <w:pPr>
        <w:spacing w:after="100"/>
      </w:pPr>
      <w:r>
        <w:t xml:space="preserve">Para invertir hay que creer que el múltiplo de 2026 es el nuevo normal, que los volúmenes récord no se dan la vuelta y que el relevo de 2027 no cambia la estrategia. El valor a largo plazo existe (182,06 EUR), pero a 12 meses el mercado ya paga el buen momento.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 × 7,37 = 103,18 · 19,5x × 8,08 = 157,56 · 23,4x × 8,50 = 198,90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 / -3,6 %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168,41 (nuestro base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 / -18,5 %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7,4 % y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220,96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136,94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136,94 y 174,98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174,98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136,94 EUR: pasaríamos a Comprar.</w:t>
      </w:r>
    </w:p>
    <w:p>
      <w:pPr>
        <w:pStyle w:val="ListParagraph"/>
        <w:numPr>
          <w:ilvl w:val="0"/>
          <w:numId w:val="2"/>
        </w:numPr>
        <w:spacing w:after="60"/>
      </w:pPr>
      <w:r>
        <w:t xml:space="preserve">Precio por encima de 174,98 EUR: pasaríamos a Vender o reducir.</w:t>
      </w:r>
    </w:p>
    <w:p>
      <w:pPr>
        <w:pStyle w:val="ListParagraph"/>
        <w:numPr>
          <w:ilvl w:val="0"/>
          <w:numId w:val="2"/>
        </w:numPr>
        <w:spacing w:after="60"/>
      </w:pPr>
      <w:r>
        <w:t xml:space="preserve">Si el margen EBITDA ajustado de un trimestre baja del 60 %, revisaríamos el caso base a la baja.</w:t>
      </w:r>
    </w:p>
    <w:p>
      <w:pPr>
        <w:pStyle w:val="ListParagraph"/>
        <w:numPr>
          <w:ilvl w:val="0"/>
          <w:numId w:val="2"/>
        </w:numPr>
        <w:spacing w:after="60"/>
      </w:pPr>
      <w:r>
        <w:t xml:space="preserve">Si el sucesor del consejero delegado no está nombrado en la junta de mayo de 2027,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ciclo de volúmenes altos y la integración europea sostienen crecimientos de doble dígito, con el PER adelantado en 22 veces y un objetivo medio de los analistas (168,41 EUR) igual al precio.</w:t>
      </w:r>
    </w:p>
    <w:p>
      <w:pPr>
        <w:keepNext/>
        <w:spacing w:after="100"/>
      </w:pPr>
      <w:r>
        <w:rPr>
          <w:b/>
          <w:bCs/>
        </w:rPr>
        <w:t xml:space="preserve">Lo que creemos nosotros.</w:t>
      </w:r>
    </w:p>
    <w:p>
      <w:pPr>
        <w:spacing w:after="100"/>
      </w:pPr>
      <w:r>
        <w:t xml:space="preserve">Compartimos la calidad del negocio y vemos un valor intrínseco algo superior (182,06 EUR), pero esperamos que el múltiplo devuelva parte de la prima histórica y que el beneficio de 2028 sea un 8,8 % menor que el del consenso.</w:t>
      </w:r>
    </w:p>
    <w:p>
      <w:pPr>
        <w:keepNext/>
        <w:spacing w:after="100"/>
      </w:pPr>
      <w:r>
        <w:rPr>
          <w:b/>
          <w:bCs/>
        </w:rPr>
        <w:t xml:space="preserve">Por qué podemos tener razón.</w:t>
      </w:r>
    </w:p>
    <w:p>
      <w:pPr>
        <w:spacing w:after="100"/>
      </w:pPr>
      <w:r>
        <w:t xml:space="preserve">Los últimos tres años de revalorización (34,7 % anual) vienen tanto del múltiplo como del beneficio; en 2022-2023 la misma empresa cotizó a 14 veces. No tenemos una visión distinta del negocio; sí del precio a pagar.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66,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Ingresos recurrentes</w:t>
      </w:r>
      <w:r>
        <w:t xml:space="preserve">: el 58 % no depende del volumen y cubre el 170 % de los costes.</w:t>
      </w:r>
    </w:p>
    <w:p>
      <w:pPr>
        <w:pStyle w:val="ListParagraph"/>
        <w:numPr>
          <w:ilvl w:val="0"/>
          <w:numId w:val="2"/>
        </w:numPr>
        <w:spacing w:after="60"/>
      </w:pPr>
      <w:r>
        <w:rPr>
          <w:b/>
        </w:rPr>
        <w:t xml:space="preserve">Margen y apalancamiento operativo</w:t>
      </w:r>
      <w:r>
        <w:t xml:space="preserve">: EBITDA ajustado del 66,1 % en el 2T26 con costes al +9,5 %.</w:t>
      </w:r>
    </w:p>
    <w:p>
      <w:pPr>
        <w:pStyle w:val="ListParagraph"/>
        <w:numPr>
          <w:ilvl w:val="0"/>
          <w:numId w:val="2"/>
        </w:numPr>
        <w:spacing w:after="60"/>
      </w:pPr>
      <w:r>
        <w:rPr>
          <w:b/>
        </w:rPr>
        <w:t xml:space="preserve">Crecimiento orgánico</w:t>
      </w:r>
      <w:r>
        <w:t xml:space="preserve">: 9,5 % en 2025 y 9,9 % en el 2T26.</w:t>
      </w:r>
    </w:p>
    <w:p>
      <w:pPr>
        <w:pStyle w:val="ListParagraph"/>
        <w:numPr>
          <w:ilvl w:val="0"/>
          <w:numId w:val="2"/>
        </w:numPr>
        <w:spacing w:after="60"/>
      </w:pPr>
      <w:r>
        <w:rPr>
          <w:b/>
        </w:rPr>
        <w:t xml:space="preserve">Descuento frente a los comparables</w:t>
      </w:r>
      <w:r>
        <w:t xml:space="preserve">: 20,8 veces el beneficio frente a 23,4 de mediana y 22,7 de Deutsche Börse.</w:t>
      </w:r>
    </w:p>
    <w:p>
      <w:pPr>
        <w:pStyle w:val="ListParagraph"/>
        <w:numPr>
          <w:ilvl w:val="0"/>
          <w:numId w:val="2"/>
        </w:numPr>
        <w:spacing w:after="60"/>
      </w:pPr>
      <w:r>
        <w:rPr>
          <w:b/>
        </w:rPr>
        <w:t xml:space="preserve">Palancas europeas</w:t>
      </w:r>
      <w:r>
        <w:t xml:space="preserve">: liquidación de tres mercados en Euronext Securities desde septiembre de 2026.</w:t>
      </w:r>
    </w:p>
    <w:p>
      <w:pPr>
        <w:pStyle w:val="Heading2"/>
      </w:pPr>
      <w:r>
        <w:t xml:space="preserve">En contra</w:t>
      </w:r>
    </w:p>
    <w:p>
      <w:pPr>
        <w:pStyle w:val="ListParagraph"/>
        <w:numPr>
          <w:ilvl w:val="0"/>
          <w:numId w:val="2"/>
        </w:numPr>
        <w:spacing w:after="60"/>
      </w:pPr>
      <w:r>
        <w:rPr>
          <w:b/>
        </w:rPr>
        <w:t xml:space="preserve">Precio en máximos</w:t>
      </w:r>
      <w:r>
        <w:t xml:space="preserve">: PER adelantado de 22,1 veces frente a una mediana de 17,2.</w:t>
      </w:r>
    </w:p>
    <w:p>
      <w:pPr>
        <w:pStyle w:val="ListParagraph"/>
        <w:numPr>
          <w:ilvl w:val="0"/>
          <w:numId w:val="2"/>
        </w:numPr>
        <w:spacing w:after="60"/>
      </w:pPr>
      <w:r>
        <w:rPr>
          <w:b/>
        </w:rPr>
        <w:t xml:space="preserve">Asimetría a 12 meses desfavorable</w:t>
      </w:r>
      <w:r>
        <w:t xml:space="preserve">: bajista −36,2 % frente a alcista +21,2 % (0,50 veces).</w:t>
      </w:r>
    </w:p>
    <w:p>
      <w:pPr>
        <w:pStyle w:val="ListParagraph"/>
        <w:numPr>
          <w:ilvl w:val="0"/>
          <w:numId w:val="2"/>
        </w:numPr>
        <w:spacing w:after="60"/>
      </w:pPr>
      <w:r>
        <w:rPr>
          <w:b/>
        </w:rPr>
        <w:t xml:space="preserve">Dependencia del ciclo</w:t>
      </w:r>
      <w:r>
        <w:t xml:space="preserve">: contado y derivados son el 23 % de los ingresos y crecen al 25 %.</w:t>
      </w:r>
    </w:p>
    <w:p>
      <w:pPr>
        <w:pStyle w:val="ListParagraph"/>
        <w:numPr>
          <w:ilvl w:val="0"/>
          <w:numId w:val="2"/>
        </w:numPr>
        <w:spacing w:after="60"/>
      </w:pPr>
      <w:r>
        <w:rPr>
          <w:b/>
        </w:rPr>
        <w:t xml:space="preserve">Sucesión sin resolver</w:t>
      </w:r>
      <w:r>
        <w:t xml:space="preserve">: el consejero delegado sale en mayo de 2027.</w:t>
      </w:r>
    </w:p>
    <w:p>
      <w:pPr>
        <w:pStyle w:val="ListParagraph"/>
        <w:numPr>
          <w:ilvl w:val="0"/>
          <w:numId w:val="2"/>
        </w:numPr>
        <w:spacing w:after="60"/>
      </w:pPr>
      <w:r>
        <w:rPr>
          <w:b/>
        </w:rPr>
        <w:t xml:space="preserve">ROIC moderado</w:t>
      </w:r>
      <w:r>
        <w:t xml:space="preserve">: 10,9 % por el fondo de comercio de las compras.</w:t>
      </w:r>
    </w:p>
    <w:p>
      <w:pPr>
        <w:pStyle w:val="Heading2"/>
      </w:pPr>
      <w:r>
        <w:t xml:space="preserve">Qué tiene que pasar para que la tesis funcione</w:t>
      </w:r>
    </w:p>
    <w:p>
      <w:pPr>
        <w:spacing w:after="100"/>
      </w:pPr>
      <w:r>
        <w:t xml:space="preserve">La tesis depende de que el crecimiento orgánico se mantenga por encima del 6 % cuando la volatilidad se normalice. La señal de que no se cumple sería un volumen medio diario de contado por debajo de 12.000 M EUR junto con un crecimiento de los ingresos no ligados al volumen por debajo del 6 %.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de contado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16.698 M EUR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12.000 M EUR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20 % de los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6 % proyectado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del plan y del rating</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 de costes con ingresos no ligados al volumen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Resistencia en un año de volúmenes bajos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 14,1x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24,2x / 20,8x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Euronext nace en 2000 de la fusión de las bolsas de París, Ámsterdam y Bruselas: la primera bolsa transfronteriza. Suma Lisboa y LIFFE en 2002, se fusiona con NYSE en 2007 y pasa a ICE en 2013, que la saca a bolsa por separado en junio de 2014 con un núcleo de accionistas de referencia [13]. Desde entonces compra Irish Stock Exchange (2018), Oslo Børs VPS (2019), VP Securities y Nord Pool (2020) y, en 2021, Borsa Italiana con MTS, la cámara y el depositario italianos, la compra que la convierte en grupo de toda la cadena de valor [10, 13]. En 2024-2025 trae a casa la compensación de contado y derivados (Euronext Clearing), compra Admincontrol y Athex, y entra en el CAC 40 en septiembre de 2025 [1,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las bolsas de París, Ámsterdam y Bruselas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NYSE (NYSE Euronext)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tras la compra de NYSE Euronext por ICE; núcleo de accionistas de referencia con el 33 %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Oslo Børs VPS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Borsa Italiana (4.325 M EUR) con MTS, la cámara y el depositario; entran CDP Equity e Intesa como accionistas de referencia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«Innovate for Growth 2027» y compensación europea en Euronext Clearing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Admincontrol y de Athex (canje de acciones); entrada en el CAC 40 [1,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 electricidad nórdicos (marzo) y liquidación de París, Ámsterdam y Bruselas en Euronext Securities (septiembre)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Euronext opera ocho bolsas reguladas (Ámsterdam, Atenas, Bruselas, Dublín, Lisboa, Milán, Oslo y París) con más de 1.800 emisores y 7 billones de EUR de capitalización, el mayor centro mundial de cotización de bonos y fondos, MTS (renta fija electrónica), Nord Pool (electricidad), Euronext FX, una cámara de compensación (Euronext Clearing) y cinco depositarios centrales (Euronext Securities) [2]. Los clientes son emisores (cuotas de admisión y anuales), intermediarios y creadores de mercado (comisiones por operación y compensación), gestores y bancos (datos, índices, custodia) y comercializadoras de electricidad. Maneja el 29 % de la negociación europea de acciones en mercados transparentes [2].</w:t>
      </w:r>
    </w:p>
    <w:p>
      <w:pPr>
        <w:pStyle w:val="Heading2"/>
      </w:pPr>
      <w:r>
        <w:t xml:space="preserve">Cómo gana dinero</w:t>
      </w:r>
    </w:p>
    <w:p>
      <w:pPr>
        <w:spacing w:after="100"/>
      </w:pPr>
      <w:r>
        <w:t xml:space="preserve">El 58 % de los ingresos no depende del volumen: custodia y liquidación, cuotas de cotización, datos e índices, software (Admincontrol) y colocation; cubren el 170 % de los costes subyacentes, de modo que el negocio ligado al volumen (contado, derivados, renta fija, electricidad) cae casi entero al EBITDA [2]. El coste es sobre todo de personal y sistemas y crece poco (+9,5 % en el 2T26 con compras incluidas) frente a ingresos al +16,9 %: el apalancamiento operativo explica el margen ajustado del 66 % [2]. Un 4 % de los ingresos es resultado de tesorería de la cámara, ligado a los tipos y a las garantías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Securities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Markets and Data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FICC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Equity Markets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tesorería (NTI)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ingresos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no subyacentes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Securities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Markets and Data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FICC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Equity Markets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 tesorería (NTI)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ingresos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 no subyacentes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Clientes, recurrencia y poder de precios</w:t>
      </w:r>
    </w:p>
    <w:p>
      <w:pPr>
        <w:spacing w:after="100"/>
      </w:pPr>
      <w:r>
        <w:t xml:space="preserve">No hay concentración relevante: miles de emisores e intermediarios. Los costes de cambio son altos en custodia, liquidación y cotización (un emisor no cambia de bolsa salvo por una OPA o una exclusión), y medios en negociación de contado, donde compiten las plataformas multilaterales (Cboe Europe, Aquis). El poder de precios se ve en la captura por operación de contado, estable en torno a 0,50-0,51 pb pese a la competencia, y en el crecimiento de la custodia (+13,7 % en el 2T26) por servicios de valor añadido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bajo custodia (fin de 2T, billones de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base de los ingresos recurrentes de Securities Services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de contado (M EUR,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Volatilidad, ETF y Atenas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en sus mercados de contado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Captura de 0,50 pb por operación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ETF cotizados (fin de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Euronext Dublin es el primer centro de cotización de fondos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MTS Cash, volumen medio diario (M EUR,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64.919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 récord en renta fija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 de los costes subyacentes con ingresos no ligados al volumen (2T)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58 % de los ingresos no depende del volumen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Infraestructura de los mercados de capitales europeos: cotización, negociación y compensación de acciones, renta fija, derivados y electricidad, custodia y liquidación, y datos e índices. El mercado relevante para Euronext es europeo; los grandes rivales son Deutsche Börse (derivados y post-contratación), LSEG (datos y compensación en Londres), SIX, Nasdaq Nordic y las plataformas multilaterales. No hay una cifra pública fiable de tamaño de mercado: medimos la cuota con la negociación de acciones en mercados transparentes, que publica la propia empresa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volúmenes de negociación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contado creció un 26,9 % en el 2T26 con volatilidad alta; en 2025 los derivados de renta variable cayeron un 13,4 %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Unión de Ahorro e Inversión de la UE y consolidación de la post-contratación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Liquidación de París, Ámsterdam y Bruselas en Euronext Securities desde septiembre de 2026; paquete de integración y supervisión de la Comisión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ETF e inversión minorista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ETF cotizados +15,6 % en un año y volumen de Euronext ETF Europe +84 % desde su lanzamiento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garantías de la cámara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resultado de tesorería fue de 69,6 M en 2025 (+22,6 %) y bajó en el 1T26 por un modelo de riesgo más eficiente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Electrificación y comercio de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Materias primas +27,2 % en el 2T26 con los futuros de electricidad nórdicos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contado compiten las plataformas multilaterales; Euronext retiene el 66 % de sus propios mercados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bancos e intermediarios negocian tarifas y apoyan plataformas alternativas.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Personal y tecnología propia (Optiq).</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mercado, cámara y depositario y la liquidez acumulada levantan barreras.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Negociación bilateral y fuera de mercado en contado; menos en cotización y custodia.</w:t>
            </w:r>
          </w:p>
        </w:tc>
      </w:tr>
    </w:tbl>
    <w:p>
      <w:pPr>
        <w:spacing w:after="160" w:before="0"/>
      </w:pPr>
    </w:p>
    <w:p>
      <w:pPr>
        <w:pStyle w:val="Heading2"/>
      </w:pPr>
      <w:r>
        <w:t xml:space="preserve">Ciclo</w:t>
      </w:r>
    </w:p>
    <w:p>
      <w:pPr>
        <w:spacing w:after="100"/>
      </w:pPr>
      <w:r>
        <w:t xml:space="preserve">Volúmenes de contado en máximos (+22,7 % en el 2T26), renovación de salidas a bolsa y ampliaciones (+112 % en importe captado en el 2T26) y volatilidad elevada [2]. En 2022 la combinación de menos volumen y tipos negativos dejó los ingresos casi planos; en 2008-09 y 2020 los volúmenes subieron con la volatilidad y el negocio de cotización cayó. La parte cíclica (contado, derivados, tesorería) es en torno al 40 % de los ingresos [2].</w:t>
      </w:r>
    </w:p>
    <w:p>
      <w:pPr>
        <w:pStyle w:val="Heading2"/>
      </w:pPr>
      <w:r>
        <w:t xml:space="preserve">Regulación</w:t>
      </w:r>
    </w:p>
    <w:p>
      <w:pPr>
        <w:spacing w:after="100"/>
      </w:pPr>
      <w:r>
        <w:t xml:space="preserve">Euronext está supervisada por un colegio de reguladores (AFM, AMF, Consob, CBI, FSMA, CMVM, Finanstilsynet, HCMC) y la designación del presidente del consejo de supervisión pasa por el Ministerio de Finanzas neerlandés. La revisión de MiFIR (cinta consolidada, 2026-2027) puede abaratar los datos de mercado; la obligación de cuentas activas de EMIR 3 favorece la compensación en la UE; la liquidación en T+1 en Europa (octubre de 2027) exige inversión en los depositarios. Cualquier fusión con Deutsche Börse tendría que superar a Bruselas, que la vetó en 2012 y 2017 [12].</w:t>
      </w:r>
    </w:p>
    <w:p>
      <w:pPr>
        <w:pStyle w:val="Heading2"/>
      </w:pPr>
      <w:r>
        <w:t xml:space="preserve">Tendencias y disrupción</w:t>
      </w:r>
    </w:p>
    <w:p>
      <w:pPr>
        <w:spacing w:after="100"/>
      </w:pPr>
      <w:r>
        <w:t xml:space="preserve">Integración de la cadena de valor (negociación, compensación y liquidación en casa), diversificación hacia datos, índices y software (Admincontrol), nuevas clases de activo (electricidad, repos) y tokenización. Euronext gana con la consolidación europea; pierde si la cinta consolidada y la competencia de las plataformas multilaterales presionan los precios de los datos y del contado [2, 10].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infraestructura europea de cotización y de negociación de acciones en mercados transparentes (29 % del total europeo) [2]; 3.ª red de depositarios de Europa (8,1 billones de EUR en custodia) [2,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DB1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 mayor y más diversificada: derivados (Eurex), post-contratación (Clearstream), software (SimCorp) e índices y datos (ISS STOXX). Margen EBITDA del 58,3 % en 2025 frente al 61,8 % de Euronext [11,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derivados europeos (ICE Futures Europe) y en energía; 9.931 M USD de ingresos y 4.929 M de EBIT en 2025, a 1,175 USD/EUR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(antigua Refinitiv) y compensación (LCH, también en París); margen EBITDA del 48 %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Cboe Europe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CBOE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plataforma multilateral de contado en Europa; compite en precio por la negociación de acciones de Euronext.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SIX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 suiza y española (BME); rival en post-contratación e información financiera.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atrae liquidez: Euronext mantiene el 66,2 % de la negociación de sus propias acciones pese a las plataformas multilaterales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Emisores, custodia y liquidación casi no cambian de proveedor: la custodia crece a doble dígito con 8,1 billones de EUR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ocho mercados regulados, una cámara y cinco depositarios; índices CAC 40, AEX y FTSE MIB (este con FTSE Russell).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única (Optiq) para todos los mercados: 121 M de sinergias con Borsa Italiana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EBITDA ajustado del 62,7 % en 2025 y del 66,1 % en el 2T26 [1, 2].</w:t>
            </w:r>
          </w:p>
        </w:tc>
      </w:tr>
    </w:tbl>
    <w:p>
      <w:pPr>
        <w:spacing w:after="160" w:before="0"/>
      </w:pPr>
    </w:p>
    <w:p>
      <w:pPr>
        <w:pStyle w:val="Heading2"/>
      </w:pPr>
      <w:r>
        <w:t xml:space="preserve">Amenazas</w:t>
      </w:r>
    </w:p>
    <w:p>
      <w:pPr>
        <w:spacing w:after="100"/>
      </w:pPr>
      <w:r>
        <w:t xml:space="preserve">La cinta consolidada europea (MiFIR) puede rebajar el valor de los datos de mercado; las plataformas multilaterales presionan el precio del contado; la propia integración de la post-contratación (depositario único) puede traer más regulación de tarifas. Una fusión entre Deutsche Börse y otro grupo, o una consolidación europea dirigida desde Bruselas, cambiaría el mapa: el consejero delegado reabrió en septiembre la idea de unir los negocios de bolsa con Deutsche Börse, sin conversaciones en marcha [12].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2020-2025: ingresos </w:t>
      </w:r>
      <w:r>
        <w:rPr>
          <w:b/>
          <w:bCs/>
        </w:rPr>
        <w:t xml:space="preserve">15,5 %</w:t>
      </w:r>
      <w:r>
        <w:t xml:space="preserve">, EBITDA </w:t>
      </w:r>
      <w:r>
        <w:rPr>
          <w:b/>
          <w:bCs/>
        </w:rPr>
        <w:t xml:space="preserve">17,5 %</w:t>
      </w:r>
      <w:r>
        <w:t xml:space="preserve">, BPA </w:t>
      </w:r>
      <w:r>
        <w:rPr>
          <w:b/>
          <w:bCs/>
        </w:rPr>
        <w:t xml:space="preserve">8,8 %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y otros ingresos pasan de 884 M EUR en 2020 a 1.819 M en 2025: la mayor parte del salto es inorgánico (Borsa Italiana desde abril de 2021, Nord Pool, Admincontrol y Athex en 2025) [4, 7]. Desde 2023 el crecimiento es sobre todo orgánico: +9,5 % en 2025 a perímetro y divisa constantes y +7,6 % y +9,9 % en el 1T26 y el 2T26 [1, 2, 3]. El margen EBITDA publicado sube del 53,3 % de 2023, cargado con costes de integración y de la migración de la cámara, al 61,8 % de 2025; el ajustado de la empresa llega al 62,7 % en 2025 y al 66,1 % en el 2T26 por apalancamiento operativo: los costes subyacentes crecen un 9,5 % con ingresos al +16,9 % [1, 2]. El resultado financiero se dio la vuelta: de +52 M en 2024 a +17 M en 2025 por la caída de tipos y los nuevos bonos, e incluye 35 M de dividendos de Euroclear y Sicovam [1].</w:t>
      </w:r>
    </w:p>
    <w:p>
      <w:pPr>
        <w:pStyle w:val="Heading2"/>
      </w:pPr>
      <w:r>
        <w:t xml:space="preserve">Ajustes y partidas no recurrentes</w:t>
      </w:r>
    </w:p>
    <w:p>
      <w:pPr>
        <w:spacing w:after="100"/>
      </w:pPr>
      <w:r>
        <w:t xml:space="preserve">Usamos cifras publicadas. La empresa da además cifras «subyacentes» o «ajustadas» que excluyen los costes de integración y adquisición y la amortización de intangibles de compras (PPA: 86,9 M en 2025; 22,6 y 25,2 M en el 1T26 y el 2T26) [1, 2, 3]. El BPA ajustado de 2025 es 7,27 EUR básico frente a 6,34 publicado (6,29 diluido) [1]. Los costes «no subyacentes» sin amortización fueron 14,5 M en 2025 y 30,8 M en 2024, pero aparecen todos los años desde 2021 (Borsa Italiana, cámara, Admincontrol, Athex): no los tratamos como no recurrentes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Cifras subyacentes de la empresa: ingresos sin partidas no recurrentes, EBITDA ajustado y BPA ajustado básico; el 3T25 se deduce del año menos los otros tres trimestres [1, 2, 3]. El mensaje del 2T26 (30-jul) es «noveno trimestre seguido de crecimiento de dos dígitos»: todos los negocios crecen a doble dígito, el margen ajustado marca récord (66,1 %) y los ingresos no ligados al volumen cubren el 170 % de los costes [2]. Frente al 1T26 (19-may), el discurso pasa de la integración (Athex, Admincontrol) a la ejecución del plan: primer trimestre completo de los futuros de electricidad nórdicos tras migrar el 100 % de la posición abierta desde Nasdaq, récord de MTS y la puesta en marcha en septiembre de 2026 del depositario para la liquidación de París, Ámsterdam y Bruselas [2, 3]. La dirección vuelve a apoyarse en la agenda europea (paquete de integración y supervisión de mercados de la Comisión) y no cuantifica su efecto. El resultado de tesorería, que bajó un 11,6 % en el 1T26 por un modelo de riesgo más eficiente, volvió a subir en el 2T26 (+12,5 %) por las garantías de los futuros de electricidad [2, 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(2021: Borsa Italiana (MTS, Euronext Clearing, Euronext Securities Milan), consolidada desde el 29-abr-2021: el balance la recoge entera y la cuenta solo ocho meses.; 2025: Admincontrol (mayo de 2025) y Athex Group (24-nov-2025, canje de acciones): el balance de cierre incluye Athex y la cuenta solo cinco semanas.).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balance analítico (sin la actividad de cámara) es pequeño: unos 9.600 M EUR de activos, de los que 6.800 M son fondo de comercio e intangibles de las compras [1]. El circulante comercial es negativo: los cobros a clientes (393 M) quedan por debajo de los pagos pendientes (520 M) y de los ingresos cobrados por adelantado (168 M) [1]. La deuda bruta sube a 3.314 M en 2025 por Admincontrol (puente refinanciado con el convertible y un bono) y baja a 2.929 M en junio de 2026; la deuda neta sobre EBITDA es de 1,3 veces, dentro del rango de 1-2 veces del plan [2, 10].</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2020-2025: FCF </w:t>
      </w:r>
      <w:r>
        <w:rPr>
          <w:b/>
          <w:bCs/>
        </w:rPr>
        <w:t xml:space="preserve">2.998</w:t>
      </w:r>
      <w:r>
        <w:t xml:space="preserve">, conversión </w:t>
      </w:r>
      <w:r>
        <w:rPr>
          <w:b/>
          <w:bCs/>
        </w:rPr>
        <w:t xml:space="preserve">103 %</w:t>
      </w:r>
      <w:r>
        <w:t xml:space="preserve"> del beneficio neto; adquisiciones 4.731, dividendos 1.262, recompras 782.</w:t>
      </w:r>
    </w:p>
    <w:p>
      <w:pPr>
        <w:spacing w:after="100"/>
      </w:pPr>
      <w:r>
        <w:t xml:space="preserve">La conversión en caja es alta y estable: el flujo de explotación fue de 812 M EUR en 2025 sobre un EBITDA de 1.124 M, con 305 M de impuestos pagados [1]. La empresa cifra la conversión sin el circulante de las cámaras en el 75,2 % del EBITDA en 2025 [1]. El flujo de explotación salta de un trimestre a otro por las garantías de Euronext Clearing y la caja en tránsito de Nord Pool (499,8 M en el 1T26 frente a 185,5 M en el 2T26) [2, 3]. La inversión (125-130 M en 2025, el 7,1 % de los ingresos) es casi toda software activado; el plan la fija entre el 4 % y el 6 % de los ingresos [1, 10]. Las compras de 2025 (Admincontrol, 296 M en caja, más 27,7 M de compra de activos de los futuros de electricidad) y la recompra de 411 M absorbieron la caja libre; Athex se pagó en acciones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Accountants N.V.</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con dos matices. Primero, la empresa enseña cifras «ajustadas» que excluyen la amortización de intangibles de las compras (86,9 M en 2025) y costes de integración que aparecen todos los años desde 2021: el BPA ajustado (7,27 EUR) supera en un 15 % al publicado (6,34) [1]; usamos el publicado. Segundo, el balance lleva 405.000 M de posiciones de cámara que inflan el activo sin riesgo de balance propio salvo el de impago de miembros; lo excluimos. El Altman Z de 3,05 queda en zona segura, el Piotroski F de 7 sobre 8 calculables es alto y el Beneish M de −2,52 no apunta a manipulación. La remuneración en acciones es pequeña (20,9 M en 2025, el 3 % del beneficio) [1]. El auditor es KPMG [4]. Las cifras trimestrales no están auditadas ni revisadas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Cifras «ajustadas» con costes recurrentes de integración fuera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no subyacentes todos los años desde 2021; el BPA ajustado supera al publicado en un 15 %.</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 de cámara de 405.000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compensadas de los miembros; riesgo de impago cubierto por garantías y fondos de la cámara.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explotación volátil por las garantías de la cámara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499,8 M en el 1T26 y 185,5 M en el 2T26; la empresa da la conversión sin ese efecto (75,2 % en 2025).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8,1 % · </w:t>
      </w:r>
      <w:r>
        <w:rPr>
          <w:b/>
          <w:bCs/>
        </w:rPr>
        <w:t xml:space="preserve">WACC</w:t>
      </w:r>
      <w:r>
        <w:t xml:space="preserve">: 7,4 %.</w:t>
      </w:r>
    </w:p>
    <w:p>
      <w:pPr>
        <w:spacing w:after="100"/>
      </w:pPr>
      <w:r>
        <w:t xml:space="preserve">Euronext crea valor, pero menos de lo que sugiere su margen: el ROIC es del 10,9 % en 2025 frente a un WACC del 7,36 %, porque el capital invertido incluye 6.777 M de fondo de comercio e intangibles de las compras, sobre todo Borsa Italiana [1]. El ROIC cayó del 18 % de 2020 al 7,5 % de 2022 con esa compra y se ha recuperado año a año (8,0 %, 10,0 % y 10,9 %) a medida que llegaban las sinergias; el ROIC incremental histórico es del 8,1 %. Lo que lo mueve es el margen (EBITDA del 61,8 % publicado), no la rotación: los activos tangibles son mínimos. Frente a Deutsche Börse (ROIC del 14 %) y la mediana de comparables (10,3 %), Euronext queda en la media [28]. Sin el fondo de comercio, el rendimiento del capital tangible es de varias veces el WACC: el foso es real, pero la dirección lo ha pagado caro.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1.311 M EUR a 30-jun-2026, de la que unos 228 M son caja en tránsito de Nord Pool que no es libre; deuda bruta de 2.929 M tras amortizar el 18-may-2026 los 385,5 M del bono de 2021 [2,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grado de inversión; la política es mantener al menos BBB [10]. Nota exacta no comprobada en las fuentes leídas.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Euronext Clearing y la cámara de Nord Pool llevan en balance 405.562 M EUR de activos y 405.585 M de pasivos de compensación a 30-jun-2026 [2]: posiciones de los miembros que se compensan entre sí y que excluimos del balance analítico, como hacen la empresa y las agencias en sus ratios. El riesgo real es el de impago de un miembro por encima de las garantías y de los fondos de la cámara. La deuda incluye un bono convertible (OCEANE) de 425 M al 1,50 % con vencimiento en 2032 y precio de conversión de 191,17 EUR, hoy fuera de dinero [8]. Pensiones netas de 23 M, provisiones de 8 M e impuestos diferidos de 510 M, que nacen sobre todo de los intangibles de las compras [2].</w:t>
      </w:r>
    </w:p>
    <w:p>
      <w:pPr>
        <w:pStyle w:val="Heading1"/>
      </w:pPr>
      <w:r>
        <w:t xml:space="preserve">12. Asignación de capital</w:t>
      </w:r>
    </w:p>
    <w:p>
      <w:pPr>
        <w:pStyle w:val="Confianza"/>
        <w:spacing w:after="100"/>
      </w:pPr>
      <w:r>
        <w:t xml:space="preserve">Confianza: Alta</w:t>
      </w:r>
    </w:p>
    <w:p>
      <w:pPr>
        <w:spacing w:after="100"/>
      </w:pPr>
      <w:r>
        <w:t xml:space="preserve">Dividendo del 50 % del beneficio neto publicado (3,18 EUR por acción con cargo a 2025, pagado el 27-may-2026) y «retornos especiales» flexibles, sobre todo recompras, en función del apalancamiento (objetivo de 1 a 2 veces deuda neta sobre EBITDA ajustado) y de las oportunidades de compra; mantener al menos BBB con S&amp;P [1, 10]. En 2025-2026 recompró 300 M (nov-24 a mar-25) y 250 M (nov-25 a ene-26, 1,97 M de acciones a 127,03 EUR)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Borsa Italiana Group (MTS, Euronext Clearing, Monte Titoli)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con derechos de 2.375 M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121 M de sinergias anuales a 3T24, por encima de los 115 M previstos; sin deterioros [4,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Admincontrol (software de gobierno para consejos, Noruega)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puente refinanciado con el convertible 2032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 la línea de soluciones para emisores (+25,4 % en el 2T26); demasiado pronto para medir el rendimiento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Athex Group (bolsa de Atenas)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Canje de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Sinergias de 12 M anuales en 2028 con 25 M de costes de implantación [1].</w:t>
            </w:r>
          </w:p>
        </w:tc>
      </w:tr>
    </w:tbl>
    <w:p>
      <w:pPr>
        <w:spacing w:after="160" w:before="0"/>
      </w:pPr>
    </w:p>
    <w:p>
      <w:pPr>
        <w:spacing w:after="100"/>
      </w:pPr>
      <w:r>
        <w:t xml:space="preserve">La dirección asigna bien el capital, con una salvedad de precio. Entre 2021 y 2025 el flujo de explotación acumulado (3.507 M) pagó dividendos, recompras (737 M en 2023-2025) y compras pequeñas; Borsa Italiana se financió con una ampliación de 2.375 M y deuda, y Athex con acciones [4]. Borsa Italiana dio más sinergias de las previstas (121 M) y no ha tenido deterioros, pero su precio hundió el ROIC del 18 % al 7,5 % y tardó cuatro años en volver por encima del 10 % [10]. El ROIC incremental histórico (8,1 %) apenas supera el WACC. Las recompras recientes se hicieron a 127 EUR, un 24 % por debajo del precio actual [1]. El número de acciones diluidas baja de 106,8 M en 2022 a 103,1 M en 2025.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Stéphane Boujnah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presidente del consejo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dirigió la banca mayorista de Santander en Europa continental. Bajo su mandato los ingresos pasaron de 458,5 M EUR en 2014 a más de 1.600 M en 2024 y Euronext compró Oslo, Borsa Italiana, Admincontrol y Athex [10, 17]. Deja el cargo en mayo de 2027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Giorgio Modica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asistente del consejo de dirección; Kepler Cheuvreux lo ve como candidato interno a suceder a Boujnah [12,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Piero Novelli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copresidente de la banca de inversión de UBS y miembro de su comité ejecutivo (2018-2021)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Bento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Euronext Technologies en Oporto; dirigió las migraciones tecnológicas del grupo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Fabrizio Testa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Borsa Italiana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Reelegido en el consejo de dirección en la junta de 2026 [17,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del plan «Growth for Impact 2024» y 115 M de sinergias de Borsa Italiana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cumplidos un trimestre antes; 121 M de sinergias a 3T24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subyacentes sin amortización de 670 M (rebajados a 660 M), sin compras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660 M a perímetro constante; 680,1 M con Admincontrol y Athex</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subyacentes sin amortización de unos 770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369,7 M en el primer semestre, en línea según la empresa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creíble: ha cumplido los dos últimos planes (objetivos de 2024 un trimestre antes, guía de costes de 2025 rebajada y cumplida) y ha integrado cuatro compras sin sustos [1, 10]. El riesgo es la sucesión: Stéphane Boujnah, consejero delegado desde 2015 y artífice de la estrategia de compras, deja el cargo en mayo de 2027 y no hay sucesor elegido; el director financiero es el candidato interno que cita la prensa [12]. Los accionistas de referencia tienen derecho a ser consultados en la elección [9], lo que añade un componente político (Francia, Italia, Bélgica) al proceso.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Piero Novelli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Remuneración,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Dick Sluimers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Rachou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Nombramientos y Gobierno,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Morten Thorsrud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Muriel De Lathouwer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Remuneración,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Fedra Ribeiro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Francesca Scaglia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(directora de riesgos de CDP)</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Remuneración,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Sichel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la Caisse des Dépôts)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Koen Van Loo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SFPIM)</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George Handjinicolaou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 Piraeus Bank; presidió Athex hasta enero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Caisse des Dépôts et Consignations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(Estado francés)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número de acciones; sube el porcentaje por la amortización de autocartera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Equity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(Estado italiano)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SFPI-FPIM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(Estado belga)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Intesa Sanpaolo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ABN AMRO Participaties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tras amortizar la recompra de 2025-2026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 mayo de 2025 rechazó el informe de remuneraciones de 2024 (voto consultivo): 60,14 % en contra y 39,86 % a favor [19]. En la misma junta se aprobó una política de remuneración modificada para el consejo de dirección (98,27 % a favor) [19]. La de 2026 aprobó el informe de 2025 con un 94,50 % a favor [18]. No hemos leído el informe de remuneraciones: métricas del variable, cláusulas de recuperación e importes individuales quedan sin comprobar.</w:t>
      </w:r>
    </w:p>
    <w:p>
      <w:pPr>
        <w:pStyle w:val="Heading2"/>
      </w:pPr>
      <w:r>
        <w:t xml:space="preserve">Operaciones vinculadas, estructura de control y defensas</w:t>
      </w:r>
    </w:p>
    <w:p>
      <w:pPr>
        <w:spacing w:after="100"/>
      </w:pPr>
      <w:r>
        <w:t xml:space="preserve">Ningún accionista controla la junta: los cinco accionistas de referencia suman el 24,02 % con un pacto prorrogado en abril de 2024 por cuatro años, que les da derecho a un tercio de los puestos del consejo de supervisión y a ser consultados en la elección del consejero delegado [9]. La estructura de dos consejos y los acuerdos con el colegio de reguladores están pensados para limitar la influencia de un accionista grande: un nuevo presidente debe pasar por el Ministerio de Finanzas neerlandés y los reguladores, y adquirir participaciones significativas exige aprobación regulatoria, lo que hace difícil una OPA hostil [16, 21].</w:t>
      </w:r>
    </w:p>
    <w:p>
      <w:pPr>
        <w:pStyle w:val="Heading2"/>
      </w:pPr>
      <w:r>
        <w:t xml:space="preserve">Señales de alerta</w:t>
      </w:r>
    </w:p>
    <w:p>
      <w:pPr>
        <w:pStyle w:val="ListParagraph"/>
        <w:numPr>
          <w:ilvl w:val="0"/>
          <w:numId w:val="2"/>
        </w:numPr>
        <w:spacing w:after="60"/>
      </w:pPr>
      <w:r>
        <w:t xml:space="preserve">Rechazo del informe de remuneraciones de 2024 en la junta de 2025 (60,14 % en contra) [19].</w:t>
      </w:r>
    </w:p>
    <w:p>
      <w:pPr>
        <w:pStyle w:val="ListParagraph"/>
        <w:numPr>
          <w:ilvl w:val="0"/>
          <w:numId w:val="2"/>
        </w:numPr>
        <w:spacing w:after="60"/>
      </w:pPr>
      <w:r>
        <w:t xml:space="preserve">Sucesión del consejero delegado en mayo de 2027 sin candidato elegido [12].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del plan «Innovate for Growth 2027»: ingresos y EBITDA ajustado con crecimiento anual compuesto superior al 5 % entre 2023 y 2027, inversión del 4-6 % de los ingresos, deuda neta de 1 a 2 veces el EBITDA ajustado, dividendo del 50 % del beneficio publicado y recompras flexibles [1]. Para 2026, costes subyacentes sin amortización de unos 770 M (720 M de base, 35 M de Athex y 15 M de proyectos de crecimiento), confirmados con el 2T26 [1, 2]. Con 2.205 M de ingresos de consenso en 2027 frente a 1.475 M en 2023, el plan queda muy superado (≈ 10 % anual)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14-oct-2026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136,00 – 200,00</w:t>
            </w:r>
          </w:p>
        </w:tc>
      </w:tr>
    </w:tbl>
    <w:p>
      <w:pPr>
        <w:spacing w:after="160" w:before="0"/>
      </w:pPr>
    </w:p>
    <w:p>
      <w:pPr>
        <w:pStyle w:val="Heading2"/>
      </w:pPr>
      <w:r>
        <w:t xml:space="preserve">Revisiones de estimaciones</w:t>
      </w:r>
    </w:p>
    <w:p>
      <w:pPr>
        <w:spacing w:after="100"/>
      </w:pPr>
      <w:r>
        <w:t xml:space="preserve">Solo una fuente con estimaciones completas (MarketScreener); el consenso medio es «sobreponderar» con 17 analistas y el objetivo medio (168,41 EUR) apenas un 1 % por encima del precio [23, 24]. Su BPA es el publicado diluido (6,29 EUR en 2025) y su EBITDA, el ajustado de la empresa (1.143 M en 2025) [23]. No hay serie de revisiones a 3 meses en texto; a mediados de mayo la misma fuente daba un PER 2026 de 19,9 veces a un precio menor, lo que apunta a estimaciones estables o al alza tras el 2T26.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30,3 % en 2026 frente al −3,4 % del CAC 40 y un 34,7 % anual en tres años, con una beta mensual de 0,72 [22]. Lo explican nueve trimestres seguidos de crecimiento de dos dígitos, la entrada en el CAC 40 en septiembre de 2025 y el entusiasmo por la integración europea de los mercados [2, 13]. El índice sectorial europeo (EXH1, financieras) sube más (+43,8 %) por los bancos. La caída máxima de cinco años (−38,2 %, oct-21 a oct-22) coincide con la integración de Borsa Italiana y el ciclo de volúmenes bajos. La acción marca máximos de 52 semanas (168,30 EUR el 13-oct) [22].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Euronext cotiza con prima frente a su propia historia: un PER de los últimos doce meses de 24,2 veces frente a una media de 19,5 al cierre de cada año desde 2020, y un EV/EBITDA de 15,7 frente a 13,4. En base adelantada (precio de cierre entre el BPA del año siguiente), la mediana de cinco años es de 17,2 veces y el mínimo de 14,0 (2023); hoy paga 22,1 veces nuestro BPA de 2027. Parte de la prima es estructural: el perfil es más diversificado (58 % de ingresos no ligados al volumen), la empresa está en el CAC 40 y el sector entero se ha revalorizado. Parte es ciclo: volúmenes récord.</w:t>
      </w:r>
    </w:p>
    <w:p>
      <w:pPr>
        <w:pStyle w:val="Heading1"/>
      </w:pPr>
      <w:r>
        <w:t xml:space="preserve">18. Comparables cotizados</w:t>
      </w:r>
    </w:p>
    <w:p>
      <w:pPr>
        <w:pStyle w:val="Confianza"/>
        <w:spacing w:after="100"/>
      </w:pPr>
      <w:r>
        <w:t xml:space="preserve">Confianza: Media</w:t>
      </w:r>
    </w:p>
    <w:p>
      <w:pPr>
        <w:spacing w:after="100"/>
      </w:pPr>
      <w:r>
        <w:t xml:space="preserve">Grandes operadores de infraestructura de mercado cotizados con datos homogéneos de un mismo proveedor: Deutsche Börse (el comparable más directo, europeo y con cámara y depositario), LSEG, ICE, CME, Nasdaq y Tradeweb. Excluimos S&amp;P Global y MSCI (datos e índices puros, sin negocio de mercado) y no hay cifras homogéneas de SIX (no cotiza) ni de Cboe. Cifras de la ficha sectorial del repo, llevadas al cierre del 13/14-oct y pasadas a euros a 1,1126 USD/EUR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Euronext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15,1x / 16,6x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 / 17,6x / 19,9x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 / 23,4x / 24,2x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 / 10,6x / 11,4x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rPr>
        <w:t xml:space="preserve">Regresión EV/EBITDA NTM sobre crecimiento</w:t>
      </w:r>
      <w:r>
        <w:t xml:space="preserve"> (6 comparables): múltiplo = 12,0 + 0,34 × crecimiento; R² = 0,08. El crecimiento explica poco los múltiplos de estos comparables (R² &lt; 0,3): la regresión no se usa en la valoración.</w:t>
      </w:r>
    </w:p>
    <w:p>
      <w:pPr>
        <w:spacing w:after="100"/>
      </w:pPr>
      <w:r>
        <w:t xml:space="preserve">Euronext cotiza a 20,8 veces el beneficio de los próximos doce meses y 14,1 veces el EBITDA, por debajo de la mediana de sus comparables (23,4 y 15,1 veces), con un margen EBITDA superior (62,6 % frente a 58,4 %) y un ROIC en línea (10,9 % frente a 10,3 %). Frente a Deutsche Börse, cuesta 1,9 puntos menos de PER (20,8 frente a 22,7 veces) [28] creciendo más (+11,8 % de ingresos en 2025 frente al +3,4 % de los ingresos netos de DB, castigados por la caída del resultado de tesorería) [14]. El descuento se justifica en parte por el tamaño (16.900 M frente a 54.600 M EUR de capitalización), la menor exposición a derivados y la mayor dependencia del contado europeo. La regresión no explica nada (R² 0,08): usamos la mediana.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5.580 M USD a 1,175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riesgo y regulación; múltiplos sobre previsiones de 2023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datos e índices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Borsa Italiana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Euronext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pagado a LSEG; múltiplo no comprobado en las fuentes leídas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Allfunds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 de fondos; sin múltiplo oficial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(18,5x – 27,4x)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200,96 – 308,44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operaciones del sector se pagan caras (EV/EBITDA de 13 a 31 veces) porque son de datos y software con prima de control; no las ponderamos. Euronext es más comprador que objetivo: el pacto de accionistas de referencia (24 %), los acuerdos con el colegio de reguladores y la supervisión del presidente por el Ministerio de Finanzas neerlandés hacen inviable una OPA hostil [9, 21]. La única operación transformadora con sentido es la fusión con Deutsche Börse que reabrió el consejero delegado en septiembre, sin conversaciones y con dos vetos previos de Bruselas [12].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 queda casi cerrado con el primer semestre (+15,8 % de ingresos publicados sobre el 1S25): proyectamos +13,3 % (2.061 M), por debajo del consenso (2.082 M), porque el segundo semestre de 2025 ya llevaba Admincontrol [1, 2, 23]. Después, 6 % en 2027-2028, en línea con el consenso (+5,9 % y +6,1 %) y por encima del objetivo del plan (&gt;5 %), y bajada gradual al 3,5 % en 2032. El orgánico histórico es del 9,5 % en 2025 con volatilidad alta; suponemos que los volúmenes de contado se normalizan [1].</w:t>
      </w:r>
    </w:p>
    <w:p>
      <w:pPr>
        <w:keepNext/>
        <w:spacing w:after="100"/>
      </w:pPr>
      <w:r>
        <w:rPr>
          <w:b/>
          <w:bCs/>
        </w:rPr>
        <w:t xml:space="preserve">Márgenes.</w:t>
      </w:r>
    </w:p>
    <w:p>
      <w:pPr>
        <w:spacing w:after="100"/>
      </w:pPr>
      <w:r>
        <w:t xml:space="preserve">Margen EBITDA publicado del 62,6 % en 2026 (64,8 % en el primer semestre y 60,2 % implícito en el segundo, con la guía de costes de 770 M), 63,0 % en 2027 y 63,5 % estable desde 2029. El ajustado del 2T26 fue del 66,1 % y el de 2025 del 62,7 %: suponemos que parte del apalancamiento operativo se gasta en los proyectos del plan y en la integración de Athex [1, 2].</w:t>
      </w:r>
    </w:p>
    <w:p>
      <w:pPr>
        <w:keepNext/>
        <w:spacing w:after="100"/>
      </w:pPr>
      <w:r>
        <w:rPr>
          <w:b/>
          <w:bCs/>
        </w:rPr>
        <w:t xml:space="preserve">Inversión y circulante.</w:t>
      </w:r>
    </w:p>
    <w:p>
      <w:pPr>
        <w:spacing w:after="100"/>
      </w:pPr>
      <w:r>
        <w:t xml:space="preserve">Amortización del 6,0 % de los ingresos, sin la de intangibles de compras (≈ 95 M al año, que no es caja ni genera ahorro fiscal real), y capex del 6,5 % (software y equipos del 4-6 % según el plan más las altas de derechos de uso), del 6,3 % en el estado estacionario [10]. Circulante del −16 % de los ingresos, como en 2025: cobros por adelantado y pagos pendientes superan a los clientes.</w:t>
      </w:r>
    </w:p>
    <w:p>
      <w:pPr>
        <w:keepNext/>
        <w:spacing w:after="100"/>
      </w:pPr>
      <w:r>
        <w:rPr>
          <w:b/>
          <w:bCs/>
        </w:rPr>
        <w:t xml:space="preserve">Coste del capital.</w:t>
      </w:r>
    </w:p>
    <w:p>
      <w:pPr>
        <w:spacing w:after="100"/>
      </w:pPr>
      <w:r>
        <w:t xml:space="preserve">Tasa libre del 3,53 %, el Bund a 10 años del 12-oct-2026 (Bundesbank) [25]. Beta de 0,85: la mensual a 5 años frente al CAC 40 es 0,72 y la ajustada 0,81; la subimos hacia la de las bolsas cotizadas (≈ 0,9) porque el CAC 40 infravalora la sensibilidad de los volúmenes al mercado [22]. Prima de mercado del 5,5 %, sin prima adicional. Coste de la deuda del 3,5 % (bonos del 1,5 % al 4 %) y 15 % de deuda. WACC del 7,36 %.</w:t>
      </w:r>
    </w:p>
    <w:p>
      <w:pPr>
        <w:keepNext/>
        <w:spacing w:after="100"/>
      </w:pPr>
      <w:r>
        <w:rPr>
          <w:b/>
          <w:bCs/>
        </w:rPr>
        <w:t xml:space="preserve">Valor terminal.</w:t>
      </w:r>
    </w:p>
    <w:p>
      <w:pPr>
        <w:spacing w:after="100"/>
      </w:pPr>
      <w:r>
        <w:t xml:space="preserve">Crecimiento a perpetuidad del 2,5 %: inflación del euro del 2 % más medio punto de crecimiento real, por debajo de la tasa libre menos medio punto (3,03 %). El valor terminal pesa el 75 % del DCF. El múltiplo de salida de referencia (15 veces el EBITDA) está en la mediana de los comparables.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176,33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M (-1 % del NOPAT)</w:t>
            </w:r>
          </w:p>
        </w:tc>
      </w:tr>
    </w:tbl>
    <w:p>
      <w:pPr>
        <w:spacing w:after="160" w:before="0"/>
      </w:pPr>
    </w:p>
    <w:p>
      <w:pPr>
        <w:spacing w:after="100"/>
      </w:pPr>
      <w:r>
        <w:t xml:space="preserve">La proyección apenas necesita inversión neta de la amortización (reinversión acumulada de -72 M, con un capex bruto medio del 6,4 % de las ventas). En un negocio de activos ligeros, el crecimiento medio del 6,2 %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contado y renta fija (+22,7 % y +9,7 % de volumen medio en el 2T26) y precios estables; Admincontrol y Athex aportan unos 7 puntos de perímetro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 volúmenes; custodia y liquidación de París, Ámsterdam y Bruselas en Euronext Securities desde septiembre de 2026, repos y futuros de electricidad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plan: datos, índices, ETF y software; precios ligados a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mercado de capitales europeo y precios con la inflación.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crecimiento nominal de la economía europea.</w:t>
            </w:r>
          </w:p>
        </w:tc>
      </w:tr>
    </w:tbl>
    <w:p>
      <w:pPr>
        <w:spacing w:after="160" w:before="0"/>
      </w:pPr>
    </w:p>
    <w:p>
      <w:pPr>
        <w:spacing w:after="100"/>
      </w:pPr>
      <w:r>
        <w:t xml:space="preserve">Sí. El negocio crece sin capital: la reinversión acumulada de la proyección es negativa (−72 M) porque el circulante es negativo y el capex apenas supera la amortización, así que el motor no puede hacer la prueba de reinversión y la hacemos a mano con el poder de precios y la cuota. El crecimiento medio proyectado (6,2 %) queda por debajo del orgánico de 2025 (9,5 %) y del de los dos primeros trimestres de 2026 (7,6 % y 9,9 %) [1, 2, 3]; la captura por operación de contado se mantiene en 0,50-0,51 pb y la cuota en sus mercados en el 66 % [2]. El 58 % de los ingresos no depende del volumen y crece a doble dígito. La cuota europea del 29 % no tiene que subir para cumplir la proyección.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 (base: 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58,4 % (base: 63,5 %)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7,4 %)</w:t>
            </w:r>
          </w:p>
        </w:tc>
      </w:tr>
    </w:tbl>
    <w:p>
      <w:pPr>
        <w:spacing w:after="160" w:before="0"/>
      </w:pPr>
    </w:p>
    <w:p>
      <w:pPr>
        <w:spacing w:after="100"/>
      </w:pPr>
      <w:r>
        <w:t xml:space="preserve">El DCF da 185,12 EUR por acción, un 11,0 % por encima del precio, con el valor terminal en el 75 % del total. El DCF inverso dice que el precio de 166,80 EUR descuenta un crecimiento del 3,3 % anual en 2027-2032 frente al 5,0 % de nuestro caso base, o un margen EBITDA del 58,4 % frente al 63,5 %, o una rentabilidad del 7,8 % frente a nuestro WACC del 7,36 %. Es una expectativa moderada para una empresa que crece de forma orgánica entre el 7 % y el 10 % y que ha mejorado su margen cada año desde 2023; no es exigente. Con la prima implícita del mercado (4,2 %), el DCF sube a 235,12 EUR: la diferencia entre las dos cifras es casi toda tasa de descuento, no flujos. La sensibilidad es alta: medio punto de WACC o de crecimiento terminal mueve el valor entre 153,24 y 233,40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volúmenes de contado vuelven a los niveles de 2022-2023 (en 2022 los ingresos apenas crecieron), la cinta consolidada europea abarata los datos y la integración de la liquidación cuesta más de lo previsto: crecimiento 2,5 puntos menor y margen 2 puntos más bajo, con un WACC medio punto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normalizados, crecimiento del 6 % en 2027-2028 y margen EBITDA estable en el 63-63,5 %, en línea con el consenso y con el plan a 2027.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integración europea de la post-contratación y los nuevos productos (repos, electricidad, ETF) sostienen un crecimiento 1,5 puntos mayor y el apalancamiento operativo sube el margen un punto, hacia el 66 % ajustado del 2T26.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EUR) · precio actual 166,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178,21 EUR (+6,8 %).</w:t>
      </w:r>
    </w:p>
    <w:p>
      <w:pPr>
        <w:spacing w:after="100"/>
      </w:pPr>
      <w:r>
        <w:t xml:space="preserve">La asimetría del DCF es favorable pero corta: el alcista gana un 23,9 % y el bajista pierde un 18,5 % (1,29 veces). Pondera un valor de 182,06 EUR con los pesos de la síntesis. La asimetría a 12 meses es peor (0,50): en el bajista el mercado volvería a pagar el mínimo de cinco años (14,0 veces), como en 2023, y la acción caería a 103,18 EUR. Ese es el riesgo de comprar en máximos: no el negocio, sino el múltiplo.</w:t>
      </w:r>
    </w:p>
    <w:p>
      <w:pPr>
        <w:pStyle w:val="Heading1"/>
      </w:pPr>
      <w:r>
        <w:t xml:space="preserve">22. Suma de partes</w:t>
      </w:r>
    </w:p>
    <w:p>
      <w:pPr>
        <w:pStyle w:val="Confianza"/>
        <w:spacing w:after="100"/>
      </w:pPr>
      <w:r>
        <w:t xml:space="preserve">Confianza: Media</w:t>
      </w:r>
    </w:p>
    <w:p>
      <w:pPr>
        <w:spacing w:after="100"/>
      </w:pPr>
      <w:r>
        <w:t xml:space="preserve">No aplica: los cuatro negocios comparten plataforma (Optiq), cámara, depositarios y clientes, y la empresa no publica el resultado por segmento con el que valorar cada parte.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EUR) · precio actual 166,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182,06 EUR (+9,1 % sobre 166,80).</w:t>
      </w:r>
    </w:p>
    <w:p>
      <w:pPr>
        <w:spacing w:after="100"/>
      </w:pPr>
      <w:r>
        <w:t xml:space="preserve">Pesamos el DCF (40 %) y los escenarios (40 %) porque el negocio es estable y bien documentado, y los comparables (20 %) porque Euronext cotiza con descuento frente a ellos. Las transacciones no cuentan: son de datos y software con prima de control. Los métodos dan un rango coherente: PER de los comparables de 179,77 a 194,42 EUR, EV/EBITDA de 163,39 a 200,47, DCF de 153,24 a 233,40 según WACC y crecimiento. La síntesis da 182,06 EUR, un 9,1 % sobre el precio. En el puente, los minoritarios (MTS, Nord Pool, Athex) van a un valor estimado de mercado de 900 M (unos 65 M de beneficio anual por 14 veces) y no a su valor contable de 189 M; las participaciones en Euroclear y Sicovam, a su valor razonable (454 M); y la caja en tránsito de Nord Pool (228 M) se resta porque no es libre [2].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(22.1x) a mitad de camino hacia abajo, hacia la mediana de 5 años (17.2x)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r>
    </w:tbl>
    <w:p>
      <w:pPr>
        <w:spacing w:after="160" w:before="0"/>
      </w:pPr>
    </w:p>
    <w:p>
      <w:pPr>
        <w:spacing w:after="100"/>
      </w:pPr>
      <w:r>
        <w:rPr>
          <w:b/>
          <w:bCs/>
        </w:rPr>
        <w:t xml:space="preserve">Objetivo a 12 meses (ponderado):</w:t>
      </w:r>
      <w:r>
        <w:t xml:space="preserve"> 154,30 EUR · rentabilidad -5,6 % (base -3,6 %) · señal Mantener.</w:t>
      </w:r>
    </w:p>
    <w:p>
      <w:pPr>
        <w:keepNext/>
        <w:spacing w:after="100"/>
      </w:pPr>
      <w:r>
        <w:rPr>
          <w:b/>
          <w:bCs/>
        </w:rPr>
        <w:t xml:space="preserve">Frente al consenso (solo contraste).</w:t>
      </w:r>
    </w:p>
    <w:p>
      <w:pPr>
        <w:spacing w:after="100"/>
      </w:pPr>
      <w:r>
        <w:t xml:space="preserve">Nuestro BPA de 2028 (8,08 EUR) queda un 8,8 % por debajo del consenso (8,86) y el de 2027 (7,54) un 7,9 % por debajo (8,19) [23]. La diferencia no está en las ventas (2.315 M frente a 2.340 M en 2028) ni en el EBITDA (1.466 M frente a 1.503 M ajustado), sino debajo: restamos la amortización de intangibles de compras (≈ 95 M) y 74 M de minoritarios, no suponemos recompras sin anunciar y usamos las acciones diluidas con el convertible. El consenso prevé que la deuda neta baje a 243 M en 2028, lo que deja margen para recompras que subirían el BPA un 3-5 %. Nuestro precio base (157,56 EUR) queda un 6,4 % por debajo del objetivo medio de los analistas (168,41).</w:t>
      </w:r>
    </w:p>
    <w:p>
      <w:pPr>
        <w:keepNext/>
        <w:spacing w:after="100"/>
      </w:pPr>
      <w:r>
        <w:rPr>
          <w:b/>
          <w:bCs/>
        </w:rPr>
        <w:t xml:space="preserve">Del valor intrínseco al objetivo a 12 meses.</w:t>
      </w:r>
    </w:p>
    <w:p>
      <w:pPr>
        <w:spacing w:after="100"/>
      </w:pPr>
      <w:r>
        <w:t xml:space="preserve">El valor intrínseco (182,06 EUR) queda un 18 % por encima del objetivo a 12 meses (154,30 EUR). La distancia la explica el múltiplo: el DCF descuenta flujos al 7,36 % y la regla a 12 meses supone que el PER adelantado, hoy de 22,1 veces, recorre la mitad del camino hacia su mediana de cinco años (17,2). Para cerrar la distancia haría falta que el mercado aceptara de forma permanente un múltiplo superior al histórico: la diversificación del negocio lo justifica en parte, pero la historia de la acción no. La tesis de valor es a varios años; a 12 meses, el precio ya recoge el buen momento.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la liquidación de París, Ámsterdam y Bruselas en Euronext Securities y comparativa exigente en volúmenes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costes de 2027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50 % del beneficio y posible recompra si la deuda neta sigue en 1,3 veces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Relevo del consejero delegado (junta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Nombre del sucesor y señal sobre la estrategia de compras y la fusión con Deutsche Börse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Migración de Euronext Athens a Optiq</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clave para las sinergias de 12 M de Athex</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Liquidación en T+1 en la UE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y riesgo operativo en los depositarios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Paquete de integración y supervisión de mercados de la Comisión Europea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Puede favorecer la consolidación o imponer más competencia en post-contratación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 los volúmenes de contado y derivados a niveles normales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−18,5 % (escenario bajista); −38 % a 12 meses si el PER vuelve al mínimo de cinco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58 % de los ingresos no depende del volumen y cubre el 170 % de los costes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medio diario de contado por debajo de 12.000 M EUR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desde máximos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el PER adelantado baja de 22,1 a 17,2 veces (mediana)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Descuento frente a los comparables (20,8 frente a 23,4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del mercado fuera de financieras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consejero delegado en mayo de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con experiencia y director financiero como candidato interno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en el anuncio del sucesor o un candidato impuesto por los Estados accionistas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europea: cinta consolidada y presión sobre tarifas de datos y post-contratación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(datos son el 14 % de los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integración europea también abre mercado a Euronext Securities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Texto final de MiFIR sobre precios de datos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Fallo operativo de la cámara o de un depositario (nuevas migraciones, T+1)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migraciones sin incidentes (Optiq, Euronext Clearing)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Incidentes en la liquidación de París tras septiembre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cara o fusión con Deutsche Börse que destruya valor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mantener al menos BBB y historial de integración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por encima de 20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se come parte del negocio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Cotización, compensación y custodia son infraestructura regulada con licencia; la IA y la negociación algorítmica tienden a aumentar los volúmenes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los ingresos de datos avanzados (72,3 M en el 2T26, +11 %) o de los usuarios minoristas de datos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Bajada de tipos que reduzca el resultado de tesorería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el 4 % de los ingresos, frente al 14 % de Deutsche Börse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de tesorería por debajo de 15 M al trimestre</w:t>
            </w:r>
          </w:p>
        </w:tc>
      </w:tr>
    </w:tbl>
    <w:p>
      <w:pPr>
        <w:spacing w:after="160" w:before="0"/>
      </w:pPr>
    </w:p>
    <w:p>
      <w:pPr>
        <w:pStyle w:val="Heading2"/>
      </w:pPr>
      <w:r>
        <w:t xml:space="preserve">Pre-mortem</w:t>
      </w:r>
    </w:p>
    <w:p>
      <w:pPr>
        <w:spacing w:after="100"/>
      </w:pPr>
      <w:r>
        <w:t xml:space="preserve">Octubre de 2029: la acción ha perdido un 40 %. Lo más probable es que no haya fallado el negocio sino el precio pagado. En 2027 la volatilidad se apagó, el volumen de contado volvió a los niveles de 2023 y los ingresos ligados al volumen cayeron un 15 %; el crecimiento total bajó al 2-3 % y el margen al 60 %. El mercado, que en 2026 pagaba 22 veces el beneficio adelantado, volvió a pagar las 14-15 veces de 2022-2023. A la vez, el relevo del consejero delegado trajo un año de dudas: los Estados accionistas condicionaron la elección, el nuevo equipo frenó las compras o se lanzó a una fusión con Deutsche Börse que Bruselas tardó dos años en revisar. La revisión de MiFIR recortó los precios de los datos. Lo habrían anticipado el volumen medio diario de contado por debajo de 12.000 M, un margen ajustado trimestral por debajo del 60 % y la falta de un sucesor nombrado antes de la junta de 2027.</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la resiliencia operativa (DORA): una caída de la plataforma o de la cámara tiene coste directo en ingresos y en sanciones. Euronext tiene objetivos de reducción de emisiones validados por SBTi en 2023 y aspira a la neutralidad en 2050; su huella es pequeña (oficinas y centros de datos) [10]. Los productos verdes (bonos ESG, índices) son una fuente de ingresos menor.</w:t>
      </w:r>
    </w:p>
    <w:p>
      <w:pPr>
        <w:pStyle w:val="Heading2"/>
      </w:pPr>
      <w:r>
        <w:t xml:space="preserve">Controversias</w:t>
      </w:r>
    </w:p>
    <w:p>
      <w:pPr>
        <w:spacing w:after="100"/>
      </w:pPr>
      <w:r>
        <w:t xml:space="preserve">No se han encontrado sanciones ni litigios relevantes en los últimos tres años en las fuentes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Volúmenes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orgánico de 2026 (7,6 % y 9,9 % en el 1T y el 2T) es volatilidad y cuál es estructural (ETF, minoristas, nuevos productos)?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6 % de 2027-2028 es prudente o exigente.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cómo se elegirá al sucesor del consejero delegado y qué papel tienen los accionistas de referencia?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gobierno con fecha (mayo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condiciones haría falta para una fusión con Deutsche Börse y qué remedios aceptaría Bruselas?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Catalizador o destrucción de valor según el precio y los remedios.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Post-contratación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adicionales espera la empresa de la liquidación de París, Ámsterdam y Bruselas en Euronext Securities y con qué calendario?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principal palanca de crecimiento no ligada al volumen del plan.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recompra en 2027 con la deuda neta en 1,3 veces el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casi toda la diferencia entre nuestro BPA y el del consenso.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ingresos de datos está expuesto a la cinta consolidada de MiFIR?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regulatorio sobre un negocio de margen alto.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cambió en la política de remuneración tras el rechazo del informe de 2024 (60 % en contra)?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del alineamiento con el minoritario.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Euronext (Francia)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entrevista del consejero delegado al FT, se especula con la fusión con Deutsche Börse y con otras compras (la bolsa de Varsovia); el tono es de aprobación de la gestión [29,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Euronext: análisis técnico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sobre una resistencia en torno a 150-153 EUR y un posible «triple techo» en julio, antes de la ruptura al alza de septiembre-octubre [30,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índice de hilos (ene-oct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Predominan los hilos de elogio a la dirección y la tesis de «vendedor de palas» de la bolsa; pocas voces bajistas, algunas sobre la salida del CAC 40 y caídas puntuales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últimos artículos son de compra: «barata frente a sus pares» (dic-25) y «oportunidad previa a resultados» (feb-26)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con comentarios (Zonebourse/Fortuneo)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fusión con Deutsche Börse se ve con escepticismo por los vetos de Bruselas de 2012 y 2017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Fusión con Deutsche Börse y consolidación europea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delegado dijo al FT que unir los negocios de bolsa «tendría sentido», pero no hay conversaciones y Bruselas ya vetó la operación en 2012 y 2017 [12]. No entra en nuestros escenarios.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la gestión de Boujnah (y su sucesión)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al foro sobre la ejecución (planes cumplidos, sinergias de Borsa Italiana por encima de lo previsto [10]), pero la sucesión de mayo de 2027 sin candidato es un riesgo que el foro casi no comenta [12].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Análisis técnico: resistencias y máximos históricos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está en máximos de 52 semanas (168,30 EUR el 13-oct) tras subir un 30,3 % en el año [22]; el análisis técnico no entra en la valoración.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«Vendedor de palas»: gana con la volatilidad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verdad solo en parte: el 58 % de los ingresos no depende del volumen [2]; la parte cíclica (contado y derivados) es la que más ha crecido en 2026 y la que más puede caer.</w:t>
            </w:r>
          </w:p>
        </w:tc>
      </w:tr>
    </w:tbl>
    <w:p>
      <w:pPr>
        <w:spacing w:after="160" w:before="0"/>
      </w:pPr>
    </w:p>
    <w:p>
      <w:pPr>
        <w:spacing w:after="100"/>
      </w:pPr>
      <w:r>
        <w:t xml:space="preserve">El debate es escaso y mayoritariamente favorable: los particulares franceses aplauden la gestión y especulan con la fusión con Deutsche Börse, y los autores de Seeking Alpha la ven barata frente a sus pares [29, 32, 33]. No hay euforia visible ni capitulación. El foro apenas recoge dos riesgos del informe: la sucesión del consejero delegado y la dependencia de un ciclo de volúmenes récord. Tampoco contradice al consenso de analistas (sobreponderar, objetivo medio un 1 % por encima del precio). No aporta información para la decisión más allá de confirmar que la tesis de la consolidación europea ya está en el precio.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34 (19 primarias); citas distintas en el texto: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-16,0 % frente a -16,3 % real: genera una variación de circulante de -34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Con seis comparables de modelos distintos (bolsas, datos, renta fija electrónica) el crecimiento no explica el múltiplo (R² 0,08); no usamos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-6,4 %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6,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y 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2025 (segmentación nueva desde 2024); 2) XBRL ESEF 2023 (otra segmentación); 3) presentación del día del inversor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geografía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2025; 2) XBRL ESEF (no etiquetado sin dimensiones); 3) URD 2025 (no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detallados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2T26 (solo corto y largo plazo); 2) XBRL ESEF; 3) página de deuda de la web de inversores (no leída)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Euronext y Deutsche Börse (solo cuotas); 2) ficha sectorial de bolsas del repo (no existe todavía); 3) estudios de mercado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sostenibilidad de Euronext; 2) búsqueda de MSCI y Sustainalytics; 3) URD 2025 (no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del consejero delegado y métricas del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2025 (URD, no leído); 2) búsqueda en prensa francesa; 3) agregador (Simply Wall St: cifras sin fecha clara, no usadas)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«management transactions» de Euronext; 2) registro de la AFM (no consultado); 3) BDIF de la AMF (no aplica a un emisor neerlandés)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AFM (no consultado); 2) AMF (emisor neerlandés: no aplica);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de recomendaciones y revisiones a 3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gráfico); 2) búsqueda de Investing y Zonebourse; 3) Allinvestview (instantánea de mayo)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Euronext publishes Q4 and full year 2025 results (cuenta, balance y flujos de 2025 y 2024; guía de costes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https://www.euronext.com/en/investor-relations/financial-information/news/euronext-publishes-q4-and-full-year-2025-results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Euronext publishes Q2 2026 results (cuenta, balance a 30-jun-2026 y flujos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https://www.euronext.com/en/investor-relations/financial-information/news/euronext-publishes-q2-2026-results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publishes Q1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https://www.euronext.com/en/about/media/euronext-press-releases/euronext-publishes-q1-2026-results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2025 en formato ESEF (XBRL): cuenta, balance, flujos, actividad de cámara (CCP) y honorarios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https://filings.xbrl.org/724500QJ4QSZ3H9QU415/2025-12-31/ESEF/NL/0/eur-2025-12-31-en.json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2024 en formato ESEF (XBRL), con 2023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https://filings.xbrl.org/724500QJ4QSZ3H9QU415/2024-12-31/ESEF/NL/0/eur-2024-12-31-en.json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2022 en formato ESEF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https://filings.xbrl.org/724500QJ4QSZ3H9QU415/2022-12-31/ESEF/NL/0/eur-2022-12-31-en.json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 en formato ESEF (XBRL), con 2020 comparativo y BPA reexpresado por la ampliación con derechos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https://filings.xbrl.org/724500QJ4QSZ3H9QU415/2021-12-31/ESEF/NL/0/eur-2021-12-31-en.json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announces the success of its offering of bonds due 2032 convertible into new shares (OCEANE de 425 M EUR, cupón 1,50 %, conversión a 191,17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https://www.euronext.com/en/investor-relations/financial-information/news/euronext-announces-success-its-offering-bonds-due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and shareholding (acciones emitidas, autocartera y accionistas de referencia a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https://www.euronext.com/en/investor-relations/capital-and-shareholding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announces its new strategic plan «Innovate for Growth 2027» (objetivos, política de dividendo y de apalancamiento)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https://www.euronext.com/en/investor-relations/financial-information/news/euronext-announces-its-new-strategic-plan-innovate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Group Achieves Record Results in Financial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https://www.deutsche-boerse.com/dbg-en/media/news-stories/press-releases/Deutsche-B-rse-Group-Achieves-Record-Results-in-Financial-Year-2025-4948690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Deutsche Boerse gain after CEO revives merger talk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live.euronext.com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https://live.euronext.com/en/financial-news/euronext-deutsche-boerse-gain-after-ceo-revives-merger-talk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Journey: 25 years of growth and transformation (historia, CAC 40, Admincontrol, Athex, depositario)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https://www.euronext.com/en/about/our-journey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Deutsche Börse del 14-oct-2026 (cuentas 2025, foso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informes/deutsche-borse-2026-10-14/datos-v2.json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Intercontinental Exchange del 8-oct-2026 (cuentas 2025 y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informes/ice-2026-10-08/datos-v2.json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Supervisory Board (composición, comisiones y año de nombramiento)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https://www.euronext.com/en/investor-relations/corporate-governance/supervisory-board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Managing Board (composición y trayectoria)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https://www.euronext.com/en/investor-relations/corporate-governance/managing-board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of the Annual General Meeting held on 20 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https://www.euronext.com/en/media/15634/download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of the Annual General Meeting held on 15 May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https://www.euronext.com/en/media/13599/download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Annual General Meeting Euronext N.V. (dividendo de 3,18 EUR, nombramientos)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https://www.euronext.com/en/investor-relations/financial-information/news/results-annual-general-meeting-euronext-nv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(estructura de dos consejos y acuerdos con el colegio de reguladores)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https://www.euronext.com/en/investor-relations/corporate-governance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ENX.PA, ^FCHI y EXH1.DE (precio, rango, betas, cierres de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https://finance.yahoo.com/quote/ENX.PA/history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finances (estimaciones 2026-2028, deuda neta, caja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https://www.marketscreener.com/quote/stock/EURONEXT-N-V-16725768/finances/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consensus (17 analistas, objetivo medio 168,41, máximo 200, mínimo 136)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https://www.marketscreener.com/quote/stock/EURONEXT-N-V-16725768/consensus/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diaria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financial calendar (resultados del 3T26 el 5-nov-2026)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https://www.euronext.com/en/investor-relations/financial-calendar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infraestructura de mercados y datos financieros, con comparables al cierre del 13/14-oct-2026 (MarketScreener y Stock Analysis vía informes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propia (repo, análisis de 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sectores/bolsas-datos-financieros-2026-10-14.md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EURONEXT: «Et on reparle d'une fusion avec…»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https://www.boursorama.com/bourse/forum/1rPENX/detail/468441138/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EURONEXT: «Grosse résistance sur…» (9-jul-2026)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https://www.boursorama.com/bourse/forum/1rPENX/detail/468208820/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EURONEXT: «Conserver» (16-jul-2026)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https://www.boursorama.com/bourse/forum/1rPENX/detail/468231221/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EURONEXT: índice de hilos (entrevistas al consejero delegado, análisis técnico, «vendedor de palas»)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https://www.boursorama.com/bourse/forum/1rPENX/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N.V. (EUXTF/ERNXY): análisis y transcripciones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https://seekingalpha.com/api/sa/combined/EUXTF.xml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ouvre la porte à un rapprochement avec Deutsche Börse (Zonebourse)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Fortuneo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https://bourse.fortuneo.fr/actualites/euronext-ouvre-la-porte-a-un-rapprochement-avec-deutsche-borse-5325596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86,8 %</w:t>
      </w:r>
      <w:r>
        <w:t xml:space="preserve"> · Secciones con menos del 60 % de campos cubiertos: </w:t>
      </w:r>
      <w:r>
        <w:rPr>
          <w:b/>
          <w:bCs/>
        </w:rPr>
        <w:t xml:space="preserve">gobierno</w:t>
      </w:r>
      <w:r>
        <w:t xml:space="preserve"> · Generado el 14 oct 2026.</w:t>
      </w:r>
    </w:p>
    <w:p>
      <w:pPr>
        <w:pStyle w:val="Nota"/>
        <w:spacing w:after="100"/>
      </w:pPr>
      <w:r>
        <w:t xml:space="preserve">Línea cotizada: Euronext París (ENX), la principal; la acción también cotiza en Ámsterdam, Bruselas, Lisboa, Milán y Oslo. Cuentas 2020-2025 del XBRL ESEF del regulador, comprobadas contra las notas de resultados; 2020 no incluye Borsa Italiana (comprada en abril de 2021) y el BPA de 2020 está reexpresado por la ampliación con derechos de 2021, igual que los precios históricos de Yahoo. Los ingresos son los «ingresos y otros ingresos» publicados, que incluyen el resultado de tesorería de la cámara. El balance analítico excluye los activos y pasivos de compensación de Euronext Clearing y de Nord Pool (405.562 M y 405.585 M a 30-jun-2026), que se compensan entre sí; fondo de comercio e intangibles van juntos porque la empresa los presenta en una sola línea. Faltan los pagos a proveedores de 2022 y 2023 (el circulante de esos años sale positivo y no es comparable). Segmentos solo para 2024-2025 (segmentación nueva). Consenso de una sola fuente con estimaciones completas (MarketScreener). Sin informe de remuneraciones ni registro de operaciones de directivos de la AFM.</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Euronext N.V. (ENX)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166,80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(110,00 – 168,30)</c:v>
                </c:pt>
                <c:pt idx="1">
                  <c:v>Precio objetivo de los analistas (136,00 – 200,00)</c:v>
                </c:pt>
                <c:pt idx="2">
                  <c:v>Comparables: EV/EBITDA NTM (163,39 – 200,47)</c:v>
                </c:pt>
                <c:pt idx="3">
                  <c:v>Comparables: PER NTM (179,77 – 194,42)</c:v>
                </c:pt>
                <c:pt idx="4">
                  <c:v>Transacciones precedentes (EV/EBITDA) (200,96 – 308,44)</c:v>
                </c:pt>
                <c:pt idx="5">
                  <c:v>DCF (WACC y g ± 0,5) (153,24 – 233,40)</c:v>
                </c:pt>
                <c:pt idx="6">
                  <c:v>Escenarios (bajista – alcista) (136,02 – 206,59)</c:v>
                </c:pt>
                <c:pt idx="7">
                  <c:v>DCF con la prima implícita del mercado (4,2 %)</c:v>
                </c:pt>
                <c:pt idx="8">
                  <c:v>Precio actual (166,80)</c:v>
                </c:pt>
              </c:strCache>
            </c:strRef>
          </c:cat>
          <c:val>
            <c:numRef>
              <c:f>Hoja1!$B$2:$B$10</c:f>
              <c:numCache>
                <c:formatCode>#,##0</c:formatCode>
                <c:ptCount val="9"/>
                <c:pt idx="0">
                  <c:v>110</c:v>
                </c:pt>
                <c:pt idx="1">
                  <c:v>136</c:v>
                </c:pt>
                <c:pt idx="2">
                  <c:v>163.39</c:v>
                </c:pt>
                <c:pt idx="3">
                  <c:v>179.77</c:v>
                </c:pt>
                <c:pt idx="4">
                  <c:v>200.96</c:v>
                </c:pt>
                <c:pt idx="5">
                  <c:v>153.24</c:v>
                </c:pt>
                <c:pt idx="6">
                  <c:v>136.02</c:v>
                </c:pt>
                <c:pt idx="7">
                  <c:v>205.85</c:v>
                </c:pt>
                <c:pt idx="8">
                  <c:v>165.97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(110,00 – 168,30)</c:v>
                </c:pt>
                <c:pt idx="1">
                  <c:v>Precio objetivo de los analistas (136,00 – 200,00)</c:v>
                </c:pt>
                <c:pt idx="2">
                  <c:v>Comparables: EV/EBITDA NTM (163,39 – 200,47)</c:v>
                </c:pt>
                <c:pt idx="3">
                  <c:v>Comparables: PER NTM (179,77 – 194,42)</c:v>
                </c:pt>
                <c:pt idx="4">
                  <c:v>Transacciones precedentes (EV/EBITDA) (200,96 – 308,44)</c:v>
                </c:pt>
                <c:pt idx="5">
                  <c:v>DCF (WACC y g ± 0,5) (153,24 – 233,40)</c:v>
                </c:pt>
                <c:pt idx="6">
                  <c:v>Escenarios (bajista – alcista) (136,02 – 206,59)</c:v>
                </c:pt>
                <c:pt idx="7">
                  <c:v>DCF con la prima implícita del mercado (4,2 %)</c:v>
                </c:pt>
                <c:pt idx="8">
                  <c:v>Precio actual (166,80)</c:v>
                </c:pt>
              </c:strCache>
            </c:strRef>
          </c:cat>
          <c:val>
            <c:numRef>
              <c:f>Hoja1!$C$2:$C$10</c:f>
              <c:numCache>
                <c:formatCode>#,##0</c:formatCode>
                <c:ptCount val="9"/>
                <c:pt idx="0">
                  <c:v>58.30000000000001</c:v>
                </c:pt>
                <c:pt idx="1">
                  <c:v>64</c:v>
                </c:pt>
                <c:pt idx="2">
                  <c:v>37.08000000000001</c:v>
                </c:pt>
                <c:pt idx="3">
                  <c:v>14.649999999999977</c:v>
                </c:pt>
                <c:pt idx="4">
                  <c:v>107.47999999999999</c:v>
                </c:pt>
                <c:pt idx="5">
                  <c:v>80.16</c:v>
                </c:pt>
                <c:pt idx="6">
                  <c:v>70.57</c:v>
                </c:pt>
                <c:pt idx="7">
                  <c:v>67.13000000000002</c:v>
                </c:pt>
                <c:pt idx="8">
                  <c:v>1.6599999999999966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Securities Services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309.5</c:v>
                </c:pt>
                <c:pt idx="1">
                  <c:v>330.7</c:v>
                </c:pt>
              </c:numCache>
            </c:numRef>
          </c:val>
        </c:ser>
        <c:ser>
          <c:idx val="1"/>
          <c:order val="1"/>
          <c:tx>
            <c:strRef>
              <c:f>Hoja1!$C$1</c:f>
              <c:strCache>
                <c:ptCount val="1"/>
                <c:pt idx="0">
                  <c:v>Capital Markets and Data Solutions</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597.1</c:v>
                </c:pt>
                <c:pt idx="1">
                  <c:v>669.3</c:v>
                </c:pt>
              </c:numCache>
            </c:numRef>
          </c:val>
        </c:ser>
        <c:ser>
          <c:idx val="2"/>
          <c:order val="2"/>
          <c:tx>
            <c:strRef>
              <c:f>Hoja1!$D$1</c:f>
              <c:strCache>
                <c:ptCount val="1"/>
                <c:pt idx="0">
                  <c:v>FICC Markets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295</c:v>
                </c:pt>
                <c:pt idx="1">
                  <c:v>342.8</c:v>
                </c:pt>
              </c:numCache>
            </c:numRef>
          </c:val>
        </c:ser>
        <c:ser>
          <c:idx val="3"/>
          <c:order val="3"/>
          <c:tx>
            <c:strRef>
              <c:f>Hoja1!$E$1</c:f>
              <c:strCache>
                <c:ptCount val="1"/>
                <c:pt idx="0">
                  <c:v>Equity Markets</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367</c:v>
                </c:pt>
                <c:pt idx="1">
                  <c:v>410</c:v>
                </c:pt>
              </c:numCache>
            </c:numRef>
          </c:val>
        </c:ser>
        <c:ser>
          <c:idx val="4"/>
          <c:order val="4"/>
          <c:tx>
            <c:strRef>
              <c:f>Hoja1!$F$1</c:f>
              <c:strCache>
                <c:ptCount val="1"/>
                <c:pt idx="0">
                  <c:v>Resultado de tesorería (NTI)</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56.8</c:v>
                </c:pt>
                <c:pt idx="1">
                  <c:v>69.6</c:v>
                </c:pt>
              </c:numCache>
            </c:numRef>
          </c:val>
        </c:ser>
        <c:ser>
          <c:idx val="5"/>
          <c:order val="5"/>
          <c:tx>
            <c:strRef>
              <c:f>Hoja1!$G$1</c:f>
              <c:strCache>
                <c:ptCount val="1"/>
                <c:pt idx="0">
                  <c:v>Otros ingresos</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1.6</c:v>
                </c:pt>
                <c:pt idx="1">
                  <c:v>0.7</c:v>
                </c:pt>
              </c:numCache>
            </c:numRef>
          </c:val>
        </c:ser>
        <c:ser>
          <c:idx val="6"/>
          <c:order val="6"/>
          <c:tx>
            <c:strRef>
              <c:f>Hoja1!$H$1</c:f>
              <c:strCache>
                <c:ptCount val="1"/>
                <c:pt idx="0">
                  <c:v>Ajustes no subyacentes</c:v>
                </c:pt>
              </c:strCache>
            </c:strRef>
          </c:tx>
          <c:spPr>
            <a:solidFill>
              <a:srgbClr val="4A3AA7"/>
            </a:solidFill>
            <a:ln w="12700">
              <a:solidFill>
                <a:srgbClr val="FFFFFF"/>
              </a:solidFill>
            </a:ln>
          </c:spPr>
          <c:invertIfNegative val="0"/>
          <c:cat>
            <c:strRef>
              <c:f>Hoja1!$A$2:$A$3</c:f>
              <c:strCache>
                <c:ptCount val="2"/>
                <c:pt idx="0">
                  <c:v>2024</c:v>
                </c:pt>
                <c:pt idx="1">
                  <c:v>2025</c:v>
                </c:pt>
              </c:strCache>
            </c:strRef>
          </c:cat>
          <c:val>
            <c:numRef>
              <c:f>Hoja1!$H$2:$H$3</c:f>
              <c:numCache>
                <c:formatCode>#,##0</c:formatCode>
                <c:ptCount val="2"/>
                <c:pt idx="0">
                  <c:v>0</c:v>
                </c:pt>
                <c:pt idx="1">
                  <c:v>-4.4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Securities Services</c:v>
                </c:pt>
                <c:pt idx="1">
                  <c:v>Capital Markets and Data Solutions</c:v>
                </c:pt>
                <c:pt idx="2">
                  <c:v>FICC Markets</c:v>
                </c:pt>
                <c:pt idx="3">
                  <c:v>Equity Markets</c:v>
                </c:pt>
                <c:pt idx="4">
                  <c:v>Resultado de tesorería (NTI)</c:v>
                </c:pt>
                <c:pt idx="5">
                  <c:v>Otros ingresos</c:v>
                </c:pt>
                <c:pt idx="6">
                  <c:v>Ajustes no subyacentes</c:v>
                </c:pt>
              </c:strCache>
            </c:strRef>
          </c:cat>
          <c:val>
            <c:numRef>
              <c:f>Hoja1!$B$2:$B$8</c:f>
              <c:numCache>
                <c:formatCode>General</c:formatCode>
                <c:ptCount val="7"/>
                <c:pt idx="0">
                  <c:v>18.2</c:v>
                </c:pt>
                <c:pt idx="1">
                  <c:v>36.8</c:v>
                </c:pt>
                <c:pt idx="2">
                  <c:v>18.8</c:v>
                </c:pt>
                <c:pt idx="3">
                  <c:v>22.5</c:v>
                </c:pt>
                <c:pt idx="4">
                  <c:v>3.8</c:v>
                </c:pt>
                <c:pt idx="5">
                  <c:v>0</c:v>
                </c:pt>
                <c:pt idx="6">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Euronext</c:v>
                </c:pt>
                <c:pt idx="1">
                  <c:v>Deutsche Börse</c:v>
                </c:pt>
                <c:pt idx="2">
                  <c:v>Intercontinental Exchange</c:v>
                </c:pt>
                <c:pt idx="3">
                  <c:v>London Stock Exchange Group</c:v>
                </c:pt>
                <c:pt idx="4">
                  <c:v>Cboe Europe</c:v>
                </c:pt>
                <c:pt idx="5">
                  <c:v>SIX Group</c:v>
                </c:pt>
              </c:strCache>
            </c:strRef>
          </c:cat>
          <c:val>
            <c:numRef>
              <c:f>Hoja1!$B$2:$B$7</c:f>
              <c:numCache>
                <c:formatCode>0.0"%"</c:formatCode>
                <c:ptCount val="6"/>
                <c:pt idx="0">
                  <c:v>50.8</c:v>
                </c:pt>
                <c:pt idx="1">
                  <c:v>50</c:v>
                </c:pt>
                <c:pt idx="2">
                  <c:v>49.6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884.3</c:v>
                </c:pt>
                <c:pt idx="1">
                  <c:v>1298.7</c:v>
                </c:pt>
                <c:pt idx="2">
                  <c:v>1418.8</c:v>
                </c:pt>
                <c:pt idx="3">
                  <c:v>1474.7</c:v>
                </c:pt>
                <c:pt idx="4">
                  <c:v>1626.9</c:v>
                </c:pt>
                <c:pt idx="5">
                  <c:v>1818.8</c:v>
                </c:pt>
                <c:pt idx="6">
                  <c:v>2061</c:v>
                </c:pt>
                <c:pt idx="7">
                  <c:v>2184</c:v>
                </c:pt>
                <c:pt idx="8">
                  <c:v>2315</c:v>
                </c:pt>
                <c:pt idx="9">
                  <c:v>2443</c:v>
                </c:pt>
                <c:pt idx="10">
                  <c:v>2565</c:v>
                </c:pt>
                <c:pt idx="11">
                  <c:v>2667</c:v>
                </c:pt>
                <c:pt idx="12">
                  <c:v>2761</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502.7</c:v>
                </c:pt>
                <c:pt idx="1">
                  <c:v>713.9</c:v>
                </c:pt>
                <c:pt idx="2">
                  <c:v>785.5</c:v>
                </c:pt>
                <c:pt idx="3">
                  <c:v>786.3</c:v>
                </c:pt>
                <c:pt idx="4">
                  <c:v>975.6</c:v>
                </c:pt>
                <c:pt idx="5">
                  <c:v>1124.2</c:v>
                </c:pt>
                <c:pt idx="6">
                  <c:v>1290</c:v>
                </c:pt>
                <c:pt idx="7">
                  <c:v>1376</c:v>
                </c:pt>
                <c:pt idx="8">
                  <c:v>1466</c:v>
                </c:pt>
                <c:pt idx="9">
                  <c:v>1551</c:v>
                </c:pt>
                <c:pt idx="10">
                  <c:v>1629</c:v>
                </c:pt>
                <c:pt idx="11">
                  <c:v>1694</c:v>
                </c:pt>
                <c:pt idx="12">
                  <c:v>1753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56.8</c:v>
                </c:pt>
                <c:pt idx="1">
                  <c:v>55</c:v>
                </c:pt>
                <c:pt idx="2">
                  <c:v>55.4</c:v>
                </c:pt>
                <c:pt idx="3">
                  <c:v>53.3</c:v>
                </c:pt>
                <c:pt idx="4">
                  <c:v>60</c:v>
                </c:pt>
                <c:pt idx="5">
                  <c:v>61.8</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50.3</c:v>
                </c:pt>
                <c:pt idx="1">
                  <c:v>44.6</c:v>
                </c:pt>
                <c:pt idx="2">
                  <c:v>44.1</c:v>
                </c:pt>
                <c:pt idx="3">
                  <c:v>41.8</c:v>
                </c:pt>
                <c:pt idx="4">
                  <c:v>48.4</c:v>
                </c:pt>
                <c:pt idx="5">
                  <c:v>50.8</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35.7</c:v>
                </c:pt>
                <c:pt idx="1">
                  <c:v>31.8</c:v>
                </c:pt>
                <c:pt idx="2">
                  <c:v>30.9</c:v>
                </c:pt>
                <c:pt idx="3">
                  <c:v>34.8</c:v>
                </c:pt>
                <c:pt idx="4">
                  <c:v>36</c:v>
                </c:pt>
                <c:pt idx="5">
                  <c:v>35.3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4">
                  <c:v>10.8</c:v>
                </c:pt>
                <c:pt idx="5">
                  <c:v>15.3</c:v>
                </c:pt>
                <c:pt idx="6">
                  <c:v>16.9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4">
                  <c:v>6.4</c:v>
                </c:pt>
                <c:pt idx="5">
                  <c:v>7.6</c:v>
                </c:pt>
                <c:pt idx="6">
                  <c:v>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75</c:v>
                </c:pt>
                <c:pt idx="1">
                  <c:v>111</c:v>
                </c:pt>
                <c:pt idx="2">
                  <c:v>82</c:v>
                </c:pt>
                <c:pt idx="3">
                  <c:v>75</c:v>
                </c:pt>
                <c:pt idx="4">
                  <c:v>86</c:v>
                </c:pt>
                <c:pt idx="5">
                  <c:v>79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178</c:v>
                </c:pt>
                <c:pt idx="1">
                  <c:v>275</c:v>
                </c:pt>
                <c:pt idx="4">
                  <c:v>260</c:v>
                </c:pt>
                <c:pt idx="5">
                  <c:v>273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232.3</c:v>
                </c:pt>
                <c:pt idx="1">
                  <c:v>436.2</c:v>
                </c:pt>
                <c:pt idx="2">
                  <c:v>464</c:v>
                </c:pt>
                <c:pt idx="3">
                  <c:v>666</c:v>
                </c:pt>
                <c:pt idx="4">
                  <c:v>571.1000000000001</c:v>
                </c:pt>
                <c:pt idx="5">
                  <c:v>628.2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315.5</c:v>
                </c:pt>
                <c:pt idx="1">
                  <c:v>413.3</c:v>
                </c:pt>
                <c:pt idx="2">
                  <c:v>437.8</c:v>
                </c:pt>
                <c:pt idx="3">
                  <c:v>513.6</c:v>
                </c:pt>
                <c:pt idx="4">
                  <c:v>585.6</c:v>
                </c:pt>
                <c:pt idx="5">
                  <c:v>642.9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18</c:v>
                </c:pt>
                <c:pt idx="1">
                  <c:v>10.7</c:v>
                </c:pt>
                <c:pt idx="2">
                  <c:v>7.5</c:v>
                </c:pt>
                <c:pt idx="3">
                  <c:v>8</c:v>
                </c:pt>
                <c:pt idx="4">
                  <c:v>10</c:v>
                </c:pt>
                <c:pt idx="5">
                  <c:v>10.9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7.4</c:v>
                </c:pt>
                <c:pt idx="1">
                  <c:v>7.4</c:v>
                </c:pt>
                <c:pt idx="2">
                  <c:v>7.4</c:v>
                </c:pt>
                <c:pt idx="3">
                  <c:v>7.4</c:v>
                </c:pt>
                <c:pt idx="4">
                  <c:v>7.4</c:v>
                </c:pt>
                <c:pt idx="5">
                  <c:v>7.4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29.8</c:v>
                </c:pt>
                <c:pt idx="1">
                  <c:v>17.6</c:v>
                </c:pt>
                <c:pt idx="2">
                  <c:v>11.6</c:v>
                </c:pt>
                <c:pt idx="3">
                  <c:v>13.1</c:v>
                </c:pt>
                <c:pt idx="4">
                  <c:v>14.3</c:v>
                </c:pt>
                <c:pt idx="5">
                  <c:v>14.6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1.4</c:v>
                </c:pt>
                <c:pt idx="1">
                  <c:v>3.26</c:v>
                </c:pt>
                <c:pt idx="2">
                  <c:v>2.67</c:v>
                </c:pt>
                <c:pt idx="3">
                  <c:v>2.11</c:v>
                </c:pt>
                <c:pt idx="4">
                  <c:v>1.48</c:v>
                </c:pt>
                <c:pt idx="5">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11.4</c:v>
                </c:pt>
                <c:pt idx="1">
                  <c:v>2917.9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80.4</c:v>
                </c:pt>
                <c:pt idx="1">
                  <c:v>4196</c:v>
                </c:pt>
                <c:pt idx="2">
                  <c:v>66</c:v>
                </c:pt>
                <c:pt idx="3">
                  <c:v>0</c:v>
                </c:pt>
                <c:pt idx="4">
                  <c:v>65.2</c:v>
                </c:pt>
                <c:pt idx="5">
                  <c:v>323.6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110.6</c:v>
                </c:pt>
                <c:pt idx="1">
                  <c:v>157.2</c:v>
                </c:pt>
                <c:pt idx="2">
                  <c:v>206</c:v>
                </c:pt>
                <c:pt idx="3">
                  <c:v>237.2</c:v>
                </c:pt>
                <c:pt idx="4">
                  <c:v>257.3</c:v>
                </c:pt>
                <c:pt idx="5">
                  <c:v>293.4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13.2</c:v>
                </c:pt>
                <c:pt idx="1">
                  <c:v>31.8</c:v>
                </c:pt>
                <c:pt idx="2">
                  <c:v>0</c:v>
                </c:pt>
                <c:pt idx="3">
                  <c:v>219.1</c:v>
                </c:pt>
                <c:pt idx="4">
                  <c:v>106.7</c:v>
                </c:pt>
                <c:pt idx="5">
                  <c:v>411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Dominical</c:v>
                </c:pt>
                <c:pt idx="2">
                  <c:v>Otro externo</c:v>
                </c:pt>
              </c:strCache>
            </c:strRef>
          </c:cat>
          <c:val>
            <c:numRef>
              <c:f>Hoja1!$B$2:$B$4</c:f>
              <c:numCache>
                <c:formatCode>0</c:formatCode>
                <c:ptCount val="3"/>
                <c:pt idx="0">
                  <c:v>6</c:v>
                </c:pt>
                <c:pt idx="1">
                  <c:v>3</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Caisse des Dépôts et Consignations</c:v>
                </c:pt>
                <c:pt idx="1">
                  <c:v>CDP Equity</c:v>
                </c:pt>
                <c:pt idx="2">
                  <c:v>SFPI-FPIM</c:v>
                </c:pt>
                <c:pt idx="3">
                  <c:v>Intesa Sanpaolo</c:v>
                </c:pt>
                <c:pt idx="4">
                  <c:v>ABN AMRO Participaties</c:v>
                </c:pt>
                <c:pt idx="5">
                  <c:v>Autocartera</c:v>
                </c:pt>
              </c:strCache>
            </c:strRef>
          </c:cat>
          <c:val>
            <c:numRef>
              <c:f>Hoja1!$B$2:$B$7</c:f>
              <c:numCache>
                <c:formatCode>0.0"%"</c:formatCode>
                <c:ptCount val="6"/>
                <c:pt idx="0">
                  <c:v>8.23</c:v>
                </c:pt>
                <c:pt idx="1">
                  <c:v>8.23</c:v>
                </c:pt>
                <c:pt idx="2">
                  <c:v>5.44</c:v>
                </c:pt>
                <c:pt idx="3">
                  <c:v>1.58</c:v>
                </c:pt>
                <c:pt idx="4">
                  <c:v>0.53</c:v>
                </c:pt>
                <c:pt idx="5">
                  <c:v>0.47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-18.3</c:v>
                </c:pt>
                <c:pt idx="1">
                  <c:v>32.2</c:v>
                </c:pt>
                <c:pt idx="2">
                  <c:v>-2.9</c:v>
                </c:pt>
                <c:pt idx="3">
                  <c:v>44.4</c:v>
                </c:pt>
                <c:pt idx="4">
                  <c:v>24.1</c:v>
                </c:pt>
                <c:pt idx="5">
                  <c:v>10.9</c:v>
                </c:pt>
                <c:pt idx="6">
                  <c:v>-24.2</c:v>
                </c:pt>
                <c:pt idx="7">
                  <c:v>13.7</c:v>
                </c:pt>
                <c:pt idx="8">
                  <c:v>37.7</c:v>
                </c:pt>
                <c:pt idx="9">
                  <c:v>18.2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14</c:v>
                </c:pt>
                <c:pt idx="1">
                  <c:v>15.7</c:v>
                </c:pt>
                <c:pt idx="2">
                  <c:v>12.2</c:v>
                </c:pt>
                <c:pt idx="3">
                  <c:v>12.9</c:v>
                </c:pt>
                <c:pt idx="4">
                  <c:v>13.2</c:v>
                </c:pt>
                <c:pt idx="5">
                  <c:v>13.5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13.4</c:v>
                </c:pt>
                <c:pt idx="1">
                  <c:v>13.4</c:v>
                </c:pt>
                <c:pt idx="2">
                  <c:v>13.4</c:v>
                </c:pt>
                <c:pt idx="3">
                  <c:v>13.4</c:v>
                </c:pt>
                <c:pt idx="4">
                  <c:v>13.4</c:v>
                </c:pt>
                <c:pt idx="5">
                  <c:v>13.4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Euronext</c:v>
                </c:pt>
                <c:pt idx="1">
                  <c:v>Intercontinental Exchange</c:v>
                </c:pt>
                <c:pt idx="2">
                  <c:v>CME Group</c:v>
                </c:pt>
                <c:pt idx="3">
                  <c:v>Nasdaq</c:v>
                </c:pt>
                <c:pt idx="4">
                  <c:v>London Stock Exchange Group</c:v>
                </c:pt>
                <c:pt idx="5">
                  <c:v>Deutsche Börse</c:v>
                </c:pt>
                <c:pt idx="6">
                  <c:v>Tradeweb Markets</c:v>
                </c:pt>
              </c:strCache>
            </c:strRef>
          </c:cat>
          <c:val>
            <c:numRef>
              <c:f>Hoja1!$B$2:$B$8</c:f>
              <c:numCache>
                <c:formatCode>0.0"x"</c:formatCode>
                <c:ptCount val="7"/>
                <c:pt idx="0">
                  <c:v>14.1</c:v>
                </c:pt>
                <c:pt idx="1">
                  <c:v>13.8</c:v>
                </c:pt>
                <c:pt idx="2">
                  <c:v>19</c:v>
                </c:pt>
                <c:pt idx="3">
                  <c:v>16.1</c:v>
                </c:pt>
                <c:pt idx="4">
                  <c:v>9.4</c:v>
                </c:pt>
                <c:pt idx="5">
                  <c:v>14.1</c:v>
                </c:pt>
                <c:pt idx="6">
                  <c:v>16.8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Euronext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8.3</c:v>
                </c:pt>
              </c:numCache>
            </c:numRef>
          </c:xVal>
          <c:yVal>
            <c:numRef>
              <c:f>Hoja1!$C$2</c:f>
              <c:numCache>
                <c:formatCode>0.0"x"</c:formatCode>
                <c:ptCount val="1"/>
                <c:pt idx="0">
                  <c:v>14.1</c:v>
                </c:pt>
              </c:numCache>
            </c:numRef>
          </c:yVal>
          <c:smooth val="0"/>
        </c:ser>
        <c:ser>
          <c:idx val="1"/>
          <c:order val="1"/>
          <c:tx>
            <c:strRef>
              <c:f>Hoja1!$A$3</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8.1</c:v>
                </c:pt>
              </c:numCache>
            </c:numRef>
          </c:xVal>
          <c:yVal>
            <c:numRef>
              <c:f>Hoja1!$C$3</c:f>
              <c:numCache>
                <c:formatCode>0.0"x"</c:formatCode>
                <c:ptCount val="1"/>
                <c:pt idx="0">
                  <c:v>13.8</c:v>
                </c:pt>
              </c:numCache>
            </c:numRef>
          </c:yVal>
          <c:smooth val="0"/>
        </c:ser>
        <c:ser>
          <c:idx val="2"/>
          <c:order val="2"/>
          <c:tx>
            <c:strRef>
              <c:f>Hoja1!$A$4</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5.9</c:v>
                </c:pt>
              </c:numCache>
            </c:numRef>
          </c:xVal>
          <c:yVal>
            <c:numRef>
              <c:f>Hoja1!$C$4</c:f>
              <c:numCache>
                <c:formatCode>0.0"x"</c:formatCode>
                <c:ptCount val="1"/>
                <c:pt idx="0">
                  <c:v>19</c:v>
                </c:pt>
              </c:numCache>
            </c:numRef>
          </c:yVal>
          <c:smooth val="0"/>
        </c:ser>
        <c:ser>
          <c:idx val="3"/>
          <c:order val="3"/>
          <c:tx>
            <c:strRef>
              <c:f>Hoja1!$A$5</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10.1</c:v>
                </c:pt>
              </c:numCache>
            </c:numRef>
          </c:xVal>
          <c:yVal>
            <c:numRef>
              <c:f>Hoja1!$C$5</c:f>
              <c:numCache>
                <c:formatCode>0.0"x"</c:formatCode>
                <c:ptCount val="1"/>
                <c:pt idx="0">
                  <c:v>16.1</c:v>
                </c:pt>
              </c:numCache>
            </c:numRef>
          </c:yVal>
          <c:smooth val="0"/>
        </c:ser>
        <c:ser>
          <c:idx val="4"/>
          <c:order val="4"/>
          <c:tx>
            <c:strRef>
              <c:f>Hoja1!$A$6</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6.5</c:v>
                </c:pt>
              </c:numCache>
            </c:numRef>
          </c:xVal>
          <c:yVal>
            <c:numRef>
              <c:f>Hoja1!$C$6</c:f>
              <c:numCache>
                <c:formatCode>0.0"x"</c:formatCode>
                <c:ptCount val="1"/>
                <c:pt idx="0">
                  <c:v>9.4</c:v>
                </c:pt>
              </c:numCache>
            </c:numRef>
          </c:yVal>
          <c:smooth val="0"/>
        </c:ser>
        <c:ser>
          <c:idx val="5"/>
          <c:order val="5"/>
          <c:tx>
            <c:strRef>
              <c:f>Hoja1!$A$7</c:f>
              <c:strCache>
                <c:ptCount val="1"/>
                <c:pt idx="0">
                  <c:v>Deutsche Börse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c:v>
                </c:pt>
              </c:numCache>
            </c:numRef>
          </c:xVal>
          <c:yVal>
            <c:numRef>
              <c:f>Hoja1!$C$7</c:f>
              <c:numCache>
                <c:formatCode>0.0"x"</c:formatCode>
                <c:ptCount val="1"/>
                <c:pt idx="0">
                  <c:v>14.1</c:v>
                </c:pt>
              </c:numCache>
            </c:numRef>
          </c:yVal>
          <c:smooth val="0"/>
        </c:ser>
        <c:ser>
          <c:idx val="6"/>
          <c:order val="6"/>
          <c:tx>
            <c:strRef>
              <c:f>Hoja1!$A$8</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13.3</c:v>
                </c:pt>
              </c:numCache>
            </c:numRef>
          </c:xVal>
          <c:yVal>
            <c:numRef>
              <c:f>Hoja1!$C$8</c:f>
              <c:numCache>
                <c:formatCode>0.0"x"</c:formatCode>
                <c:ptCount val="1"/>
                <c:pt idx="0">
                  <c:v>16.8</c:v>
                </c:pt>
              </c:numCache>
            </c:numRef>
          </c:yVal>
          <c:smooth val="0"/>
        </c:ser>
        <c:axId val="10"/>
        <c:axId val="20"/>
      </c:scatterChart>
      <c:valAx>
        <c:axId val="10"/>
        <c:scaling>
          <c:orientation val="minMax"/>
          <c:max val="16"/>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MarketAxess Holdings</c:v>
                </c:pt>
                <c:pt idx="1">
                  <c:v>Adenza</c:v>
                </c:pt>
                <c:pt idx="2">
                  <c:v>IHS Markit</c:v>
                </c:pt>
                <c:pt idx="3">
                  <c:v>Borsa Italiana Group</c:v>
                </c:pt>
                <c:pt idx="4">
                  <c:v>Allfunds Group</c:v>
                </c:pt>
              </c:strCache>
            </c:strRef>
          </c:cat>
          <c:val>
            <c:numRef>
              <c:f>Hoja1!$B$2:$B$6</c:f>
              <c:numCache>
                <c:formatCode>0.0"x"</c:formatCode>
                <c:ptCount val="5"/>
                <c:pt idx="0">
                  <c:v>13</c:v>
                </c:pt>
                <c:pt idx="1">
                  <c:v>30.7</c:v>
                </c:pt>
                <c:pt idx="2">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881</c:v>
                </c:pt>
                <c:pt idx="1">
                  <c:v>924</c:v>
                </c:pt>
                <c:pt idx="2">
                  <c:v>985</c:v>
                </c:pt>
                <c:pt idx="3">
                  <c:v>1041</c:v>
                </c:pt>
                <c:pt idx="4">
                  <c:v>1091</c:v>
                </c:pt>
                <c:pt idx="5">
                  <c:v>1136</c:v>
                </c:pt>
                <c:pt idx="6">
                  <c:v>1173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5225</c:v>
                </c:pt>
                <c:pt idx="1">
                  <c:v>15917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166,80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136.02</c:v>
                </c:pt>
                <c:pt idx="1">
                  <c:v>185.12</c:v>
                </c:pt>
                <c:pt idx="2">
                  <c:v>206.59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166,80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(110,00 – 168,30)</c:v>
                </c:pt>
                <c:pt idx="1">
                  <c:v>Precio objetivo de los analistas (136,00 – 200,00)</c:v>
                </c:pt>
                <c:pt idx="2">
                  <c:v>Comparables: EV/EBITDA NTM (163,39 – 200,47)</c:v>
                </c:pt>
                <c:pt idx="3">
                  <c:v>Comparables: PER NTM (179,77 – 194,42)</c:v>
                </c:pt>
                <c:pt idx="4">
                  <c:v>Transacciones precedentes (EV/EBITDA) (200,96 – 308,44)</c:v>
                </c:pt>
                <c:pt idx="5">
                  <c:v>DCF (WACC y g ± 0,5) (153,24 – 233,40)</c:v>
                </c:pt>
                <c:pt idx="6">
                  <c:v>Escenarios (bajista – alcista) (136,02 – 206,59)</c:v>
                </c:pt>
                <c:pt idx="7">
                  <c:v>DCF con la prima implícita del mercado (4,2 %)</c:v>
                </c:pt>
                <c:pt idx="8">
                  <c:v>Precio actual (166,80)</c:v>
                </c:pt>
              </c:strCache>
            </c:strRef>
          </c:cat>
          <c:val>
            <c:numRef>
              <c:f>Hoja1!$B$2:$B$10</c:f>
              <c:numCache>
                <c:formatCode>#,##0</c:formatCode>
                <c:ptCount val="9"/>
                <c:pt idx="0">
                  <c:v>110</c:v>
                </c:pt>
                <c:pt idx="1">
                  <c:v>136</c:v>
                </c:pt>
                <c:pt idx="2">
                  <c:v>163.39</c:v>
                </c:pt>
                <c:pt idx="3">
                  <c:v>179.77</c:v>
                </c:pt>
                <c:pt idx="4">
                  <c:v>200.96</c:v>
                </c:pt>
                <c:pt idx="5">
                  <c:v>153.24</c:v>
                </c:pt>
                <c:pt idx="6">
                  <c:v>136.02</c:v>
                </c:pt>
                <c:pt idx="7">
                  <c:v>205.85</c:v>
                </c:pt>
                <c:pt idx="8">
                  <c:v>165.97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(110,00 – 168,30)</c:v>
                </c:pt>
                <c:pt idx="1">
                  <c:v>Precio objetivo de los analistas (136,00 – 200,00)</c:v>
                </c:pt>
                <c:pt idx="2">
                  <c:v>Comparables: EV/EBITDA NTM (163,39 – 200,47)</c:v>
                </c:pt>
                <c:pt idx="3">
                  <c:v>Comparables: PER NTM (179,77 – 194,42)</c:v>
                </c:pt>
                <c:pt idx="4">
                  <c:v>Transacciones precedentes (EV/EBITDA) (200,96 – 308,44)</c:v>
                </c:pt>
                <c:pt idx="5">
                  <c:v>DCF (WACC y g ± 0,5) (153,24 – 233,40)</c:v>
                </c:pt>
                <c:pt idx="6">
                  <c:v>Escenarios (bajista – alcista) (136,02 – 206,59)</c:v>
                </c:pt>
                <c:pt idx="7">
                  <c:v>DCF con la prima implícita del mercado (4,2 %)</c:v>
                </c:pt>
                <c:pt idx="8">
                  <c:v>Precio actual (166,80)</c:v>
                </c:pt>
              </c:strCache>
            </c:strRef>
          </c:cat>
          <c:val>
            <c:numRef>
              <c:f>Hoja1!$C$2:$C$10</c:f>
              <c:numCache>
                <c:formatCode>#,##0</c:formatCode>
                <c:ptCount val="9"/>
                <c:pt idx="0">
                  <c:v>58.30000000000001</c:v>
                </c:pt>
                <c:pt idx="1">
                  <c:v>64</c:v>
                </c:pt>
                <c:pt idx="2">
                  <c:v>37.08000000000001</c:v>
                </c:pt>
                <c:pt idx="3">
                  <c:v>14.649999999999977</c:v>
                </c:pt>
                <c:pt idx="4">
                  <c:v>107.47999999999999</c:v>
                </c:pt>
                <c:pt idx="5">
                  <c:v>80.16</c:v>
                </c:pt>
                <c:pt idx="6">
                  <c:v>70.57</c:v>
                </c:pt>
                <c:pt idx="7">
                  <c:v>67.13000000000002</c:v>
                </c:pt>
                <c:pt idx="8">
                  <c:v>1.6599999999999966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