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Technip Energies N.V.</w:t>
      </w:r>
    </w:p>
    <w:p>
      <w:pPr>
        <w:spacing w:after="60"/>
        <w:rPr>
          <w:color w:val="52514E"/>
          <w:sz w:val="22"/>
          <w:szCs w:val="22"/>
        </w:rPr>
      </w:pPr>
      <w:r>
        <w:rPr>
          <w:color w:val="52514E"/>
          <w:sz w:val="22"/>
          <w:szCs w:val="22"/>
        </w:rPr>
        <w:t xml:space="preserve">TE · Euronext París · ISIN NL0014559478 · Energía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12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29,14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39,94 EUR · mercado 43,34</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+40,5 % · mercado +52,2 %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5.073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3,7x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-5,5x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Technip Energies N.V.</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 / NL0014559478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STOXX Europe 600 (ETF iShares EXSA.DE, rentabilidad total)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Energía / Equipos y servicios de energía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Nanterre (Francia); registrada en los Países Bajos · 2021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18.574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www.ten.com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29,14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26,94 – 41,58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5.073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2.447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13,3 M EUR/día (440.469 acciones; 3 meses) [46]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Valor objetivo </w:t>
      </w:r>
      <w:r>
        <w:rPr>
          <w:b/>
          <w:bCs/>
        </w:rPr>
        <w:t xml:space="preserve">39,94 EUR</w:t>
      </w:r>
      <w:r>
        <w:t xml:space="preserve"> frente a 29,14 · con la prima implícita del mercado: 43,34 (+48,7 %) · Rentabilidad total esperada a 12 meses </w:t>
      </w:r>
      <w:r>
        <w:rPr>
          <w:b/>
          <w:bCs/>
        </w:rPr>
        <w:t xml:space="preserve">+40,5 %</w:t>
      </w:r>
      <w:r>
        <w:t xml:space="preserve"> · Alcista / bajista +94,0 % / -27,4 %</w:t>
      </w:r>
    </w:p>
    <w:p>
      <w:pPr>
        <w:spacing w:after="100"/>
      </w:pPr>
      <w:r>
        <w:rPr>
          <w:b/>
        </w:rPr>
        <w:t xml:space="preserve">La recomendación y por qué.</w:t>
      </w:r>
      <w:r>
        <w:t xml:space="preserve"> Comprar, con convicción media. El valor objetivo es 39,94 EUR frente a un precio de 29,14 EUR (cierre del 9-oct-2026): potencial del 37,1 % y rentabilidad total esperada del 40,5 % con el dividendo. El alcista vale 56,53 EUR (+94,0 %) y el bajista 21,16 EUR (−27,4 %), una asimetría de 3,43x. La razón: el precio descuenta que el peor semestre de la historia de la empresa se vuelve permanente. La convicción es media, la que sugieren los criterios, porque el bajista pierde más del 25 %; subiría si los resultados del 29-oct mantienen el margen de Project Delivery por encima del 5 % sin nuevas provisiones, y bajaría si el pasivo neto por contrato cae por debajo de 3.000 M.</w:t>
      </w:r>
    </w:p>
    <w:p>
      <w:pPr>
        <w:spacing w:after="100"/>
      </w:pPr>
      <w:r>
        <w:rPr>
          <w:b/>
        </w:rPr>
        <w:t xml:space="preserve">El negocio.</w:t>
      </w:r>
      <w:r>
        <w:t xml:space="preserve"> Technip Energies construye un 25 % de la capacidad mundial de licuefacción de GNL y más del 35 % de la que está en obra, y ha ganado dinero todos los años desde 2021 con márgenes EBITDA del 7,6-10,3 % [1]. Sus clientes le pagan por adelantado: el capital invertido es negativo y la caja crece con la cartera. La calidad sostiene el crecimiento proyectado solo en parte: 2026-2028 está en una cartera récord de 25.035 M, pero el margen depende de negociar los sobrecostes de Oriente Medio, y el caso base supone una meseta desde 2029 [5].</w:t>
      </w:r>
    </w:p>
    <w:p>
      <w:pPr>
        <w:spacing w:after="100"/>
      </w:pPr>
      <w:r>
        <w:rPr>
          <w:b/>
        </w:rPr>
        <w:t xml:space="preserve">Finanzas.</w:t>
      </w:r>
      <w:r>
        <w:t xml:space="preserve"> La caja neta de 3.139,5 M (sin arrendamientos) es, en su mayor parte, anticipos de clientes: el pasivo neto por contrato es de 3.817,8 M [5]. Por la regla del puente son circulante, porque se compensan con entregas; el DCF proyecta que se consuman unos 1.000 M hasta 2033 y el puente resta los 461 M que entraron en el primer semestre (−2,65 EUR por acción). Si se restara además la caja que la empresa asocia a proyectos (1.827,5 M), el valor caería 10,50 EUR por acción [4].</w:t>
      </w:r>
    </w:p>
    <w:p>
      <w:pPr>
        <w:spacing w:after="100"/>
      </w:pPr>
      <w:r>
        <w:rPr>
          <w:b/>
        </w:rPr>
        <w:t xml:space="preserve">Equipo y gobierno.</w:t>
      </w:r>
      <w:r>
        <w:t xml:space="preserve"> Resta algo: el primer ejecutivo vendió 106.000 acciones (3,8 M EUR) entre los dos recortes de guía, los estatutos blindan al consejo y HAL ha subido al 20,01 % sin consejero [37, 41]. La guía se cumplió de 2021 a 2024; la de 2026 se ha recortado dos veces.</w:t>
      </w:r>
    </w:p>
    <w:p>
      <w:pPr>
        <w:spacing w:after="100"/>
      </w:pPr>
      <w:r>
        <w:rPr>
          <w:b/>
        </w:rPr>
        <w:t xml:space="preserve">Valoración.</w:t>
      </w:r>
      <w:r>
        <w:t xml:space="preserve"> El DCF da 44,41 EUR, los comparables 32,32 EUR, la suma de partes 34,89 EUR y las transacciones 44,69 EUR: todos por encima del precio. El DCF inverso dice que el mercado descuenta un crecimiento del −0,7 % anual en 2027e-2033e frente al 3,9 % de nuestro caso base, o un margen del 4,6 % frente al 7,5 %. Nuestras ventas de 2026e y 2027e quedan por debajo del consenso (7.780 y 8.714 M frente a 7.961 y 9.186 M) y nuestro valor objetivo coincide con el precio objetivo medio de los analistas (39,97 EUR) [48, 49]: la tesis no es discrepar del consenso, sino que el precio está muy por debajo de lo que esperan incluso cifras prudentes. Con la prima implícita del mercado el valor objetivo sería 43,34 EUR; las dos reglas dan Comprar.</w:t>
      </w:r>
    </w:p>
    <w:p>
      <w:pPr>
        <w:spacing w:after="100"/>
      </w:pPr>
      <w:r>
        <w:rPr>
          <w:b/>
        </w:rPr>
        <w:t xml:space="preserve">Riesgos y catalizadores.</w:t>
      </w:r>
      <w:r>
        <w:t xml:space="preserve"> El mayor es Oriente Medio: obras paradas y reclamaciones sin cobrar (el bajista, −27,4 %). El segundo, que los anticipos se consuman sin reponerse si se frena la ola de GNL. En los foros franceses predominan las compras en la caída, con una minoría que teme que el conflicto se coma la caja: es el mismo riesgo del informe [69, 70]. Catalizadores: resultados de los 9M26 el 29-oct-2026 y la guía de 2027 en febrero.</w:t>
      </w:r>
    </w:p>
    <w:p>
      <w:pPr>
        <w:spacing w:after="100"/>
      </w:pPr>
      <w:r>
        <w:rPr>
          <w:b/>
        </w:rPr>
        <w:t xml:space="preserve">Qué cambiaría la decisión.</w:t>
      </w:r>
      <w:r>
        <w:t xml:space="preserve"> Compraríamos por debajo de 38,54 EUR y venderíamos por encima de 49,29 EUR. Pasaríamos a Mantener si el margen de Project Delivery de los 9M26 baja del 5 % con nuevas provisiones, o si el pasivo neto por contrato cae por debajo de 3.000 M con un book-to-bill inferior a 0,8.</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Valor objetivo: </w:t>
      </w:r>
      <w:r>
        <w:rPr>
          <w:b/>
          <w:bCs/>
        </w:rPr>
        <w:t xml:space="preserve">39,94 EUR</w:t>
      </w:r>
      <w:r>
        <w:t xml:space="preserve"> (+37,1 % sobre 29,14; rentabilidad total esperada +40,5 %) · con la prima implícita del mercado: 43,34 (+48,7 %)</w:t>
      </w:r>
    </w:p>
    <w:p>
      <w:pPr>
        <w:spacing w:after="100"/>
      </w:pPr>
      <w:r>
        <w:t xml:space="preserve">Technip Energies es el contratista de referencia en GNL: un 25 % de la capacidad de licuefacción instalada en el mundo y más del 35 % de la que se construye, una cartera récord de 25.035 M (3,4 años de ventas) y un negocio de tecnología y servicios (TPS) con un margen del ~15 % [1, 5]. Sus clientes financian la obra por adelantado, así que trabaja con capital invertido negativo y acumula caja: 4.490,4 M en junio frente a 1.350,9 M de deuda [5].</w:t>
      </w:r>
    </w:p>
    <w:p>
      <w:pPr>
        <w:spacing w:after="100"/>
      </w:pPr>
      <w:r>
        <w:t xml:space="preserve">A 29,14 EUR, el valor de empresa es de 2.447 M, 3,7 veces el EBITDA de los próximos 12 meses del consenso. El DCF inverso dice que el precio descuenta un crecimiento del −0,7 % anual en 2027e-2033e o un margen EBITDA del 4,6 %, frente al 7,6-10,3 % de 2021-2025. El mercado ha castigado dos recortes de guía por Oriente Medio y duda de la caja, que en gran parte son anticipos [5].</w:t>
      </w:r>
    </w:p>
    <w:p>
      <w:pPr>
        <w:spacing w:after="100"/>
      </w:pPr>
      <w:r>
        <w:t xml:space="preserve">El mercado acierta en que la caja no es toda libre y en que el margen de 2026 es malo. Se equivoca al tratar el peor semestre como permanente: incluso con ventas por debajo del consenso, margen del 7,5 % a largo plazo y unos 1.000 M de anticipos devueltos, el DCF da 44,41 EUR. Para invertir hay que creer que la empresa cobrará parte de los sobrecostes de Qatar y ejecutará Commonwealth LNG sin pérdidas.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94,0 % / -27,4 %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 frente a 8,8 % y 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 frente a 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(4,4 % anual proyectado; financiable al ROIC actual: -14,7 %)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bajista del -27,4 % (pierde más del 25 %))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38,54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38,54 y 49,29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49,29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Margen EBITDA de Project Delivery de los 9M26 (29-oct-2026) por debajo del 5 % con nuevas provisiones: pasaríamos a Mantener.</w:t>
      </w:r>
    </w:p>
    <w:p>
      <w:pPr>
        <w:pStyle w:val="ListParagraph"/>
        <w:numPr>
          <w:ilvl w:val="0"/>
          <w:numId w:val="2"/>
        </w:numPr>
        <w:spacing w:after="60"/>
      </w:pPr>
      <w:r>
        <w:t xml:space="preserve">Pasivo neto por contrato por debajo de 3.000 M con book-to-bill &lt; 0,8 dos semestres: pasaríamos a Mantener.</w:t>
      </w:r>
    </w:p>
    <w:p>
      <w:pPr>
        <w:pStyle w:val="ListParagraph"/>
        <w:numPr>
          <w:ilvl w:val="0"/>
          <w:numId w:val="2"/>
        </w:numPr>
        <w:spacing w:after="60"/>
      </w:pPr>
      <w:r>
        <w:t xml:space="preserve">Precio por encima de 49,29 EUR: Vender o reducir.</w:t>
      </w:r>
    </w:p>
    <w:p>
      <w:pPr>
        <w:pStyle w:val="ListParagraph"/>
        <w:numPr>
          <w:ilvl w:val="0"/>
          <w:numId w:val="2"/>
        </w:numPr>
        <w:spacing w:after="60"/>
      </w:pPr>
      <w:r>
        <w:t xml:space="preserve">Una pérdida en Commonwealth LNG o Coral Norte superior a 200 M: revisaríamos el caso base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margen del 1S26 (5,8 % ajustado, 3,4 % en el 2T26) es el nuevo normal o que la caja neta es deuda disfrazada: el precio implica un crecimiento del −0,7 % anual o un margen del 4,6 % hasta 2033 [5].</w:t>
      </w:r>
    </w:p>
    <w:p>
      <w:pPr>
        <w:keepNext/>
        <w:spacing w:after="100"/>
      </w:pPr>
      <w:r>
        <w:rPr>
          <w:b/>
          <w:bCs/>
        </w:rPr>
        <w:t xml:space="preserve">Lo que creemos nosotros.</w:t>
      </w:r>
    </w:p>
    <w:p>
      <w:pPr>
        <w:spacing w:after="100"/>
      </w:pPr>
      <w:r>
        <w:t xml:space="preserve">El margen se recupera al 7,4-7,8 % en 2027-2028, sin volver al 8,5 % del plan de 2024, y los anticipos son circulante que se consume despacio mientras la cartera se repone: el valor está entre 34 EUR (con toda la caja de proyectos como deuda) y 44 EUR.</w:t>
      </w:r>
    </w:p>
    <w:p>
      <w:pPr>
        <w:keepNext/>
        <w:spacing w:after="100"/>
      </w:pPr>
      <w:r>
        <w:rPr>
          <w:b/>
          <w:bCs/>
        </w:rPr>
        <w:t xml:space="preserve">Por qué podemos tener razón.</w:t>
      </w:r>
    </w:p>
    <w:p>
      <w:pPr>
        <w:spacing w:after="100"/>
      </w:pPr>
      <w:r>
        <w:t xml:space="preserve">Cinco años de margen del 7,6-10,3 % y de pasivo neto por contrato estable (47-52 % de las ventas), una cartera récord con un 75 % de los pedidos recientes fuera de Oriente Medio y un TPS que sube margen [1, 5]. El consenso de analistas (39,97 EUR) piensa lo mismo; la diferencia está con el precio, no con ellos.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9,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pStyle w:val="Heading2"/>
      </w:pPr>
      <w:r>
        <w:t xml:space="preserve">A favor</w:t>
      </w:r>
    </w:p>
    <w:p>
      <w:pPr>
        <w:pStyle w:val="ListParagraph"/>
        <w:numPr>
          <w:ilvl w:val="0"/>
          <w:numId w:val="2"/>
        </w:numPr>
        <w:spacing w:after="60"/>
      </w:pPr>
      <w:r>
        <w:rPr>
          <w:b/>
        </w:rPr>
        <w:t xml:space="preserve">Cartera récord</w:t>
      </w:r>
      <w:r>
        <w:t xml:space="preserve">: 25.035 M en junio de 2026, 3,4 años de ventas, con 14.413 M ejecutables desde 2028 [5].</w:t>
      </w:r>
    </w:p>
    <w:p>
      <w:pPr>
        <w:pStyle w:val="ListParagraph"/>
        <w:numPr>
          <w:ilvl w:val="0"/>
          <w:numId w:val="2"/>
        </w:numPr>
        <w:spacing w:after="60"/>
      </w:pPr>
      <w:r>
        <w:rPr>
          <w:b/>
        </w:rPr>
        <w:t xml:space="preserve">El precio descuenta crecimiento negativo</w:t>
      </w:r>
      <w:r>
        <w:t xml:space="preserve">: −0,7 % anual en 2027e-2033e frente al 3,9 % del caso base.</w:t>
      </w:r>
    </w:p>
    <w:p>
      <w:pPr>
        <w:pStyle w:val="ListParagraph"/>
        <w:numPr>
          <w:ilvl w:val="0"/>
          <w:numId w:val="2"/>
        </w:numPr>
        <w:spacing w:after="60"/>
      </w:pPr>
      <w:r>
        <w:rPr>
          <w:b/>
        </w:rPr>
        <w:t xml:space="preserve">Caja neta de 3.139,5 M</w:t>
      </w:r>
      <w:r>
        <w:t xml:space="preserve"> (sin arrendamientos), el 62 % de la capitalización, aunque en gran parte sean anticipos [5].</w:t>
      </w:r>
    </w:p>
    <w:p>
      <w:pPr>
        <w:pStyle w:val="ListParagraph"/>
        <w:numPr>
          <w:ilvl w:val="0"/>
          <w:numId w:val="2"/>
        </w:numPr>
        <w:spacing w:after="60"/>
      </w:pPr>
      <w:r>
        <w:rPr>
          <w:b/>
        </w:rPr>
        <w:t xml:space="preserve">Líder en GNL</w:t>
      </w:r>
      <w:r>
        <w:t xml:space="preserve">: 25 % de la capacidad instalada y más del 35 % de la que está en construcción [1].</w:t>
      </w:r>
    </w:p>
    <w:p>
      <w:pPr>
        <w:pStyle w:val="ListParagraph"/>
        <w:numPr>
          <w:ilvl w:val="0"/>
          <w:numId w:val="2"/>
        </w:numPr>
        <w:spacing w:after="60"/>
      </w:pPr>
      <w:r>
        <w:rPr>
          <w:b/>
        </w:rPr>
        <w:t xml:space="preserve">TPS sube margen</w:t>
      </w:r>
      <w:r>
        <w:t xml:space="preserve">: guía del ~15 % en 2026 y AM&amp;C consolidada desde el 31-dic-25 [1, 48].</w:t>
      </w:r>
    </w:p>
    <w:p>
      <w:pPr>
        <w:pStyle w:val="ListParagraph"/>
        <w:numPr>
          <w:ilvl w:val="0"/>
          <w:numId w:val="2"/>
        </w:numPr>
        <w:spacing w:after="60"/>
      </w:pPr>
      <w:r>
        <w:rPr>
          <w:b/>
        </w:rPr>
        <w:t xml:space="preserve">Dividendo de 1,00 EUR (3,4 %)</w:t>
      </w:r>
      <w:r>
        <w:t xml:space="preserve"> y recompra de 150 M completada en junio [1, 5].</w:t>
      </w:r>
    </w:p>
    <w:p>
      <w:pPr>
        <w:pStyle w:val="Heading2"/>
      </w:pPr>
      <w:r>
        <w:t xml:space="preserve">En contra</w:t>
      </w:r>
    </w:p>
    <w:p>
      <w:pPr>
        <w:pStyle w:val="ListParagraph"/>
        <w:numPr>
          <w:ilvl w:val="0"/>
          <w:numId w:val="2"/>
        </w:numPr>
        <w:spacing w:after="60"/>
      </w:pPr>
      <w:r>
        <w:rPr>
          <w:b/>
        </w:rPr>
        <w:t xml:space="preserve">Oriente Medio</w:t>
      </w:r>
      <w:r>
        <w:t xml:space="preserve">: margen de Project Delivery del 4,3 % en el 1S26 y guía recortada dos veces [5].</w:t>
      </w:r>
    </w:p>
    <w:p>
      <w:pPr>
        <w:pStyle w:val="ListParagraph"/>
        <w:numPr>
          <w:ilvl w:val="0"/>
          <w:numId w:val="2"/>
        </w:numPr>
        <w:spacing w:after="60"/>
      </w:pPr>
      <w:r>
        <w:rPr>
          <w:b/>
        </w:rPr>
        <w:t xml:space="preserve">La caja es prestada por los clientes</w:t>
      </w:r>
      <w:r>
        <w:t xml:space="preserve">: pasivo neto por contrato de 3.817,8 M; la empresa solo llama «libre» a ~1.000 M [4, 5].</w:t>
      </w:r>
    </w:p>
    <w:p>
      <w:pPr>
        <w:pStyle w:val="ListParagraph"/>
        <w:numPr>
          <w:ilvl w:val="0"/>
          <w:numId w:val="2"/>
        </w:numPr>
        <w:spacing w:after="60"/>
      </w:pPr>
      <w:r>
        <w:rPr>
          <w:b/>
        </w:rPr>
        <w:t xml:space="preserve">Concentración</w:t>
      </w:r>
      <w:r>
        <w:t xml:space="preserve">: cinco clientes son el 82 % de la cartera [1].</w:t>
      </w:r>
    </w:p>
    <w:p>
      <w:pPr>
        <w:pStyle w:val="ListParagraph"/>
        <w:numPr>
          <w:ilvl w:val="0"/>
          <w:numId w:val="2"/>
        </w:numPr>
        <w:spacing w:after="60"/>
      </w:pPr>
      <w:r>
        <w:rPr>
          <w:b/>
        </w:rPr>
        <w:t xml:space="preserve">Venta del primer ejecutivo</w:t>
      </w:r>
      <w:r>
        <w:t xml:space="preserve"> de 3,8 M EUR entre los dos recortes de guía [41].</w:t>
      </w:r>
    </w:p>
    <w:p>
      <w:pPr>
        <w:pStyle w:val="ListParagraph"/>
        <w:numPr>
          <w:ilvl w:val="0"/>
          <w:numId w:val="2"/>
        </w:numPr>
        <w:spacing w:after="60"/>
      </w:pPr>
      <w:r>
        <w:rPr>
          <w:b/>
        </w:rPr>
        <w:t xml:space="preserve">Ciclo de GNL</w:t>
      </w:r>
      <w:r>
        <w:t xml:space="preserve">: la ola de 2025 (68,4 Mtpa aprobados) puede no repetirse si la nueva capacidad hunde los precios del gas [20].</w:t>
      </w:r>
    </w:p>
    <w:p>
      <w:pPr>
        <w:pStyle w:val="Heading2"/>
      </w:pPr>
      <w:r>
        <w:t xml:space="preserve">Qué tiene que pasar para que la tesis funcione</w:t>
      </w:r>
    </w:p>
    <w:p>
      <w:pPr>
        <w:spacing w:after="100"/>
      </w:pPr>
      <w:r>
        <w:t xml:space="preserve">La tesis depende de que el margen de Project Delivery toque fondo en 2026 y de que los anticipos no se consuman más rápido que las ventas. La señal de que no se cumple sería un margen por debajo del 5 % en los 9M26 con nuevas provisiones, o un pasivo neto por contrato por debajo de 3.000 M sin un book-to-bill superior a 1.</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de Project Delivery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Oriente Medio tocó fondo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Pasivo neto por contrato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3.817,8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origen de la caja neta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(1S26); 0,6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0,8 dos semestres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Reposición de cartera y de anticipos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25.035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Visibilidad de 2027-2029.</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de TPS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guía ~15 %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parte de mayor calidad del negocio [48].</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5,8x / 3,7x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19,2x / 11,3x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-6,8x · -5,5x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Technip Energies hereda el negocio de ingeniería y construcción de energía de Technip, fundada en 1958, que construyó la primera planta de licuefacción de carga base del mundo (Camel LNG, en Arzew, Argelia) [1]. En enero de 2017 Technip se fusionó con FMC Technologies para formar TechnipFMC, y el 16 de febrero de 2021 TechnipFMC repartió el 50,1 % de Technip Energies a sus accionistas y la sacó a bolsa en Euronext París; vendió el 49,9 % restante y a cierre de 2022 ya no tenía participación [10, 34]. La guerra de Ucrania obligó a salir de Rusia: a cierre de 2021 el 23 % de la cartera (3.800 M EUR) eran proyectos rusos, Arctic LNG 2 entre ellos, y la participación se cedió en el segundo trimestre de 2023 [7, 9]. Desde entonces la cartera pivota hacia Qatar, EE. UU., Mozambique y Oriente Medio, y la empresa compra tecnología (catalizadores de Ecovyst, 2025) para subir el peso del negocio de tecnología, productos y servicios [1,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Technip, que construiría la primera planta de licuefacción de GNL de carga base del mundo (Camel LNG, Arzew, Argelia)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Technip con FMC Technologies: el 16 de enero nace TechnipFMC, del que el negocio de Technip Energies pasa a ser un segmento [34].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el 16 de febrero TechnipFMC reparte el 50,1 % de Technip Energies y la acción empieza a cotizar en Euronext París; TechnipFMC conserva el 49,9 %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Guerra de Ucrania: la empresa deja de buscar negocio en Rusia; los proyectos rusos eran el 23 % de la cartera de 2021 (3.784 M EUR)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ordenada de Arctic LNG 2 (cesión en el 2T23) y adjudicación del contrato North Field South de QatarEnergy; pedidos de unos 10.000 M EUR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con el objetivo de convertirse en una empresa de más de 800 M EUR de EBITDA; segundo año seguido con más de 10.000 M EUR de pedidos [1,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negocio Advanced Materials &amp; Catalysts de Ecovyst (EE. UU.), su primera adquisición grande, para TPS; ingresos récord de 7.200 M EUR [1,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Contrato NFW en Qatar (febrero), orden definitiva de Commonwealth LNG (9,5 Mtpa, EE. UU.) y Coral Norte FLNG (Mozambique): pedidos de 12.700 M EUR en el primer semestre y cartera récord de 25.000 M EUR; márgenes castigados por el conflicto de Oriente Medio y la crisis del estrecho de Ormuz [4, 5].</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Technip Energies diseña y construye plantas de proceso para la industria energética y química, y licencia tecnología propia. Opera en dos segmentos. </w:t>
      </w:r>
      <w:r>
        <w:rPr>
          <w:b/>
        </w:rPr>
        <w:t xml:space="preserve">Project Delivery</w:t>
      </w:r>
      <w:r>
        <w:t xml:space="preserve"> (75 % de los ingresos ajustados de 2025: 5.366 M EUR) ejecuta proyectos llave en mano de ingeniería, compras y construcción (EPC) de licuefacción de GNL en tierra y flotante (FLNG), etileno, hidrógeno y amoniaco bajos en carbono, captura de CO2, refino y combustibles sostenibles [1, 4]. </w:t>
      </w:r>
      <w:r>
        <w:rPr>
          <w:b/>
        </w:rPr>
        <w:t xml:space="preserve">Technology, Products &amp; Services</w:t>
      </w:r>
      <w:r>
        <w:t xml:space="preserve"> (TPS, 1.820 M EUR) vende licencias de procesos (más de 60 tecnologías propias y unas 2.850 patentes), equipos propios (hornos de etileno, brazos de carga de GNL), catalizadores tras la compra de AM&amp;C, ingeniería temprana (FEED), consultoría y gestión de proyectos [1, 4]. Sus clientes son petroleras nacionales e internacionales, químicas y, cada vez más, cementeras, acerías, aerolíneas y eléctricas [1]. Tiene más de 18.000 empleados en 35 países [19].</w:t>
      </w:r>
    </w:p>
    <w:p>
      <w:pPr>
        <w:pStyle w:val="Heading2"/>
      </w:pPr>
      <w:r>
        <w:t xml:space="preserve">Cómo gana dinero</w:t>
      </w:r>
    </w:p>
    <w:p>
      <w:pPr>
        <w:spacing w:after="100"/>
      </w:pPr>
      <w:r>
        <w:t xml:space="preserve">En Project Delivery cobra por avance de obra: contratos a tanto alzado (precio cerrado), reembolsables (coste más margen) e híbridos o convertibles, y elige el esquema proyecto a proyecto según el riesgo [1]. El margen depende de ejecutar dentro del presupuesto y de reconocer el beneficio a medida que el proyecto madura: en 2025 el EBITDA recurrente de Project Delivery fue el 8,1 % y bajó 20 puntos básicos porque había más proyectos en fase inicial, con poco margen reconocido [4]. TPS es de ciclo corto y deja más margen (14,3 % de EBITDA en 2025, 380 puntos básicos más que Project Delivery) [1, 4]. La política de la empresa es no pujar por un gran proyecto si no ha hecho antes la ingeniería básica (FEED), y exigir flujo de caja positivo desde la adjudicación: los anticipos de clientes financian el circulante [1]. No hay ingresos recurrentes en sentido estricto, pero la cartera da visibilidad: 16.000 M EUR a cierre de 2025 (2,2 veces los ingresos) y 25.000 M EUR a junio de 2026 (3,5 veces) [4, 5].</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Project Delivery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Technology, Products &amp; Services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no asignable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7"/>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Project Delivery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Technology, Products &amp; Services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no asignable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concentración es muy alta. A 31 de diciembre de 2025, los cinco primeros clientes (QatarEnergy, BP, ADNOC, CF Industries y TotalEnergies) suponían el 57 % de los ingresos ajustados y el 82 % de la cartera [1]. Los proyectos son plurianuales: más del 55 % de la cartera de cierre de 2025 se ejecutará en 2027 o después [1]. La relación es repetitiva: QatarEnergy le ha adjudicado North Field East, North Field South y North Field West, y Eni repite con Coral Norte tras Coral Sul FLNG [1, 4, 5]. El poder de precios es limitado en el tanto alzado: la empresa traslada riesgo con contratos reembolsables o convertibles y con cláusulas de protección, pero en el primer semestre de 2026 tuvo que provisionar costes logísticos y reclamaciones en Oriente Medio cuyo cobro depende de negociaciones con el cliente [5]. En los últimos 24 meses, alrededor del 75 % de los pedidos nuevos procede de fuera de Oriente Medio [5].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ajustada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19.556,0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15.955,4 (dic-25); 25.035,0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en 2025; +57 % en el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tras Commonwealth LNG y Coral Norte; 14.413,3 M se ejecutan desde 2028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Entrada de pedidos ajustada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10.010,8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4.636,0 (2025); 12.728,9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espera que la entrada de 2026 se concentre en el primer semestre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(2025); 3,5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sobre ingresos ajustados; 1,7 en 2023 y 0,6 en 2022 [4, 5, 6,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recurrente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 (2024); 8,7 %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 (2025); 5,8 %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pb en el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Project Delivery cae al 4,3 % en el 1S26 por Oriente Medio; guía 2026 &gt;5 % (antes 6,5-7,5 %)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Pasivo neto por contrato NIIF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2.877,1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3.356,8 (dic-25); 3.817,8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Anticipos de clientes menos obra pendiente de facturar: es la fuente de la caja neta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libre sin circulante ni provisiones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497,0 (2025); 183,0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Definición de la empresa sobre cifras ajustadas; conversión del 78 % del EBITDA en 2025 y del 86 % en el 1S26 [4, 5].</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ingeniería y construcción de plantas de licuefacción de GNL (en tierra y flotantes), que es donde Technip Energies tiene la mayor parte de su cartera, con extensiones en etileno, hidrógeno y amoniaco bajos en carbono y captura de CO2. Es un mercado mundial de pocos proyectos muy grandes, decididos por petroleras nacionales e internacionales. Lo medimos con dos fuentes independientes: la capacidad de licuefacción operativa y aprobada que publica la Unión Internacional del Gas con datos de Rystad Energy [20, 21, 22] y la inversión anual en terminales de exportación de la Agencia Internacional de la Energía [23]. La serie usa la capacidad operativa en Mtpa (millones de toneladas al año); el dato de 2031 es una estimación propia: capacidad operativa de 2025 más la ya aprobada (524,5 + 234,3 Mtpa), suponiendo que todo se construye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524,5 Mtpa de capacidad de licuefacción operativa a cierre de 2025, tras añadir 30,1 Mtpa en el año, y 234,3 Mtpa más aprobados y en construcción [20]. En dinero, la IEA prevé casi 50.000 M USD de inversión en terminales de exportación en 2026 (≈ 42.600 M EUR al cambio de cierre de 2025), más del doble que en 2025, y estima que los proyectos aprobados en 2025 exigirán unos 80.000 M USD de inversión en varios años [23, 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tpa de capacidad de licuefacción operativa a cierre de año)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Ola de decisiones de inversión en licuefacción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se aprobaron 68,4 Mtpa, frente a 14,8 Mtpa en 2024 y 58,8 Mtpa en 2023; el ciclo 2021-2025 suma 206 Mtpa aprobados, casi el 90 % en EE. UU. en 2025 [20, 21, 22,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 de suministro tras Ucrania y Ormuz</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UE quiere dejar el gas y el GNL rusos a finales de 2027; el cierre del estrecho de Ormuz en marzo de 2026 dejó fuera del mercado la capacidad de Qatar y Emiratos (casi el 16 % de la mundial) y lleva a los clientes a pedir proyectos rápidos y rutas nuevas [5, 20,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Contratos de compra a largo plazo que financian los proyectos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se firmaron unos 85 Mtpa de contratos de GNL (63 Mtpa en 2024), más de la mitad a más de 15 años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electricidad de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consumo eléctrico de los centros de datos se duplicaría hasta 800-1.000 TWh en 2030 y la generación con gas para ellos podría añadir unos 60 bcm de demanda hacia 2035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Inflación de costes y sobrecostes de obra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IEA estima que alrededor del 30 % de los proyectos de GNL en construcción ha sufrido sobrecostes, de un 20 % de media, que se reparten entre promotor y contratista según el contrato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Conflicto en Oriente Medio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trenes de Ras Laffan (12,8 Mtpa) dañados por misiles estarán parados de tres a cinco años y la obra de North Field East se suspendió [20, 31]; Technip Energies redujo su previsión de margen de Project Delivery a más del 5 % (antes 6,5-7,5 %) [5].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contratistas pueden ejecutar megatrenes de GNL, pero compiten por pocos contratos y los márgenes del sector son bajos: en 2025 la división de GNL y energía en tierra de Saipem (Energy Carriers) ganó un 0,3 % de EBIT sobre 5.624 M EUR de ingresos y Fluor tuvo pérdida operativa [27,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clientes son grandes petroleras nacionales e internacionales; los cinco primeros de Technip Energies suponen el 57 % de los ingresos y el 82 % de la cartera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equipos críticos están muy concentrados: la tecnología de licuefacción de Honeywell (antes Air Products, AP-C3MR) ronda el 55 % de la capacidad operativa mundial, y los compresores y turbinas vienen de Baker Hughes, Solar Turbines y pocos más [4,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historial: Technip Energies solo puja por grandes proyectos en los que ha hecho la ingeniería básica y conoce la tecnología [1]. La vía de entrada es el GNL flotante modular, donde ya trabajan astilleros chinos y coreanos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electrificación y las renovables limitan la demanda de gas a largo plazo, pero el gas sigue siendo el respaldo para la red y para los centros de datos [1, 25]; en hidrógeno, etileno y captura de CO2 la empresa juega a ambos lados [1].</w:t>
            </w:r>
          </w:p>
        </w:tc>
      </w:tr>
    </w:tbl>
    <w:p>
      <w:pPr>
        <w:spacing w:after="160" w:before="0"/>
      </w:pPr>
    </w:p>
    <w:p>
      <w:pPr>
        <w:pStyle w:val="Heading2"/>
      </w:pPr>
      <w:r>
        <w:t xml:space="preserve">Ciclo</w:t>
      </w:r>
    </w:p>
    <w:p>
      <w:pPr>
        <w:spacing w:after="100"/>
      </w:pPr>
      <w:r>
        <w:t xml:space="preserve">Los indicadores son las aprobaciones de capacidad, los contratos de compra a largo plazo y la cartera de los contratistas. En 2025 se aprobaron 68,4 Mtpa, la cifra más alta desde 2019, y la cartera de Technip Energies llegó a 25.000 M EUR en junio de 2026 [5, 20]. En 2020 las aprobaciones tocaron fondo (los 14,8 Mtpa de 2024 fueron la cifra más baja desde entonces) y, aun así, Technip Energies creció un 8 % en 2021 gracias a la cartera [9, 21]; en 2022 la guerra de Ucrania disparó las aprobaciones pero obligó a la empresa a salir de Rusia [9, 20]. No hemos encontrado datos homogéneos de 2008-09.</w:t>
      </w:r>
    </w:p>
    <w:p>
      <w:pPr>
        <w:pStyle w:val="Heading2"/>
      </w:pPr>
      <w:r>
        <w:t xml:space="preserve">Regulación</w:t>
      </w:r>
    </w:p>
    <w:p>
      <w:pPr>
        <w:spacing w:after="100"/>
      </w:pPr>
      <w:r>
        <w:t xml:space="preserve">Las sanciones de EE. UU., la UE y el Reino Unido contra Rusia obligaron a Technip Energies a abandonar Arctic LNG 2 (cedido en el segundo trimestre de 2023) y siguen frenando el GNL ruso; la UE quiere dejar de importar gas y GNL rusos a finales de 2027 [7, 20]. En EE. UU., la retirada en 2025 de la moratoria a los permisos de exportación a países sin tratado de libre comercio desbloqueó los grandes proyectos del golfo de México [20]. En Europa, el mecanismo de ajuste en frontera por carbono (CBAM) se aplica en su régimen definitivo desde el 1 de enero de 2026 al cemento, acero, aluminio, fertilizantes, electricidad e hidrógeno [36], lo que favorece la descarbonización industrial que vende la empresa. La taxonomía verde europea apenas reconoce la ingeniería y construcción: solo el 7,2 % del capex de 2025 está alineado [1].</w:t>
      </w:r>
    </w:p>
    <w:p>
      <w:pPr>
        <w:pStyle w:val="Heading2"/>
      </w:pPr>
      <w:r>
        <w:t xml:space="preserve">Tendencias y disrupción</w:t>
      </w:r>
    </w:p>
    <w:p>
      <w:pPr>
        <w:spacing w:after="100"/>
      </w:pPr>
      <w:r>
        <w:t xml:space="preserve">Tres tendencias favorecen a Technip Energies. La primera, la modularización y la replicación: Commonwealth LNG usa su solución modular SnapLNG y Coral Norte copia el diseño de Coral Sul, lo que reduce plazo y riesgo [5, 20]. La segunda, la descarbonización de la industria: captura de CO2 (15,6 MtCO2eq evitados en 2025 por sus proyectos), hidrógeno y amoniaco bajos en carbono (Blue Point Number One, la mayor planta de amoniaco bajo en carbono del mundo) y combustibles de aviación sostenibles [1]. La tercera, el gas como respaldo del consumo eléctrico de la inteligencia artificial [25]. En contra: los nuevos contratistas chinos en GNL flotante y la tendencia de los promotores a trenes medianos estandarizados, que reducen el valor de la ingeniería a medida [20].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mundial en ingeniería y construcción de licuefacción de GNL: según la propia empresa, las plantas que ha construido con sus socios suman 110 Mtpa, alrededor del 25 % de la capacidad mundial en operación, y tiene más de 60 Mtpa en ejecución, más del 35 % de la capacidad nueva que llegará al mercado en los próximos años [1]. En hidrógeno, ha instalado en torno al 30 % de la capacidad mundial de producción dedicada [1]. Las cuotas son de la empresa: no hay una estadística independiente por contratista.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Saipem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más directo en Europa: GNL en tierra y flotante a través de Energy Carriers (5.624 M EUR de ingresos y 0,3 % de margen EBIT en 2025), además de ingeniería y construcción en el mar y perforación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Ingeniería y construcción diversificada (energía, minería, infraestructuras); en 2025 tuvo una pérdida operativa de 378 M USD sobre 15.503 M USD de ingresos [27]. Convertido a 1,175 USD/EUR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KBR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KBR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Compite en tecnología licenciada (amoniaco, refino) y servicios de ingeniería, sin riesgo de construcción a precio cerrado; buena parte de sus ingresos son servicios al Gobierno de EE. UU. [26]. 7.786 M USD convertidos a 1,175 USD/EUR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Samsung E&amp;A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 del Sur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028050</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Contratista de plantas de hidrocarburos en Oriente Medio y Asia con entrada en GNL, metanol y amoniaco; 9,03 billones de KRW de ingresos y 792.100 M KRW de beneficio operativo en 2025 (cifras provisionales) [32]. Convertido a 1.696,94 KRW/EUR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Técnicas Reunidas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Refino, gas y petroquímica en Oriente Medio; 291 M EUR de EBIT en 2025 y cartera de 10.553 M EUR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JGC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1963</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 de los grandes de GNL en tierra; ejercicio abril 2025-marzo 2026 con 745.280 M JPY de ventas y 35.399 M JPY de beneficio operativo, tras pérdidas el año anterior [30]. Convertido a 183,39 JPY/EUR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Chiyoda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6366</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Ejecuta North Field East en Qatar, proyecto que Technip Energies consolida al 50 %, cuya obra se suspendió en el primer trimestre de 2026; el margen de 2025-26 es atípico: refleja la revisión de rentabilidad de Golden Pass LNG [9, 31]. 493.942 M JPY convertidos a 183,39 JPY/EUR [33].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40 alianzas de desarrollo conjunto con licenciantes y clientes, pero no hay un efecto de red propiamente dicho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Quien hace la ingeniería básica suele ganar la obra: la empresa solo puja por grandes proyectos que ha diseñado, y los clientes repiten (Qatar NFE, NFS y NFW; Coral Sul y Coral Norte) [1, 2,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Unas 2.850 patentes y más de 60 tecnologías propias; TPS deja 380 puntos básicos más de margen EBITDA que Project Delivery (14,3 % frente a 8,1 % en 2025) [1,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recurrente ajustado del 7,2 % en 2025, por encima de Saipem (4,4 %), JGC (4,7 %) y Técnicas Reunidas (4,5 %), pero por debajo de KBR (10,0 %) y Samsung E&amp;A (8,8 %), que tienen otra mezcla de negocio [2, 14, 16, 17, 18, 20].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Pocos contratistas pueden ejecutar megatrenes: Technip Energies ha construido el 25 % de la capacidad operativa mundial y ejecuta más del 35 % de la que está en construcción [1].</w:t>
            </w:r>
          </w:p>
        </w:tc>
      </w:tr>
    </w:tbl>
    <w:p>
      <w:pPr>
        <w:spacing w:after="160" w:before="0"/>
      </w:pPr>
    </w:p>
    <w:p>
      <w:pPr>
        <w:pStyle w:val="Heading2"/>
      </w:pPr>
      <w:r>
        <w:t xml:space="preserve">Amenazas</w:t>
      </w:r>
    </w:p>
    <w:p>
      <w:pPr>
        <w:spacing w:after="100"/>
      </w:pPr>
      <w:r>
        <w:t xml:space="preserve">La amenaza principal es la concentración: el 82 % de la cartera depende de cinco clientes y una parte importante está en Qatar, donde el conflicto de 2026 ya obligó a provisionar y a bajar la previsión de margen [1, 5]. Un proyecto a precio cerrado que se tuerce puede llevarse años de beneficio, como le pasó a Chiyoda con Golden Pass o a Fluor en 2025 [27, 31]; la probabilidad de un episodio así en una cartera de 25.000 M EUR no es baja. Más a largo plazo, los trenes medianos estandarizados y los astilleros asiáticos en GNL flotante abaratan el diseño y reducen la ventaja de la ingeniería propia [20].</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spacing w:after="100"/>
      </w:pPr>
      <w:r>
        <w:t xml:space="preserve">Crecimiento anual compuesto 2021-2025: ingresos </w:t>
      </w:r>
      <w:r>
        <w:rPr>
          <w:b/>
          <w:bCs/>
        </w:rPr>
        <w:t xml:space="preserve">2,9 %</w:t>
      </w:r>
      <w:r>
        <w:t xml:space="preserve">, EBITDA </w:t>
      </w:r>
      <w:r>
        <w:rPr>
          <w:b/>
          <w:bCs/>
        </w:rPr>
        <w:t xml:space="preserve">-4,6 %</w:t>
      </w:r>
      <w:r>
        <w:t xml:space="preserve">, BPA </w:t>
      </w:r>
      <w:r>
        <w:rPr>
          <w:b/>
          <w:bCs/>
        </w:rPr>
        <w:t xml:space="preserve">10,7 %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NIIF pasaron de 6.433,7 M en 2021 a 7.203,8 M en 2025 (TCAC del 2,9 %), con un bache en 2022-2023 por el fin de Yamal LNG y la salida de Arctic LNG 2 en Rusia (23 % de la cartera a cierre de 2021) [3, 9]. El crecimiento de 2024-2025 es orgánico, tirado por los proyectos de GNL de Qatar (NFE y NFS superan cada uno el 10 % de las ventas) [1]; la compra de AM&amp;C se consolida el 31-dic-25 y no aporta a la cuenta de 2025 [1].</w:t>
      </w:r>
    </w:p>
    <w:p>
      <w:pPr>
        <w:spacing w:after="100"/>
      </w:pPr>
      <w:r>
        <w:t xml:space="preserve">El EBIT NIIF (con participadas) bajó de 582,0 M en 2022 a 434,1 M en 2025: 2022 llevaba 78,1 M de participadas y 2023 un efecto favorable de 337,2 M en ingresos por obligaciones cumplidas en años anteriores (cambios de estimación del grado de avance) [3]. En 2025 el EBIT pierde 34 M frente a 2024 por 72,1 M de deterioros, reestructuración y otros (41,5 M de inversión en modelos adyacentes, sobre todo Reju) y 8,6 M de costes de la compra de AM&amp;C [1]. El resultado financiero de 2021-2022 es muy negativo por la revaluación del pasivo financiero rescatable de Yamal LNG (154,1 M de gasto en 2022) [3]; desde 2023 es positivo por los intereses de la caja (109,9 M en 2025) [1]. En el 1S26 el margen se hunde por los proyectos de Oriente Medio: beneficio neto de 96,6 M frente a 189,3 M [5].</w:t>
      </w:r>
    </w:p>
    <w:p>
      <w:pPr>
        <w:pStyle w:val="Heading2"/>
      </w:pPr>
      <w:r>
        <w:t xml:space="preserve">Ajustes y partidas no recurrentes</w:t>
      </w:r>
    </w:p>
    <w:p>
      <w:pPr>
        <w:spacing w:after="100"/>
      </w:pPr>
      <w:r>
        <w:t xml:space="preserve">La empresa publica cifras «ajustadas»: integra a su porcentaje las JV por puesta en equivalencia (Coral Sul y Norte, NFE, BAPCO Sitra y, hasta 2022-2023, Yamal y Arctic LNG 2 en su parte rusa), quita la parte de minoritarios de Yamal y excluye los no recurrentes [4, 5]. En 2025: ingresos ajustados 7.186,5 M frente a 7.203,8 M NIIF; EBITDA recurrente ajustado 637,9 M frente a 556,0 M NIIF (EBIT con participadas más amortizaciones); la diferencia son sobre todo los 80,7 M de no recurrentes [4]. Los no recurrentes se repiten todos los años (32,0 M en 2021, 1,4 M en 2022, 45,0 M en 2023, 30,0 M en 2024, 80,7 M en 2025: reestructuración, inversión en Reju, multa del PNF francés de 2023, compra de AM&amp;C), por eso se dejan dentro del EBITDA [1, 3, 9]. Las amortizaciones de 2021 son las ajustadas (109,2 M) porque el estado de flujos NIIF de 2021 no se ha podido leer: estimación. El LTM usa las amortizaciones ajustadas del 1S26 (81,6 M, incluidos 6,8 M de la asignación del precio de AM&amp;C) a falta de las NIIF: estimación propia.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1220"/>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Cifras ajustadas (JV a su porcentaje); el 4T de cada año se obtiene restando los nueve meses al ejercicio [4, 6, 11, 12, 13, 14, 15, 16].</w:t>
      </w:r>
    </w:p>
    <w:p>
      <w:pPr>
        <w:spacing w:after="100"/>
      </w:pPr>
      <w:r>
        <w:rPr>
          <w:b/>
        </w:rPr>
        <w:t xml:space="preserve">Febrero de 2026 (resultados de 2025).</w:t>
      </w:r>
      <w:r>
        <w:t xml:space="preserve"> Tono de récord: ingresos y EBITDA máximos, margen de ~9 %, compra de AM&amp;C cerrada, dividendo de 1,00 EUR (+18 %) y recompra de 150 M. La guía de 2026 pedía 6.300-6.700 M de ingresos en Project Delivery con ~8 % de margen y 2.000-2.200 M en TPS con ~14,5 %, y la dirección anunciaba la mayor entrada de pedidos de su historia para 2026 [4].</w:t>
      </w:r>
    </w:p>
    <w:p>
      <w:pPr>
        <w:spacing w:after="100"/>
      </w:pPr>
      <w:r>
        <w:rPr>
          <w:b/>
        </w:rPr>
        <w:t xml:space="preserve">Abril de 2026 (1T26).</w:t>
      </w:r>
      <w:r>
        <w:t xml:space="preserve"> Aparece el conflicto de Oriente Medio: paradas temporales en obras, retrasos logísticos y costes de seguridad. La empresa difiere 500-600 M de ingresos más allá de 2026 y baja la guía de Project Delivery a 5.700-6.300 M con 6,5-7,5 % de margen, pero dice que el impacto en márgenes «debería mitigarse sustancialmente» [16].</w:t>
      </w:r>
    </w:p>
    <w:p>
      <w:pPr>
        <w:spacing w:after="100"/>
      </w:pPr>
      <w:r>
        <w:rPr>
          <w:b/>
        </w:rPr>
        <w:t xml:space="preserve">Julio de 2026 (1S26).</w:t>
      </w:r>
      <w:r>
        <w:t xml:space="preserve"> El discurso cambia: margen de Project Delivery del 4,3 % por la valoración de partidas en disputa y costes adicionales, y guía de margen &gt;5 %. La recuperación de costes «depende de la evolución del conflicto y de las negociaciones comerciales» [5]. La dirección compensa con la cartera récord de 25.000 M, el margen de TPS subido a ~15 % y la recompra completada; según el resumen de Quartr habló de mejora secuencial en el 2S y de una cartera compatible con unos 800 M de EBITDA en 2028 (no contrastado con la transcripción) [18]. No se ha podido leer la transcripción con las preguntas de los analistas: qué evitó contestar la dirección queda sin documentar.</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48"/>
        <w:gridCol w:w="1472"/>
        <w:gridCol w:w="1338"/>
        <w:gridCol w:w="1338"/>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Advanced Materials &amp; Catalysts (AM&amp;C, comprada a Ecovyst), consolidada desde el 31-dic-25: entra en balance (fondo de comercio provisional 170,3 M; Zeolyst, JV al 50 % con Shell, 154,9 M en participadas) y no en la cuenta; precio 494,3 M en efectivo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circulante es estructuralmente negativo: clientes más activos por contrato (1.780,5 M) quedan muy por debajo de proveedores más pasivos por contrato (5.140,4 M) a cierre de 2025 [1]. La caja bruta de 3.643,5 M frente a 987,8 M de deuda financiera (bono de 600 M al 1,125 % con vencimiento en mayo de 2028, 298,6 M de papel comercial usado para pagar AM&amp;C y 40 M del BEI a 2039) da caja neta contable de 2.655,7 M sin arrendamientos (256,2 M) [1]. En el 1S26 la deuda sube a 1.350,9 M por el bono de 500 M al 4 % a 2033 y la caja a 4.490,4 M, impulsada por 674,4 M de mejora del circulante: la entrada de pedidos de 12.700 M trae anticipos [5]. La caja no es toda libre: depende de que los anticipos se sigan renovando con la cartera; si la cartera se gasta sin reponerse, el circulante revierte (en 2022-2023 consumió 414,6 M y 350,1 M) [3].</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2.312</w:t>
      </w:r>
      <w:r>
        <w:t xml:space="preserve">, conversión </w:t>
      </w:r>
      <w:r>
        <w:rPr>
          <w:b/>
          <w:bCs/>
        </w:rPr>
        <w:t xml:space="preserve">145 %</w:t>
      </w:r>
      <w:r>
        <w:t xml:space="preserve"> del beneficio neto; adquisiciones 499, dividendos 422, recompras 228.</w:t>
      </w:r>
    </w:p>
    <w:p>
      <w:pPr>
        <w:spacing w:after="100"/>
      </w:pPr>
      <w:r>
        <w:t xml:space="preserve">El flujo operativo NIIF oscila con el circulante, no con el beneficio: 934,4 M en 2021 (circulante +404,8 M), 184,4 M en 2022 (−414,6 M), 378,8 M en 2023 (−350,1 M), 845,2 M en 2024 (+268,4 M) y 660,9 M en 2025 (+103,0 M) [1, 3, 8]. En el 1S26 llega a 880,3 M porque el circulante y las provisiones aportan 674,4 M con los anticipos de los grandes pedidos [5]. La empresa mide su flujo libre sin circulante: 497,0 M en 2025, un 78 % del EBITDA recurrente [4]. El capex es pequeño (89,4 M en 2025, 1,2 % de las ventas), subió por la ampliación del taller modular de Dahej (India) y no se separa entre mantenimiento y crecimiento [4]. Además de los dividendos a los accionistas, salen cada año pagos a los socios de Yamal LNG por el pasivo financiero rescatable (256,0 M en 2021, 206,6 M en 2022, 92,7 M en 2023, 16,0 M en 2024, 0,5 M en 2025) y dividendos a minoritarios (13,1 M en 2025) [1, 3, 8]. En 2021 se pagaron 478,2 M netos a TechnipFMC por la escisión [8]. Los intereses cobrados y pagados van en explotación [1]. Los arrendamientos de 2021 son la partida «otros (de los que reembolso de arrendamientos)» del resumen de flujos [8].</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Accountants N.V.</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audita desde el nombramiento del consejo de 15-feb-2021 (cinco años sin interrupción) y emite opinión favorable sobre 2025; su única cuestión clave de auditoría es el reconocimiento de ingresos y la estimación de costes pendientes en contratos a largo plazo [1]. Es el riesgo central: los márgenes dependen de estimaciones de coste final y de contingencias. En 2023 los ingresos incluyeron 337,2 M favorables por obligaciones cumplidas en años anteriores (cambios de estimación) y en 2022, 133,2 M; en 2025 el efecto fue de −20,1 M [1, 3]. Los no recurrentes que la empresa excluye se repiten todos los años y en 2025 suben a 80,7 M [4]. La compra de AM&amp;C está contabilizada de forma provisional [1]. El tipo efectivo sube al 31,9 % en el 1S26 por pérdidas en jurisdicciones de baja tributación sin activo fiscal diferido reconocido [5]. Para Altman, Piotroski y Beneish: el balance tiene 3.738 M de anticipos en el pasivo corriente, que hunden el capital circulante del Altman Z sin que eso sea un riesgo de liquidez (la caja es de 3.643,5 M).</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Provisiones y partidas en disputa de Oriente Medio en el 1S26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Project Delivery del 4,3 %; la recuperación de costes depende de negociaciones; posibles reversiones o más dotaciones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cambios de estimación del grado de avance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+337,2 M de ingresos de obligaciones de años anteriores en 2023 y +133,2 M en 2022; −20,1 M en 2025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recurrentes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32,0 M (2021), 1,4 M (2022), 45,0 M (2023), 30,0 M (2024), 80,7 M (2025), sobre todo inversión en Reju, reestructuración y adquisiciones [1, 3,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apoyada en anticipos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Pasivo neto por contrato de 3.356,8 M en 2025 y 3.817,8 M en jun-26; la empresa reconoce solo ~1.000 M de caja neta ajustada por la caja de proyectos [1, 4,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del precio de AM&amp;C provisional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provisional de 170,3 M y Zeolyst valorada en 154,9 M; se cerrará en 2026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31,9 % en el 1S26 frente a 29,7 % en 2025 por activos fiscales no reconocidos [4, 5].</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-10,1 % · </w:t>
      </w:r>
      <w:r>
        <w:rPr>
          <w:b/>
          <w:bCs/>
        </w:rPr>
        <w:t xml:space="preserve">WACC</w:t>
      </w:r>
      <w:r>
        <w:t xml:space="preserve">: 8,8 %.</w:t>
      </w:r>
    </w:p>
    <w:p>
      <w:pPr>
        <w:spacing w:after="100"/>
      </w:pPr>
      <w:r>
        <w:t xml:space="preserve">El ROIC que calcula el motor es negativo (−68,8 % en 2025) porque el capital invertido lo es (−441 M): los anticipos de clientes financian todo el circulante y el inmovilizado. Es la firma de un buen contratista, no un problema, pero hace inútiles el ROIC y el ROIC incremental. La medida útil es el ROE, del 16,5-19,7 % en 2021-2025 con un balance sin deuda neta, y el beneficio por euro de cartera. Frente a sus pares, Technip Energies ha ganado dinero todos los años desde 2021, cuando Fluor perdió (margen EBIT del −2,4 % en 2025) y Saipem y Técnicas Reunidas se movieron en el 4-5 % [27, 28, 29]. El riesgo es que la rentabilidad depende de que los anticipos se renueven: si la cartera no se repone, el capital invertido vuelve a positivo y el ROE se diluye con caja ociosa.</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-2.863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3.643,5 M NIIF (3.843,0 M ajustada) + línea de crédito revolvente no dispuesta de 750 M (vence en marzo de 2031 tras la primera prórroga) a 31-dic-25 [1, 4]; a 30-jun-26, caja 4.490,4 M NIIF (4.819,5 M ajustada) y liquidez de 5.600 M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Global: BBB, perspectiva estable (reafirmado el 31-dic-25); papel comercial A-2 [1, 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rPr>
          <w:b/>
        </w:rPr>
        <w:t xml:space="preserve">Pasivos por contrato</w:t>
      </w:r>
      <w:r>
        <w:t xml:space="preserve"> (anticipos y facturación por delante de la obra): 3.738,0 M a cierre de 2025 frente a 381,2 M de activos por contrato; el «net contract liability» que publica la empresa sube de 2.614,9 M (2023) a 2.877,1 M (2024) y 3.356,8 M (2025) [1, 2], y a 3.817,8 M el 30-jun-26 (4.158,3 M menos 340,5 M) [5]. Es la contrapartida de buena parte de la caja: la propia empresa habla de ~1.000 M de caja neta «ajustada por la caja asociada a proyectos» frente a 2.827,5 M de caja neta ajustada contable (3.843,0 M de caja menos 1.015,5 M de deuda, sin arrendamientos) [4, 5]. </w:t>
      </w:r>
      <w:r>
        <w:rPr>
          <w:b/>
        </w:rPr>
        <w:t xml:space="preserve">Provisiones</w:t>
      </w:r>
      <w:r>
        <w:t xml:space="preserve">: 187,9 M (de ellas 118,1 M de contingencias de cierre de contratos; en 2024 incluían Arctic LNG 2) [1]. </w:t>
      </w:r>
      <w:r>
        <w:rPr>
          <w:b/>
        </w:rPr>
        <w:t xml:space="preserve">Avales</w:t>
      </w:r>
      <w:r>
        <w:t xml:space="preserve">: 2.833,7 M de garantías de cumplimiento y 198,1 M financieras, fuera de balance [1]. </w:t>
      </w:r>
      <w:r>
        <w:rPr>
          <w:b/>
        </w:rPr>
        <w:t xml:space="preserve">Pensiones</w:t>
      </w:r>
      <w:r>
        <w:t xml:space="preserve">: 83,9 M a largo plazo [1]. </w:t>
      </w:r>
      <w:r>
        <w:rPr>
          <w:b/>
        </w:rPr>
        <w:t xml:space="preserve">JV</w:t>
      </w:r>
      <w:r>
        <w:t xml:space="preserve">: las participadas tienen 485,7 M de caja al 100 % (Coral, NFE, BAPCO, Zeolyst) y 144,4 M de inversiones negativas reclasificadas a pasivo [1]. Sin covenants financieros en la línea revolvente, el préstamo del BEI ni los bonos [1].</w:t>
      </w:r>
    </w:p>
    <w:p>
      <w:pPr>
        <w:pStyle w:val="Heading1"/>
      </w:pPr>
      <w:r>
        <w:t xml:space="preserve">12. Asignación de capital</w:t>
      </w:r>
    </w:p>
    <w:p>
      <w:pPr>
        <w:pStyle w:val="Confianza"/>
        <w:spacing w:after="100"/>
      </w:pPr>
      <w:r>
        <w:t xml:space="preserve">Confianza: Media</w:t>
      </w:r>
    </w:p>
    <w:p>
      <w:pPr>
        <w:spacing w:after="100"/>
      </w:pPr>
      <w:r>
        <w:t xml:space="preserve">Dividendo: reparto mínimo del 25-35 % del flujo libre sin circulante, provisiones ni no recurrentes, creciendo con el beneficio [4, 17]. El dividendo pasó de 0,45 EUR (2021) a 0,52, 0,57, 0,85 y 1,00 EUR (2025, pagado el 20-may-26) [4, 5, 6, 7, 8, 9]. Recompras complementarias según oportunidades: 53,5 M en 2022 (incluidas 1,8 millones de acciones compradas a TechnipFMC a 13,15 EUR), programa de 100 M anunciado en 2024 y programa de 150 M en 2026, completado el 30-jun-26 con 4.246.851 acciones a 36,64 EUR (2,38 % del capital), en parte para amortizar [5, 7, 8]. Prioridades declaradas: compras centradas en TPS e inversión en modelos adyacentes (Reju, Rebound) con &lt;50 M anuales, manteniendo el grado de inversión [4, 5]. El ESOP 2026 emitió 1.935.932 acciones nuevas (1,09 % del capital) el 30-jul-26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Advanced Materials &amp; Catalysts (Ecovyst): sílices avanzadas y 50 % de Zeolyst International (JV con Shell)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papel comercial (+260 M de emisión en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Consolidada el 31-dic-25; primera aportación a TPS en el 1S26; asignación del precio provisional (fondo de comercio de 170,3 M) [1,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Filial no identificada en el informe (pago neto de caja)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menor [3].</w:t>
            </w:r>
          </w:p>
        </w:tc>
      </w:tr>
    </w:tbl>
    <w:p>
      <w:pPr>
        <w:spacing w:after="160" w:before="0"/>
      </w:pPr>
    </w:p>
    <w:p>
      <w:pPr>
        <w:spacing w:after="100"/>
      </w:pPr>
      <w:r>
        <w:t xml:space="preserve">Desde 2021 la empresa ha generado 3.003,7 M de flujo operativo NIIF y ha invertido 318,7 M en capex, con 498,9 M de compras y 373,5 M de pagos de arrendamientos [1, 3, 8]. Ha devuelto al accionista 421,9 M en dividendos y 228,2 M en recompras de 2021 a 2025, más 322,4 M en el 1S26 [1, 3, 5, 8]. La única compra relevante, AM&amp;C, es reciente y aún sin historial; su múltiplo no consta en los documentos leídos. El grueso de la caja no se ha repartido porque buena parte son anticipos de proyectos: la dirección fija la caja neta libre en ~1.000 M [4].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Arnaud Pieton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Technip desde 2004 (presidente Asia-Pacífico), luego vicepresidente ejecutivo de Personas de TechnipFMC (2017-2018) y presidente de Subsea de TechnipFMC (2018-2020) [38, 39]. Desde la salida a bolsa de 2021, los ingresos ajustados han pasado de 6.667 M EUR (2021) a 7.187 M EUR (2025) y el margen EBIT recurrente ajustado del 6,5 % al 7,2 %; ha cumplido o superado la guía anual de 2021 a 2024 [4, 6, 7, 8, 9, 17]. Tras su venta de mayo de 2026 conserva 447.184 acciones (≈0,25 % del capital) [37,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Bruno Vibert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 Finanzas del negocio Onshore/Offshore de TechnipFMC (2017-2020), antes director financiero del proyecto Yamal LNG (2016) y director de contabilidad y tesorería de Technip en Norteamérica (2014-2016); antes, socio de Fair Links y gerente sénior en Ernst &amp; Young [39]. Es el mismo CFO desde la escisión: no ha habido rotación en la dirección financiera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O'Higgins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(independiente) y de la Comisión de Nombramientos y Gobierno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Spectris plc de 2006 a 2018 y antes directivo de Honeywell (presidente de Automation and Control Solutions Asia-Pacífico); consejero de Johnson Matthey y Oxford Nanopore [38, 40]. Nombrado en la junta del 5 de mayo de 2026 para suceder a Joseph Rinaldi, que se retiró tras cinco años como presidente [5, 40].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Loïc Chapuis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Project Delivery &amp; Services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2006; director de proyectos en Yamal LNG, Arctic LNG 2 y Prelude FLNG, director de la unidad de París (2021) y de la línea Gas &amp; Low-Carbon (2022); director de operaciones del grupo desde 2023 [39]. Responsable del segmento que en 2026 ha rebajado dos veces su guía de margen por Oriente Medio [5,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Jesse Stanley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 Technology &amp; Products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Procede de Wood plc (presidenta de Operaciones Américas, 2024) y antes de Shell (2007-2024; directora de operaciones de Shell Energy Trading Americas en 2021) [39]. Su nombramiento se anunció a comienzos de 2026; aún sin historial medible en el cargo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Benjamin Lechuga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Estrategia y Sostenibilidad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Carrera en Shell (GNL y trading), capital riesgo energético (SG AM/4D Global Energy Capital), Areva Renewables y Deloitte Suiza (asesoría de fusiones en energía) [39]. Dirige estrategia, fusiones y adquisiciones (compra de Advanced Materials &amp; Catalysts a Ecovyst en 2025) [1, 39].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ajustados 6.500-7.000 M EUR; margen EBIT recurrente ajustado 5,5-6,0 % (sin 30 M de costes de separación)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6.667,2 M EUR; margen EBIT recurrente 6,5 %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5.000-5.500 M EUR y margen EBIT recurrente ≥ 6,5 %, ambos sin Rusia (contribución rusa estimada en ~1.400 M de ingresos y &lt; 70 M de EBIT)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6.424,4 M EUR incluida Rusia; margen EBIT recurrente 7,0 %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5.700-6.200 M EUR; margen EBIT recurrente 6,7-7,2 %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6.014,7 M EUR; margen EBIT recurrente 7,4 %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6.100-6.600 M EUR; margen EBIT recurrente 7,0-7,5 % (los ingresos se elevaron después a 6.500-6.800 M) [6,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6.854,8 M EUR (por encima de la guía elevada); margen EBIT recurrente 7,2 %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segmentos: Project Delivery 5.000-5.400 M EUR con margen EBITDA ~8 %; TPS 2.000-2.200 M EUR con margen EBITDA ~13,5 %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Project Delivery 5.366,3 M EUR y 8,1 %; TPS 1.820,2 M EUR (por debajo del rango) y 14,3 %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Febrero: Project Delivery 6.300-6.700 M EUR con margen EBITDA ~8 %; TPS 2.000-2.200 M EUR con ~14,5 %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Abril: Project Delivery rebajada a 5.700-6.300 M y 6,5-7,5 % por Oriente Medio [16]; julio: margen de Project Delivery &gt; 5,0 % y TPS 1.900-2.200 M con ~15 % (guía «condicional»)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Equipo estable: el CEO y el CFO dirigen la empresa desde la escisión de TechnipFMC en 2021 y ambos vienen de los grandes proyectos de GNL [39]. De 2021 a 2024 la dirección cumplió o superó cada año la guía de ingresos y margen [6, 7, 8, 9, 10]. Desde 2025 el historial empeora: TPS quedó por debajo de su rango de ingresos y en 2026 la guía de Project Delivery se ha rebajado dos veces en tres meses por Oriente Medio, ahora «condicional» [4, 5, 16]. El relevo en la presidencia (O'Higgins por Rinaldi, mayo de 2026) fue ordenado [40]. Hay un proceso formal de sucesión del CEO, sin candidato público [1]. El CEO vendió 106.000 acciones (3,8 M EUR) en mayo de 2026, antes del segundo recorte [41].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O'Higgins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Arnaud Pieton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y consejero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Alison Goligher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del consejo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(presidenta);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Arnaud Caudoux</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(designado por Bpifrance)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Simon Eyers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Colette Cohen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no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(presidenta);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Stephanie Cox</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no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Maëlle Gavet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no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Matthieu Malige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Luc Rémont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88,7 %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0,03 / ventas 3,80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HAL Trust (vía HAL Investments B.V.)</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industrial a largo plazo (holding neerlandés)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15,07 % en enero de 2024 (27,37 M de acciones), 20,01 % el 31-jul-2026 (incluido un 0,22 % potencial por opciones put) y 20,01 % en acciones directas (36,08 M) el 21-sep-2026 [37]; sin consejero en el consejo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Caisse des Dépôts (BPI Participations y CDC Croissance)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público francés; designa un consejero por el acuerdo de relación (derecho entre el 5 % y el 18 %)</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10,15 % en enero de 2024 (18,43 M de acciones) y 8,60 % el 7-may-2026 (15,33 M) [1, 37]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Wellington Management Group LLP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 (derechos de voto, sin interés en el capital declarado)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 ~3 % de los votos en 2023 al 5,11 % el 11-jun-2026 [37]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institucional (votos; 3,01 % del capital)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Oscila entre el 3 % y el 4,3 % de los votos desde julio de 2025; 3,39 % el 31-ago-2026 [37]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 (Technip Energies N.V.)</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 sin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5,46 M de acciones el 9-jun-2026 frente a 2,87 M a 31-dic-2025, por la recompra de 150 M EUR (4,25 M de acciones a 36,64 EUR, marzo-junio de 2026) [1, 5, 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Arnaud Pieton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Luc Rémont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devengó 4,90 M EUR en 2025: 0,945 M de fijo, 1,338 M de bonus (141,6 % del objetivo) y 2,351 M en acciones de rendimiento; el 75 % es variable [1]. El bonus pesa un 60 % en métricas financieras, un 25 % en ESG y un 15 % en objetivos individuales [1]. El plan a largo plazo (250 % del salario) mide a tres años el TSR relativo frente a diez competidores (37,5 %, nada bajo la mediana), el BPA ajustado (37,5 %) y ESG (25 %); el de 2022 se liquidó al 170,6 % [1]. Hay clawback y obligación de tener tres salarios en acciones [1]. El cese sin causa da un año de salario, más otro de salario y bonus por no competencia [45]. Ratio frente al empleado medio: 55 veces [1]. Votos a favor del informe: 93 % (2024), 88,73 % (2025) y 94,15 % (2026) [2, 42, 43].</w:t>
      </w:r>
    </w:p>
    <w:p>
      <w:pPr>
        <w:pStyle w:val="Heading2"/>
      </w:pPr>
      <w:r>
        <w:t xml:space="preserve">Operaciones vinculadas, estructura de control y defensas</w:t>
      </w:r>
    </w:p>
    <w:p>
      <w:pPr>
        <w:spacing w:after="100"/>
      </w:pPr>
      <w:r>
        <w:t xml:space="preserve">No hay accionista de control: HAL tiene el 20,01 % y Caisse des Dépôts (Bpifrance) el 8,60 % [37]. La empresa avisa de que ambos pueden frenar o forzar una venta [1]. Bpifrance designa un consejero mientras tenga entre el 5 % y el 18 % (Arnaud Caudoux, que la empresa califica de independiente y aquí se trata como dominical); HAL no tiene consejero [1, 38]. Una sola clase de acciones, un voto por acción y sin fundación de preferentes [1]. Pero los estatutos blindan al consejo: propuesta vinculante para nombrar consejeros, dos tercios de los votos y más del 50 % del capital para revocarla o destituir, estatutos solo modificables a propuesta del consejo, y 250 días de enfriamiento legal [1]. Las vinculadas son negocios corrientes con sociedades conjuntas [1]. En 12 meses, la AFM solo registra la venta del CEO y una compra simbólica de Rémont [41, 44].</w:t>
      </w:r>
    </w:p>
    <w:p>
      <w:pPr>
        <w:pStyle w:val="Heading2"/>
      </w:pPr>
      <w:r>
        <w:t xml:space="preserve">Señales de alerta</w:t>
      </w:r>
    </w:p>
    <w:p>
      <w:pPr>
        <w:pStyle w:val="ListParagraph"/>
        <w:numPr>
          <w:ilvl w:val="0"/>
          <w:numId w:val="2"/>
        </w:numPr>
        <w:spacing w:after="60"/>
      </w:pPr>
      <w:r>
        <w:t xml:space="preserve">HAL ha pasado del 15,07 % al 20,01 % entre enero de 2024 y septiembre de 2026 sin entrar en el consejo, y parte de la subida se hizo con opciones put; con Bpifrance suman ~28,6 % del capital [37, 38].</w:t>
      </w:r>
    </w:p>
    <w:p>
      <w:pPr>
        <w:pStyle w:val="ListParagraph"/>
        <w:numPr>
          <w:ilvl w:val="0"/>
          <w:numId w:val="2"/>
        </w:numPr>
        <w:spacing w:after="60"/>
      </w:pPr>
      <w:r>
        <w:t xml:space="preserve">El CEO vendió 106.000 acciones a 35,84 EUR (3,8 M EUR) el 21-may-2026, entre el primer recorte de guía (30-abr) y el segundo (30-jul) [5, 16, 41].</w:t>
      </w:r>
    </w:p>
    <w:p>
      <w:pPr>
        <w:pStyle w:val="ListParagraph"/>
        <w:numPr>
          <w:ilvl w:val="0"/>
          <w:numId w:val="2"/>
        </w:numPr>
        <w:spacing w:after="60"/>
      </w:pPr>
      <w:r>
        <w:t xml:space="preserve">Guía de 2026 rebajada dos veces por los sobrecostes en Oriente Medio y declarada «condicional»: margen EBITDA de Project Delivery de ~8 % a &gt; 5,0 % [4, 5, 16].</w:t>
      </w:r>
    </w:p>
    <w:p>
      <w:pPr>
        <w:pStyle w:val="ListParagraph"/>
        <w:numPr>
          <w:ilvl w:val="0"/>
          <w:numId w:val="2"/>
        </w:numPr>
        <w:spacing w:after="60"/>
      </w:pPr>
      <w:r>
        <w:t xml:space="preserve">Defensas estatutarias típicas de una N.V. neerlandesa (propuesta vinculante, mayoría reforzada para destituir, 250 días de enfriamiento), aunque sin acciones preferentes [1].</w:t>
      </w:r>
    </w:p>
    <w:p>
      <w:pPr>
        <w:pStyle w:val="ListParagraph"/>
        <w:numPr>
          <w:ilvl w:val="0"/>
          <w:numId w:val="2"/>
        </w:numPr>
        <w:spacing w:after="60"/>
      </w:pPr>
      <w:r>
        <w:t xml:space="preserve">El consejero designado por Bpifrance figura como independiente en el informe anual pese a representar a un accionista del 8,6 % [1, 38].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guía 2026 vigente es la «condicional» del 30-jul-2026, en NIIF ajustadas (JV proporcionales) y suponiendo que las condiciones de Oriente Medio no cambian en el segundo semestre [5]: Project Delivery, ingresos de 5.700-6.300 M (sin cambios desde la revisión anterior; en febrero eran 6.300-6.700 M [4]) y margen EBITDA recurrente superior al 5,0 % (antes 6,5-7,5 %); TPS, ingresos de 1.900-2.200 M y margen de ~15 % (antes ~14,5 %); costes corporativos de 65-75 M (antes 50-60 M, por el plan de acciones para empleados ESOP 2026, ~16 M sin caja); tipo efectivo del 30-32 % (antes 26-30 %) [5]. El marco a 2028 del Capital Markets Day de 2024 (Project Delivery &gt;6.000 M con margen ~8,5 %; TPS &gt;2.600 M con ~14,5 %; FCF acumulado 2024-2028 de 2.200-2.600 M; dividendo del 25-35 % del FCF sin circulante) no se ha actualizado públicamente [17]. Resultados 9M26 el 29-oct-2026.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17 analistas, 12-oct-2026 [48]; Simply Wall St (S&amp;P Global) da las mismas ventas (7.961 M) y beneficio (313 M) [51]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[48]; Simply Wall St: 9.186 M y 487 M [51]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[48]; Simply Wall St: 9.515 M y 561 M [51]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9.237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9.515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39,97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32,00 – 48,00</w:t>
            </w:r>
          </w:p>
        </w:tc>
      </w:tr>
    </w:tbl>
    <w:p>
      <w:pPr>
        <w:spacing w:after="160" w:before="0"/>
      </w:pPr>
    </w:p>
    <w:p>
      <w:pPr>
        <w:pStyle w:val="Heading2"/>
      </w:pPr>
      <w:r>
        <w:t xml:space="preserve">Revisiones de estimaciones</w:t>
      </w:r>
    </w:p>
    <w:p>
      <w:pPr>
        <w:spacing w:after="100"/>
      </w:pPr>
      <w:r>
        <w:t xml:space="preserve">El consenso se ha recortado dos veces en 2026. Tras el primer trimestre y el estallido del conflicto en Oriente Medio, el BPA 2026e bajó de 2,62 a 2,26 EUR y las ventas de 8.340 a 8.060 M (11-may) [51]. El primer semestre (30-jul) fue muy inferior a lo esperado: el EBITDA recurrente ajustado del 2T26 fue de 63,5 M frente a 152 M de consenso de la propia empresa (14 analistas) [5, 50]; el BPA 2026e cayó a 1,81 (ago) y hoy está en 1,765 EUR, un 22 % menos que en mayo [48, 51]. El 2027e ha resistido mejor (AlphaValue: −13,9 % en 2026 y −4,7 % en 2027 el 3-ago) [49]. El precio objetivo medio pasó de 44,18 a 41,06 EUR (10-ago) y hoy es 39,97 EUR [49, 51]. Cambios de recomendación: Goldman a Neutral (1-may), JP Morgan a Neutral (6-ago), RBC a Sobreponderar (10-sep) [49]. Solo hay una fuente gratuita con estimaciones completas: Simply Wall St reproduce las mismas cifras (mismo origen de datos), así que el contraste real es el del precio objetivo.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w:t>
            </w:r>
          </w:p>
        </w:tc>
      </w:tr>
    </w:tbl>
    <w:p>
      <w:pPr>
        <w:spacing w:after="160" w:before="0"/>
      </w:pPr>
    </w:p>
    <w:p>
      <w:pPr>
        <w:spacing w:after="100"/>
      </w:pPr>
      <w:r>
        <w:t xml:space="preserve">Hasta 2025 la acción batió con holgura al Stoxx Europe 600 (rentabilidad total de +18,7 %, +48,2 %, +24,5 % y +29,8 % en 2022-2025 frente a −10,3 %, +15,5 %, +8,5 % y +20,5 %) [46]. En 2026 se ha dado la vuelta: −7,8 % en el año y −18,8 % en doce meses, frente a +9,3 % y +15,0 % del índice y +44,6 % y +54,7 % del sector de petróleo y gas (EXH1.DE), que se ha beneficiado de la crisis del estrecho de Ormuz [5, 46]. La misma crisis castiga a Technip Energies por el lado de los costes de sus proyectos en Oriente Medio: marcó máximo de 52 semanas el 9-abr-2026 (41,58 EUR), cayó un 9,7 % el día de los resultados semestrales (30-jul), con el recorte de la guía de margen de Project Delivery, y tocó mínimo el mismo día (26,94 EUR) [5, 46]. Cotiza hoy un 30 % por debajo del máximo. Datos al cierre del 9-oct-2026: la sesión del 12-oct no había cerrado a la fecha de corte [46]. La única posición corta publicada por encima del 0,5 % es la de Capital Fund Management (0,81 % a 5-oct-2026, abierta desde agosto) [54].</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Precios de cierre del último día hábil de cada ejercicio (Yahoo Finance) [46]. Technip Energies empezó a cotizar en febrero de 2021 tras su separación de TechnipFMC, así que no hay serie anterior. Entre el cierre de 2021 (12,82 EUR) y el de 2025 (32,48 EUR) la cotización se multiplicó por 2,5 mientras el beneficio neto atribuido pasaba de 245 a 364 M [46, 51]: la expansión de múltiplos explica buena parte de la subida, y la caída de 2026 la ha devuelto en parte.</w:t>
      </w:r>
    </w:p>
    <w:p>
      <w:pPr>
        <w:pStyle w:val="Heading1"/>
      </w:pPr>
      <w:r>
        <w:t xml:space="preserve">18. Comparables cotizados</w:t>
      </w:r>
    </w:p>
    <w:p>
      <w:pPr>
        <w:pStyle w:val="Confianza"/>
        <w:spacing w:after="100"/>
      </w:pPr>
      <w:r>
        <w:t xml:space="preserve">Confianza: Media</w:t>
      </w:r>
    </w:p>
    <w:p>
      <w:pPr>
        <w:spacing w:after="100"/>
      </w:pPr>
      <w:r>
        <w:t xml:space="preserve">Contratistas de ingeniería y construcción energética con exposición a GNL, gas, refino y química, cotizados y con consenso a tres años en MarketScreener: Saipem y Técnicas Reunidas (Europa, EPC de petróleo, gas y química), KBR y Fluor (EE. UU.; KBR por su tecnología y servicios), JGC y Samsung E&amp;A (los grandes EPC asiáticos de GNL y química), Worley (ingeniería y servicios) y Aker Solutions (ingeniería y servicios en alta mar) [55, 56, 57, 58, 59, 60, 61, 62]. Chiyoda queda fuera por pérdidas y patrimonio negativo reciente; McDermott no cotiza; Subsea7 se está fusionando con Saipem.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Technip Energies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Saipem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Técnicas Reunidas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KBR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JGC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Samsung E&amp;A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Worley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Aker Solutions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 / 5,3x / 6,5x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 / 5,3x / 6,5x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 / 11,3x / 13,3x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 / 0,4x / 0,6x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5,5 + 0,05 × crecimiento; R² = 0,07. El crecimiento explica poco los múltiplos de estos comparables (R² &lt; 0,3): la regresión no se usa en la valoración.</w:t>
      </w:r>
    </w:p>
    <w:p>
      <w:pPr>
        <w:spacing w:after="100"/>
      </w:pPr>
      <w:r>
        <w:t xml:space="preserve">Datos de MarketScreener del 12-oct-2026 (precio de cierre, acciones, ventas, EBITDA, beneficio, deuda neta y FCF del mismo proveedor) [55, 56, 57, 58, 59, 60, 61, 62], convertidos a euros con el cambio del BCE del 9-oct-2026 [63]. Estimación propia: los últimos 12 meses aproximan oct-25 a sep-26 (25 % del último ejercicio cerrado y 75 % del estimado en curso; Worley, ejercicio a junio, 75/25 de FY26 real y FY27e; JGC, ejercicio a marzo, 50/50) y los próximos 12 meses, oct-26 a sep-27 con la misma regla; valor empresa = capitalización + deuda neta del último cierre según MarketScreener (sin minoritarios; su deuda neta no siempre incluye arrendamientos). Medianas: EV/EBITDA 5,3x en ambos, PER NTM 11,4x, EV/ventas 0,44x, margen EBITDA 8,4 %, crecimiento 3,2 %. Fluor: sin múltiplos LTM porque su EBITDA de 2025 fue negativo (−299 M USD por cargos de proyectos) y su valor incluye la participación en NuScale. Aker Solutions encoge las ventas un 21 % por el fin de grandes proyectos. Technip Energies a 29,14 EUR: capitalización de ~5.070 M y caja neta ajustada de ~3.420 M; con ella su EV/EBITDA NTM ronda 2,4x, en el rango de JGC (2,7x), el otro gran EPC de GNL con mucha prefinanciación de clientes.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Advanced Materials &amp; Catalysts (Ecovyst)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Technip Energies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556 M USD por catalizadores y sílices (incluye el 50 % de Zeolyst); ventas de 223 M USD y EBITDA de 57 M USD en 2024, ajustado por costes independientes y pagos en acciones [64]. Cerrada en el 4T25 [4].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Chart Industries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Baker Hughes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210 USD por acción; valor empresa de 13.600 M USD; ventas de 4.200 M USD y EBITDA ajustado de 1.000 M USD en 2024. La empresa solo publica ~9x el EBITDA de consenso de 2025 con todas las sinergias: no comparable con los demás. Equipos criogénicos y de GNL, no EPC [65].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tecnología y equipos de proceso de GNL de Air Products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Honeywell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1.810 M USD en efectivo, ~13x el EBITDA estimado de 2024; intercambiadores criogénicos bobinados para licuefacción [66]. Tecnología de GNL comparable con el segmento TPS.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Environment &amp; Infrastructure de John Wood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WSP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1.810 M USD brutos, 1.610 M netos del valor actual de un beneficio fiscal de 200 M; 14,6x el EBITDA ajustado estimado de 2022 antes de NIIF 16 (11,5x con sinergias). Ingeniería medioambiental y de infraestructuras: consultoría, no EPC [67].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2018-10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Chemicals &amp; Resources de Jacobs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WorleyParsons (hoy Worley)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3.300 M USD (2.600 M en efectivo y 700 M en acciones de WorleyParsons); «más de 11,5 veces» el EBITDA ajustado de los últimos 12 meses según Jacobs. Ingeniería y servicios para energía y química, el más parecido al negocio de servicios de Technip Energies [68].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12,3x (11,1x – 13,4x)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44,69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41,85 – 47,47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Valores empresa convertidos a euros con el cambio del BCE del 9-oct-2026 (1,1206 USD/EUR) [63], no con el de cada fecha. Los múltiplos pagados por negocios de ingeniería y tecnología energética (9,8-14,6x EBITDA) son de dos a cinco veces el EV/EBITDA al que cotizan los EPC (mediana de 5,3x) y Technip Energies (~2,4x con su caja neta): el mercado paga la tecnología y los servicios, no la construcción a precio cerrado. Technip Energies ha sido compradora (AM&amp;C a 9,8x), no objetivo. HAL (18,3 %) y Bpifrance (9,98 %) suman casi un 29 % estable [1], lo que hace improbable una OPA hostil; la caja neta de 3.400 M sería atractiva para un comprador, pero es en su mayor parte anticipos de clientes. No se han encontrado OPA sobre contratistas EPC cotizados con prima y múltiplo publicados en 2019-2026: la compra de Wood Group por Sidara (2025) fue la de una empresa en dificultades financieras y la fusión Saipem-Subsea7 (2025), un canje de acciones; no se han verificado sus cifras en documentos originales.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+8,0 % (fijo): el 1S26 creció un 0,2 % y la guía condicional del 30-jul pide 7.600-8.500 M de ingresos ajustados (Project Delivery 5.700-6.300 M y TPS 1.900-2.200 M); tomamos 7.780 M, por debajo del punto medio y del consenso (7.961 M), porque nuestra cifra ya exige que el 2S crezca un 17 % (el punto medio de la guía, un 24 %) con obras paradas en Oriente Medio [5, 48]. 2027e +12,0 % (consenso +15,4 %): la cartera récord de 25.035 M, con 14.413 M ejecutables desde 2028, sostiene el salto de Commonwealth LNG y Coral Norte [5]. Después +6 %, +2 %, 0 % y +2-2,5 %: la ola de GNL aprobada en 2025 (68,4 Mtpa) se ejecuta en 2027-2029 y no damos por hecha una segunda [20].</w:t>
      </w:r>
    </w:p>
    <w:p>
      <w:pPr>
        <w:keepNext/>
        <w:spacing w:after="100"/>
      </w:pPr>
      <w:r>
        <w:rPr>
          <w:b/>
          <w:bCs/>
        </w:rPr>
        <w:t xml:space="preserve">Márgenes.</w:t>
      </w:r>
    </w:p>
    <w:p>
      <w:pPr>
        <w:spacing w:after="100"/>
      </w:pPr>
      <w:r>
        <w:t xml:space="preserve">Margen EBITDA NIIF sin participadas: 10,3 % en 2021, 10,1 % en 2022, 9,1 % en 2023 (con 337,2 M de ajustes favorables de grado de avance), 8,3 % en 2024 y 7,6 % en 2025 (con 80,7 M de no recurrentes) [1, 3]. 2026e 5,8 %, coherente con la guía (Project Delivery &gt;5 %, TPS ~15 %) menos no recurrentes [48]. 2027e-2028e 7,4-7,8 %: recuperación sin volver al 8,5 % del plan de 2024 para Project Delivery [17]; largo plazo 7,5 %, por debajo de la media 2021-2025 y por encima de Saipem y Técnicas Reunidas (4,4-4,5 % de margen EBIT), en línea con un contratista con un 25 % de TPS [28, 29].</w:t>
      </w:r>
    </w:p>
    <w:p>
      <w:pPr>
        <w:keepNext/>
        <w:spacing w:after="100"/>
      </w:pPr>
      <w:r>
        <w:rPr>
          <w:b/>
          <w:bCs/>
        </w:rPr>
        <w:t xml:space="preserve">Inversión y circulante.</w:t>
      </w:r>
    </w:p>
    <w:p>
      <w:pPr>
        <w:spacing w:after="100"/>
      </w:pPr>
      <w:r>
        <w:t xml:space="preserve">Capex del 2,2 % de las ventas, que incluye las altas de derechos de uso (capex de 89,4 M y pagos de arrendamientos de 77,4 M en 2025, 2,3 % en total); amortización del 1,8 % (1,7 % en 2025, más la asignación del precio de AM&amp;C) [1]. Circulante (clientes más activos por contrato menos proveedores y pasivos por contrato): −51,8 % de las ventas en 2021, −46,6 % en 2025 y −54 % sobre el LTM de junio. Lo llevamos de −46 % en 2026e a −30 % en 2032e: la intensidad de anticipos baja a medida que se consumen los de los grandes contratos y pesa más TPS. Es la hipótesis que más valor mueve; la explicamos en el puente [1, 5].</w:t>
      </w:r>
    </w:p>
    <w:p>
      <w:pPr>
        <w:keepNext/>
        <w:spacing w:after="100"/>
      </w:pPr>
      <w:r>
        <w:rPr>
          <w:b/>
          <w:bCs/>
        </w:rPr>
        <w:t xml:space="preserve">Coste del capital.</w:t>
      </w:r>
    </w:p>
    <w:p>
      <w:pPr>
        <w:spacing w:after="100"/>
      </w:pPr>
      <w:r>
        <w:t xml:space="preserve">Tasa libre: Bund a 10 años del 3,53 % (Bundesbank, 9-oct-2026) [52]. Beta 0,90: la mensual a 5 años ajustada frente al Stoxx 600; la semanal a 2 años da 0,91 y la de 5 años 1,10 [46]. Prima de mercado del 5,5 % y prima adicional de 1 punto por concentración (cinco clientes son el 82 % de la cartera) y por el riesgo de los contratos a precio cerrado en Oriente Medio [1]. Coste de la deuda del 4,0 %, el cupón del bono a 2033 emitido en junio [5]; peso de la deuda del 10 %, porque la empresa tiene caja neta. Resultado: coste de los fondos propios del 9,48 % y WACC del 8,82 %.</w:t>
      </w:r>
    </w:p>
    <w:p>
      <w:pPr>
        <w:keepNext/>
        <w:spacing w:after="100"/>
      </w:pPr>
      <w:r>
        <w:rPr>
          <w:b/>
          <w:bCs/>
        </w:rPr>
        <w:t xml:space="preserve">Valor terminal.</w:t>
      </w:r>
    </w:p>
    <w:p>
      <w:pPr>
        <w:spacing w:after="100"/>
      </w:pPr>
      <w:r>
        <w:t xml:space="preserve">Gordon con un crecimiento del 2,0 % en euros: inflación del 2 % y crecimiento real nulo, por debajo del Bund menos medio punto (3,03 %) y coherente con un mercado cíclico cuya capacidad crece un 4-6 % anual [20]. El valor terminal pesa el 70 % del valor de empresa. El múltiplo de salida de referencia (5,5x EBITDA) está en la mediana de los comparables (5,3x) [48].</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64,92</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 M (21 %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 (ROIC -68,8 %)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 (histórico: -10,1 %)</w:t>
            </w:r>
          </w:p>
        </w:tc>
      </w:tr>
    </w:tbl>
    <w:p>
      <w:pPr>
        <w:spacing w:after="160" w:before="0"/>
      </w:pPr>
    </w:p>
    <w:p>
      <w:pPr>
        <w:spacing w:after="100"/>
      </w:pPr>
      <w:r>
        <w:t xml:space="preserve">La proyección reinvierte el 21 % del NOPAT. Con el ROIC del último ejercicio (-68,8 %), eso financia un crecimiento del -14,7 % anual, frente al 4,4 % de ingresos proyectado. Supone que el capital nuevo rinde un 16,8 %, frente a un ROIC incremental histórico del -10,1 %.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ejecución de North Field South y West, Ruwais y arranque de Commonwealth, con la cartera de 25.035 M [5]. Otros: AM&amp;C, consolidada desde el 31-dic-25 (estimación propia: ~2 puntos, con el EBITDA implícito en 496 M a 9,8x) [64]. Precio: revisiones contractuales menores.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Pico de ejecución de Commonwealth LNG y Coral Norte, y recuperación de lo diferido en 2026 (500-600 M más allá de 2026 según el 1T26) [5,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14.413 M de la cartera de junio se ejecutan desde 2028 [5]; TPS crece hacia los &gt;2.600 M del plan de 2024 [17].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Meseta: la ola de aprobaciones de 2025 se termina y hace falta reponer cartera [20].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prudente de ciclo: sin una nueva ola de GNL las ventas no crecen; TPS compensa en parte.</w:t>
            </w:r>
          </w:p>
        </w:tc>
      </w:tr>
    </w:tbl>
    <w:p>
      <w:pPr>
        <w:spacing w:after="160" w:before="0"/>
      </w:pPr>
    </w:p>
    <w:p>
      <w:pPr>
        <w:spacing w:after="100"/>
      </w:pPr>
      <w:r>
        <w:rPr>
          <w:b/>
        </w:rPr>
        <w:t xml:space="preserve">En parte.</w:t>
      </w:r>
      <w:r>
        <w:t xml:space="preserve"> El crecimiento de 2026-2028 está en la cartera (25.035 M, 3,4 años de ventas) y no exige capital: la empresa trabaja con capital invertido negativo y los clientes financian la obra, así que la prueba del ROIC no sirve y la de cuota no se puede hacer con un mercado medido en Mtpa (cuota del 25 % de la capacidad instalada de licuefacción y más del 35 % de la que está en construcción) [1]. Lo que no está demostrado es el margen: el poder de precios en el tanto alzado es limitado y el 1S26 obligó a provisionar costes que dependen de negociar con el cliente [5]. Por eso el caso base queda por debajo de la guía y del consenso en ventas y en margen, y después de 2028 supone una meseta.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 (base: 3,9 %)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 (base: 7,5 %)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 (WACC: 8,8 %)</w:t>
            </w:r>
          </w:p>
        </w:tc>
      </w:tr>
    </w:tbl>
    <w:p>
      <w:pPr>
        <w:spacing w:after="160" w:before="0"/>
      </w:pPr>
    </w:p>
    <w:p>
      <w:pPr>
        <w:spacing w:after="100"/>
      </w:pPr>
      <w:r>
        <w:t xml:space="preserve">El DCF da 44,41 EUR por acción con un WACC del 8,82 % y un valor terminal que pesa el 70 %. La caja explica buena parte: el valor de empresa es de 5.105 M y la deuda neta con arrendamientos, −2.863 M. </w:t>
      </w:r>
      <w:r>
        <w:rPr>
          <w:b/>
        </w:rPr>
        <w:t xml:space="preserve">El DCF inverso es la clave</w:t>
      </w:r>
      <w:r>
        <w:t xml:space="preserve">: a 29,14 EUR el precio descuenta un crecimiento anual del −0,7 % en 2027e-2033e frente al 3,9 % del caso base, o un margen EBITDA del 4,6 % frente al 7,5 %, o una rentabilidad anual del 15,5 % frente a un WACC del 8,82 %. Es decir, el mercado valora la empresa como si el margen del peor semestre de su historia (5,8 % ajustado en el 1S26) fuera permanente o como si los anticipos fueran deuda. Ninguna de las dos lecturas encaja con la historia: margen del 7,6-10,3 % en 2021-2025 y pasivo neto por contrato estable entre el 47 % y el 52 % de las ventas durante cinco años [1]. Incluso restando como deuda toda la caja que la empresa asocia a proyectos (−10,50 EUR), el DCF quedaría en ~34 EUR, por encima del precio. Lo exigente no es el precio, es la ejecución en Oriente Medio.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conflicto en Oriente Medio se alarga, North Field East sigue parada y las reclamaciones no se cobran: margen de Project Delivery en el 3-4 % dos años, ventas de 2027 planas y una ola de GNL que no se repite, con lo que los anticipos se consumen sin reponerse. Ya le pasó a Chiyoda con Golden Pass y a Fluor en 2025 [27, 31].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condicional de 2026 se cumple, la cartera de 25.035 M se ejecuta en 2027-2028 con márgenes de recuperación (7,4-7,8 %) sin volver al plan de 2024, y la intensidad de anticipos se normaliza.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reclamaciones de Oriente Medio se recuperan, TPS y AM&amp;C suben el margen hacia el 8,5 % y una segunda ola de aprobaciones de GNL (EE. UU., Mozambique) repone cartera después de 2028.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29,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41,02 EUR (+40,8 %).</w:t>
      </w:r>
    </w:p>
    <w:p>
      <w:pPr>
        <w:spacing w:after="100"/>
      </w:pPr>
      <w:r>
        <w:t xml:space="preserve">La asimetría es de 3,43x: el alcista vale 56,53 EUR (+94,0 %) y el bajista 21,16 EUR (−27,4 %). El bajista no es cosmético: recorta 12 puntos el crecimiento y 3,5 puntos el margen de 2027 y 3 y 2 puntos el resto de los años, y al encoger las ventas devuelve anticipos; aun así queda solo un 21 % por debajo del mínimo de 52 semanas (26,94 EUR) [46]. Lo que compensa es que el precio ya descuenta un crecimiento negativo: el bajista está más cerca del precio que el alcista.</w:t>
      </w:r>
    </w:p>
    <w:p>
      <w:pPr>
        <w:pStyle w:val="Heading1"/>
      </w:pPr>
      <w:r>
        <w:t xml:space="preserve">22. Suma de partes</w:t>
      </w:r>
    </w:p>
    <w:p>
      <w:pPr>
        <w:pStyle w:val="Confianza"/>
        <w:spacing w:after="100"/>
      </w:pPr>
      <w:r>
        <w:t xml:space="preserve">Confianza: Baja</w:t>
      </w:r>
    </w:p>
    <w:p>
      <w:pPr>
        <w:spacing w:after="100"/>
      </w:pPr>
      <w:r>
        <w:t xml:space="preserve">TPS (licencias, catalizadores, consultoría y equipos) tiene un margen EBIT del 9,4 % y menos riesgo que Project Delivery (6,4 %) [1]: la suma de partes da 34,89 EUR con EBIT de 2025 y caja del puente. Pesa un 10 % porque los múltiplos por segmento son estimación propia y el EBIT de 2025 no recoge aún el deterioro de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Project Delivery</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2025 (NIIF)</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2.088</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Contratistas EPC cotizados (Saipem, Técnicas Reunidas, JGC, Samsung E&amp;A) cotizan a 5,3x EBITDA de mediana; a EV/EBIT, unas 6 veces [48].</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Technology, Products &amp; Services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2025 (NIIF)</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de proceso, catalizadores y servicios: Honeywell pagó 13x EBITDA por la tecnología de GNL de Air Products y TE 9,8x por AM&amp;C; 12x EBIT es la zona media [64, 66].</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no asignable</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 2025 (NIIF)</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centrales no asignados, al múltiplo medio ponderado de los dos negocios.</w:t>
            </w:r>
          </w:p>
        </w:tc>
      </w:tr>
    </w:tbl>
    <w:p>
      <w:pPr>
        <w:spacing w:after="160" w:before="0"/>
      </w:pPr>
    </w:p>
    <w:p>
      <w:pPr>
        <w:spacing w:after="100"/>
      </w:pPr>
      <w:r>
        <w:rPr>
          <w:b/>
          <w:bCs/>
        </w:rPr>
        <w:t xml:space="preserve">Valor por acción por suma de partes:</w:t>
      </w:r>
      <w:r>
        <w:t xml:space="preserve"> 34,89 (+19,7 %); con ±1x en los múltiplos, 31,92 – 37,87.</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29,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spacing w:after="100"/>
      </w:pPr>
      <w:r>
        <w:rPr>
          <w:b/>
          <w:bCs/>
        </w:rPr>
        <w:t xml:space="preserve">Valor objetivo ponderado:</w:t>
      </w:r>
      <w:r>
        <w:t xml:space="preserve"> 39,94 EUR (+37,1 % sobre 29,14).</w:t>
      </w:r>
    </w:p>
    <w:p>
      <w:pPr>
        <w:spacing w:after="100"/>
      </w:pPr>
      <w:r>
        <w:rPr>
          <w:b/>
        </w:rPr>
        <w:t xml:space="preserve">Puente en NIIF a 30-jun-2026</w:t>
      </w:r>
      <w:r>
        <w:t xml:space="preserve">: deuda financiera 1.350,9 M (bonos de 600 M a 2028 y de 500 M a 2033), arrendamientos 276,5 M, caja 4.490,4 M, minoritarios 35,3 M, pensiones 67,5 M (88,9 M netas de un 25 % de impuestos), participadas 327,1 M a valor contable [1, 5]. </w:t>
      </w:r>
      <w:r>
        <w:rPr>
          <w:b/>
        </w:rPr>
        <w:t xml:space="preserve">Anticipos (regla del puente)</w:t>
      </w:r>
      <w:r>
        <w:t xml:space="preserve">: los pasivos por contrato (4.158,3 M frente a 340,5 M de activos por contrato) se compensan con la ejecución de cada contrato y no se devuelven en caja, así que son circulante y no deuda; el DCF los lleva en el circulante y proyecta que su peso baje del −46 % de las ventas en 2026e al −30 % en 2032e, lo que devuelve unos 1.000 M de caja entre el pico de junio y 2033. Además, la subida del pasivo neto por contrato en el primer semestre (de 3.356,8 a 3.817,8 M, +461 M) es caja de anticipos que la caja del puente ya cuenta y que el DCF no ve: va en otros_ajustes, −2,65 EUR por acción [1, 5]. </w:t>
      </w:r>
      <w:r>
        <w:rPr>
          <w:b/>
        </w:rPr>
        <w:t xml:space="preserve">Sensibilidad</w:t>
      </w:r>
      <w:r>
        <w:t xml:space="preserve">: si además se restara como deuda la caja que la propia empresa asocia a proyectos (1.827,5 M a dic-25: caja neta ajustada de 2.827,5 M frente a ~1.000 M «libres») el valor bajaría 10,50 EUR por acción; si se restara todo el pasivo neto por contrato, 21,93 EUR [4]. </w:t>
      </w:r>
      <w:r>
        <w:rPr>
          <w:b/>
        </w:rPr>
        <w:t xml:space="preserve">Pesos</w:t>
      </w:r>
      <w:r>
        <w:t xml:space="preserve">: DCF 45 %, comparables 25 %, escenarios 15 %, suma de partes 10 % y transacciones 5 % (llevan prima de control y HAL, con el 20,01 %, no ha pedido consejo ni lanzado oferta [37]). Los métodos van de 32,32 (comparables) a 44,69 EUR (transacciones): todos por encima del precio de 29,14 EUR.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nueve meses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 guía condicional (margen de Project Delivery &gt;5 %) y del avance de las reclamaciones en Oriente Medio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Confirmaría o no la recuperación del margen hacia el 7-8 % que supone el consenso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Reanudación de North Field East y reapertura de Ormuz</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Liberaría ingresos diferidos y permitiría revertir provisiones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aprobaciones de capacidad de GNL (EE. UU., África)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Reposición de cartera y de anticipos para 2029-2030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 dividendo y recompras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 ~1 EUR (3,4 %) y posible nueva recompra con la caja libre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12-18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Movimientos de HAL (20,01 %)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oferta o un consejero cambiarían la lectura de control; HAL ha subido desde el 15,07 % en 2024 [37]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Oriente Medio: obras paradas y reclamaciones sin cobrar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 / 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con cláusulas de fuerza mayor; 75 % de los pedidos de 24 meses fuera de la región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Project Delivery por debajo del 5 % en los 9M26 o nuevas provisiones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Los anticipos se consumen sin reponerse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 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−10,50 EUR por acción si la caja asociada a proyectos fuera deuda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25.035 M con anticipos recientes de Commonwealth y Coral Norte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Pasivo neto por contrato por debajo de 3.000 M o book-to-bill &lt; 0,8 dos semestres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Sobrecoste en un gran contrato a precio cerrado (Commonwealth, Coral Norte)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−20 % (un año de EBIT)</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sin grandes pérdidas desde 2021; parte de la cartera reembolsable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 grado de avance negativas; provisiones de cierre de contratos al alza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ciclo de GNL: sobreoferta en 2027-2030 frena las aprobaciones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Sector</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(ventas planas desde 2028)</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TPS y descarbonización (25 % del EBIT); cuota del 35 % en lo que se construye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Aprobaciones anuales de capacidad por debajo de 20 Mtpa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Incluido en los anteriores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estatales y majors con relación repetida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en la cartera de QatarEnergy</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blindajes estatutarios y venta del primer ejecutivo antes del segundo recorte de guía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Prima de riesgo (no modelado)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 de consejeros independientes; voto a favor de la remuneración del 94,15 % en 2026 [43]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ventas de directivos o rotación del director financiero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 la caja y divisa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 a −2 %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financiero positivo de 109,9 M en 2025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Bajadas de tipos del BCE y de la Fed</w:t>
            </w:r>
          </w:p>
        </w:tc>
      </w:tr>
    </w:tbl>
    <w:p>
      <w:pPr>
        <w:spacing w:after="160" w:before="0"/>
      </w:pPr>
    </w:p>
    <w:p>
      <w:pPr>
        <w:pStyle w:val="Heading2"/>
      </w:pPr>
      <w:r>
        <w:t xml:space="preserve">Pre-mortem</w:t>
      </w:r>
    </w:p>
    <w:p>
      <w:pPr>
        <w:spacing w:after="100"/>
      </w:pPr>
      <w:r>
        <w:t xml:space="preserve">Es octubre de 2029 y la acción vale 17 EUR. El conflicto del Golfo no se cerró en 2026: North Field East estuvo parada dieciocho meses y QatarEnergy se negó a pagar la mayor parte de los costes extra, que acabaron en un arbitraje. Technip Energies provisionó otros 250 M en 2027. A la vez, Commonwealth LNG, el mayor contrato de su historia, sufrió la inflación de mano de obra de la costa del Golfo de EE. UU. y su margen se quedó en el 3 %. Las aprobaciones de GNL se frenaron en 2027-2028 porque la capacidad que entraba hundía el precio del gas, y la entrada de pedidos cayó a la mitad de las ventas. Con menos pedidos, los anticipos se consumieron: el pasivo neto por contrato pasó de 3.800 M a 2.000 M y la caja neta, de 3.100 M a 1.200 M, justo lo que la empresa llamaba caja «asociada a proyectos». El mercado dejó de pagar por la caja y el múltiplo se quedó en 4x un EBITDA más bajo. Lo habrían anticipado tres indicadores: el margen de Project Delivery de los 9M26 por debajo del 5 %, un book-to-bill por debajo de 0,8 dos semestres seguidos y el pasivo neto por contrato cayendo más rápido que las ventas.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Platino (1 % mejor)</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2025-11</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64/100; miembro del Sustainability Yearbook</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CDP Clima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Las calificaciones son altas para un contratista de petróleo y gas (MSCI AAA, EcoVadis Platino) [35]. Tres asuntos mueven las cifras. </w:t>
      </w:r>
      <w:r>
        <w:rPr>
          <w:b/>
        </w:rPr>
        <w:t xml:space="preserve">Seguridad en obra</w:t>
      </w:r>
      <w:r>
        <w:t xml:space="preserve">: la frecuencia de accidentes registrables (TRIR) bajó a 0,13 en 2025 desde 0,16, sin víctimas mortales, y forma parte de la remuneración variable [1]. </w:t>
      </w:r>
      <w:r>
        <w:rPr>
          <w:b/>
        </w:rPr>
        <w:t xml:space="preserve">Emisiones de los clientes</w:t>
      </w:r>
      <w:r>
        <w:t xml:space="preserve">: las propias son pequeñas (las de alcance 1 y 2 han bajado un 46 % desde 2021), pero lo relevante es el alcance 3 de las plantas que diseña; la empresa estima que sus proyectos de captura de CO2 evitaron 15,6 MtCO2eq en 2025 y se fija 18 MtCO2eq anuales y un 80 % de adjudicaciones con tecnología de descarbonización o circularidad para 2030 [1]. </w:t>
      </w:r>
      <w:r>
        <w:rPr>
          <w:b/>
        </w:rPr>
        <w:t xml:space="preserve">Taxonomía europea</w:t>
      </w:r>
      <w:r>
        <w:t xml:space="preserve">: la ingeniería y construcción no figura como actividad elegible, así que su negocio principal queda fuera, y solo el 7,2 % del capex de 2025 está alineado (20,5 % en 2024), lo que puede limitar su peso en fondos de sostenibilidad [1].</w:t>
      </w:r>
    </w:p>
    <w:p>
      <w:pPr>
        <w:pStyle w:val="Heading2"/>
      </w:pPr>
      <w:r>
        <w:t xml:space="preserve">Controversias</w:t>
      </w:r>
    </w:p>
    <w:p>
      <w:pPr>
        <w:spacing w:after="100"/>
      </w:pPr>
      <w:r>
        <w:t xml:space="preserve">En los últimos tres años no hay condenas ni multas por corrupción (0 en 2024 y 2025) [1]. Las investigaciones heredadas de Technip S.A. (Brasil, Ghana, Guinea Ecuatorial y Unaoil) quedaron en TechnipFMC: pagó 301,3 M USD en 2019, el caso del Departamento de Justicia de EE. UU. se cerró en enero de 2023 y la investigación de la fiscalía financiera francesa seguía abierta, con una provisión de 70 M USD en TechnipFMC [34]. El acuerdo de escisión reparte indemnizaciones entre las dos empresas, y Technip Energies advierte de que podría tener que asumir pérdidas temporalmente [1]. La salida de Arctic LNG 2 (Rusia) se completó en 2023 y aún hay provisiones de cierre de proyectos que la incluyen [1, 7].</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Reclamaciones en Oriente Medio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importe de costes y reclamaciones está pendiente de negociar con QatarEnergy y cuánto está ya provisionado?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margen de 2026 (&gt;5 %) es un suelo o si hay más provisiones; mueve el valor más que cualquier otra hipótesis.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asociada a proyectos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calcula la empresa los ~1.000 M de caja neta «libre» y cuánto de la caja de junio de 2026 está comprometido con proyectos?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diferencia con la caja contable (−10,50 EUR por acción) es la mayor incertidumbre del puente.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North Field East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obra está suspendida, quién paga la suspensión y qué calendario de reanudación maneja el cliente?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los 500-600 M de ingresos diferidos y el riesgo de nuevos retrasos.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Commonwealth LNG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contrato es a precio cerrado y qué protecciones hay frente a la inflación de mano de obra en EE. UU.?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mayor contrato de la cartera y el motor del crecimiento de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Objetivos de 2028</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¿Sigue vigente el marco del Capital Markets Day de 2024 (Project Delivery ~8,5 % y TPS &gt;2.600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queda por debajo; si la empresa lo mantiene, el alcista gana probabilidad.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del primer ejecutivo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vendió el primer ejecutivo 106.000 acciones el 21-may-2026, entre los dos recortes de guía?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de gobierno; condiciona la credibilidad de la guía condicional [41].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intención tiene HAL tras pasar del 20 % y por qué no tiene consejero?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accionista que sube con la acción en mínimos puede preparar una oferta o pedir influencia.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TE (listado de hilos)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38 hilos desde julio. Los picos de actividad son el 30 de julio (caída tras el 1S26) y el 1-2 de septiembre (rumor de SpaceX). En octubre la conversación es escasa y algo más constructiva [69].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hilos de la caída del 30 de julio (riesgo en Oriente Medio y carácter defensivo)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culpan al empantanamiento de la guerra en Oriente Medio y a su efecto en la caja; otros compran por tramos en la caída y la ven coyuntural. Hay mucho ruido y discusiones personales [70, 71].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hilo de la rebaja de JPMorgan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foreros ironizan sobre la rebaja a neutral y la contraponen a la cartera de pedidos. Ligan la vuelta a niveles previos al fin del conflicto con Irán [74, 79].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y ABC Bourse, hilos del rumor de SpaceX</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Euforia de un día por la supuesta candidatura a un contrato de combustible para SpaceX en Luisiana y decepción al día siguiente, cuando la prensa informó de que se elegía a un rival estadounidense. La empresa no hizo comentarios [72, 75, 76].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ABC Bourse, hilo sobre la rebaja de previsiones tras un primer semestre perturbado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foreros ven desproporcionada la caída del día de resultados, la atribuyen en parte a las posiciones cortas y apuestan por un rebote si se resuelve el conflicto [77].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ABC Bourse, hilo de noticias y recomendaciones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refuerzos de posición en la zona baja. Se comparte una página de Investir que presenta el valor como una ganga por su caja neta y sus múltiplos bajos, con alguna reserva técnica [78].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Boursorama, hilo de los tres factores positivos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citan como motivos de recuperación el dólar fuerte, el rendimiento de la tesorería y la normalización de la logística de equipos. Los más prudentes esperan a los resultados del 29 de octubre y piden más información sobre Oriente Medio [73].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Sobrecostes y retrasos en Oriente Medio tras el 1S26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núcleo del recorte de la guía de margen de Project Delivery que justificó la rebaja de JPMorgan. El banco espera recuperar parte de los sobrecostes por vía contractual, pero sin calendario [79]. Los foreros lo tratan como algo temporal; el informe debe contrastarlo con el desglose de la guía de 2026 y con las reclamaciones pendientes del 1S26.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Reacción excesiva de la cotización y compra en la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Muchos particulares promedian a la baja y ven el castigo desproporcionado frente a la cartera [71, 77, 78]. Su tesis de recuperación depende de un factor externo (el fin del conflicto), no de algo que controle la empresa. Hay que comprobar con el DCF inverso del informe qué margen descuenta el precio.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y caja neta como colchón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argumento más repetido contra la rebaja de los analistas [74, 77, 78]. Las cifras de cartera y caja que circulan en los foros no se usan: deben salir de la presentación del 1S26. Una cartera grande no protege el margen si los contratos con sobrecostes son a precio cerrado.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Rumor de contrato con SpaceX (Luisiana)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un rumor de prensa no confirmado, que la prensa dio por perdido al día siguiente; la empresa no hizo comentarios [72, 75, 76]. No debe entrar en la valoración: solo muestra que el valor reacciona con fuerza a los titulares de grandes adjudicaciones.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y rendimiento de la tesorería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argumento de los últimos días [73]: un dólar fuerte favorece la conversión de los ingresos y la caja rinde más. Su efecto real debe medirse con la sensibilidad al tipo de cambio y con el resultado financiero de las cuentas.</w:t>
            </w:r>
          </w:p>
        </w:tc>
      </w:tr>
    </w:tbl>
    <w:p>
      <w:pPr>
        <w:spacing w:after="160" w:before="0"/>
      </w:pPr>
    </w:p>
    <w:p>
      <w:pPr>
        <w:spacing w:after="100"/>
      </w:pPr>
      <w:r>
        <w:t xml:space="preserve">El foro de particulares está </w:t>
      </w:r>
      <w:r>
        <w:rPr>
          <w:b/>
        </w:rPr>
        <w:t xml:space="preserve">dividido y más pesimista que antes de julio</w:t>
      </w:r>
      <w:r>
        <w:t xml:space="preserve">: el 1S26 rompió la percepción de valor defensivo y la conversación gira casi entera en torno a Oriente Medio. No hay euforia ni capitulación. Predominan los que promedian a la baja confiando en la cartera y la caja, frente a una minoría que teme que el conflicto se alargue y erosione la caja. Ese optimismo de los particulares va algo </w:t>
      </w:r>
      <w:r>
        <w:rPr>
          <w:b/>
        </w:rPr>
        <w:t xml:space="preserve">por delante de los analistas</w:t>
      </w:r>
      <w:r>
        <w:t xml:space="preserve">, que han rebajado precios objetivo. El riesgo que el foro subestima es que la recuperación de los sobrecostes tarde varios semestres. El catalizador que todos señalan es el 3T26 del 29 de octubre: si confirma la guía sin nuevos recortes, el foro tendrá razón; si no, habrá un segundo ajuste. El episodio de SpaceX solo enseña que el valor es sensible a los titulares.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15 de 18 controles correctos y 3 explicados. Fuentes: 79 (47 primarias); citas distintas en el texto: 79.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16,8 % frente a un ROIC de -68,8 % y un incremental histórico de -10,1 %: crecimiento que la empresa no ha demostrado poder comprar. Explicación: Technip Energies trabaja con capital invertido negativo (−441 M en 2025) porque los anticipos de clientes superan a los activos operativos: el ROIC y el ROIC incremental salen negativos y no son una medida útil. La prueba de sostenibilidad se hace con la cartera, el margen y el poder de precios (ver dcf.sostenibilidad).</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-46,0 % frente a -46,6 % real: genera una variación de circulante de -219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0,07: el crecimiento no explica los múltiplos de estos comparables; no uses el valor de la regresión. Explicación: R² de 0,07: no se usa el valor de la regresión; la valoración por comparables usa las medianas de EV/EBITDA y PER.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(5,8x → 3,7x): el salto implica un crecimiento del EBITDA que no cuadra con el de las ventas. ¿EBITDA de proveedores distintos, o un cambio de perímetro? Explicación: El EBITDA NIIF de los últimos 12 meses (420,7 M sin participadas) está hundido por las provisiones de Oriente Medio del 1S26 (margen ajustado del 2T26 del 3,4 %), y el consenso de los próximos 12 meses supone la recuperación de 2027. No hay cambio de proveedor ni de perímetro: el salto es la tesis de recuperación del margen.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79 fuentes (47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Transcripción de las dos últimas conferencias (preguntas de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(investors.technipenergies.com y technipenergies.gcs-web.com): 403; 2) GuruFocus (transcripción del 1S26): 403; 3) Quartr: solo resumen sin preguntas; comunicados de 1T26 y 1S26 leídos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resumen los mensajes de la dirección de los comunicados y del resumen de Quartr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Amortizaciones NIIF de 2021 y del 1S26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2021 y semestral 2026: no localizados en ten.com y la web de inversores da 403; 2) comunicado de 2021 (resumen de flujos NIIF sin desglose) y del 1S26; 3) amortizaciones ajustadas de los comunicados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(EBITDA 2021 y LTM con amortizaciones ajustadas)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por intereses de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2021 no accesible; 2) comunicado FY2021: gasto financiero NIIF total de 218,4 M con la revaluación de Yamal; 3) informe anual 2023 solo da 2022-2023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Existencias e intangibles de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2021 no accesible; 2) balance resumido NIIF del comunicado FY2022 (agrupa en otros activos); 3) informe anual 2023 solo da 2022-2023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(existencias, poco relevantes, dentro de otros activos corrientes en todos los años)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22 del informe anual 2025: solo calendario; 2) comunicado del 1S26; 3) cálculo con el calendario no fiable tras el bono de 2033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balance_1S26</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Minoritarios y desglose de provisiones a 30-jun-26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semestral 2026 (web de inversores 403); 2) URL probadas en ten.com sin éxito; 3) comunicado del 1S26: solo patrimonio total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NIIF de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2021 no accesible; 2) informe anual 2023 (comparativo solo 2022); 3) comunicado FY2021 solo con segmentos ajustados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se mezclan ajustadas con NIIF)</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trimestral y comparación con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trimestrales: BPA solo acumulado; 2) sin consenso previo publicado en fuentes primarias; 3) no se buscó en proveedores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pagado por AM&amp;C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2 del informe anual 2025: solo precio y activos; 2) comunicado FY2025; 3) sin búsqueda adicional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IGU World LNG Report 2024-2026: no da cuotas por contratista, solo por tecnología y país; 2) IEA World Energy Investment 2026 y informes anuales de Technip Energies, Saipem, JGC y Chiyoda: solo cuotas propias o ninguna; 3) estimarla con la lista de proyectos en construcción del anexo 2 de la IGU: no recoge el contratista de cada proyecto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de inversión anual en licuefacción en EUR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IEA World Energy Investment 2026: solo gráfico sin tabla (2026 ≈ 50.000 M USD y más del doble que 2025); 2) página de datos del gráfico de la IEA: sin cifras descargables; 3) IGU World LNG Report 2026: da capacidad en Mtpa, no inversión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serie va en Mtpa de capacidad</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Bechtel y McDermott (ingresos y margen)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cotizan ni publican cuentas auditadas; 2) se buscaron informes anuales en sus webs sin éxito; 3) no hay fuente secundaria fiable con margen EBIT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la empresa en sustainalytics.com: redirige a una página genérica sin la puntuación; 2) pestaña ESG de Euronext: sin calificaciones en el texto descargado; 3) el informe de sostenibilidad 2025 no la incluye (solo MSCI, EcoVadis, S&amp;P, ISS y CDP)</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comportamiento del sector en 2008-09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Technip Energies no existía como empresa separada (se escindió en 2021); 2) informes de la IGU leídos solo cubren 2022-2025 en detalle; 3) no se buscó el informe anual de Technip S.A. de 2009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voto_remuneracion_contra_pct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Resultados detallados de las juntas 2024-2026 en investors.technipenergies.com/shareholder-information/agm (403 y tiempo agotado con descargar.mjs y curl); 2) notas de prensa de resultados de las juntas 2025 y 2026 (solo dan el porcentaje a favor: 88,73 % y 94,15 %) e informes anuales 2024 y 2025 (93 % y 89 % a favor); 3) búsqueda web del acta con votos en contra y abstenciones (technipenergies.gcs-web.com no responde)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CFO y demás miembros del comité ejecutivo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(solo publica la del consejero ejecutivo: 399.711 acciones a 31-dic-2025); 2) registro AFM de consejeros (solo recoge consejeros, no el comité ejecutivo); 3) AMF BDIF, operaciones de directivos (sin registros para Technip Energies: emisor neerlandés, notifica a la AFM)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capitalizacion_publicada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y consensus: no muestran la capitalización en el texto; 2) Simply Wall St: no la da en la página de previsiones; 3) Yahoo (bolsa.mjs) no la publica; precio × acciones (29,14 × 174,09 = 5.073 M) es cálculo propio y no sirve de contraste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diluidas a 30-sep-2026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capital emitido de la empresa: 174.094.696 acciones en circulación a 30-sep (sin autocartera), sin dilución; 2) Resultados del 1S26: 177.255.451 acciones diluidas de media ponderada; 3) MarketScreener: 172.176 miles (las de 30-jun)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usan las 174,09 M en circulación a 30-sep; la dilución por planes de acciones (≈ 2-3 M, diferencia entre la media diluida y la básica) no está publicada a esa fecha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reparto de recomendaciones (comprar/mantener/vender)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consensus: solo la media («Outperform», 17 analistas), el reparto es un gráfico; 2) Simply Wall St: no lo da en texto; 3) Consenso publicado por la empresa: solo cifras, sin recomendaciones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segunda fuente independiente de estimaciones anuales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Consenso de la propia empresa (23-jul-2026): solo el 2T26; 2) Investing: 404; 3) Simply Wall St (S&amp;P Global): cifras idénticas a MarketScreener, mismo origen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MarketScreener y se contrasta el precio objetivo con Simply Wall St (41,06 EUR el 10-ago frente a 39,97 hoy)</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minoritarios a 30-jun-2026 y caja cobrada por el ESOP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Resultados del 1S26: patrimonio total sin desglose de minoritarios; ESOP sin precio de suscripción; 2) Informe anual 2025: minoritarios de 35,3 M a 31-dic-2025; 3) Búsqueda de prensa: envolvente máxima de 55 M y descuento del 20 %, sin precio final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Minoritarios a 31-dic-2025; ESOP fuera del puente (≤ 55 M, ~0,3 EUR por acción)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solo ROE; 2) Stock Analysis no consultado por presupuesto de llamadas; 3) Cálculo propio exigiría balances de ocho empresas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no da series históricas de múltiplos futuros gratis; 2) Simply Wall St: solo actuales; 3) Informes anuales: no los publican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motor calcula los de los últimos 12 meses con los precios de cierre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anglosajones (Seeking Alpha, Stocktwits, Investing.com, Reddit)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Seeking Alpha (THNPY) y Stocktwits (TE.PA): error 403; 2) comentarios de Investing.com en francés y en inglés: error 404; 3) getquin y TradingView: sin comentarios fechados del periodo. Reddit no se intentó porque está bloqueado para WebFetch, según las lecciones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sentimiento se basa solo en foros franceses (Boursorama y ABC Bourse)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Comentarios de lectores en la prensa (Zonebourse, Les Echos, Investir, BFM)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Zonebourse: la URL de la ficha llevó a otro valor; 2) el artículo de ABC Bourse sobre JPMorgan no tiene comentarios de lectores; 3) Investir solo aparece citado de forma indirecta en un foro y no se leyó</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Technip Energies 2025 Annual Report (cuentas consolidadas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https://www.ten.com/sites/energies/files/2026-03/ten_2025-annual-report.pdf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Technip Energies 2024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https://www.ten.com/sites/energies/files/2025-03/ten_2024-annual-report.pdf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2023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https://www.ten.com/sites/energies/files/2024-03/ten-2023-annual-report.pdf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2025 Results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https://www.ten.com/sites/energies/files/2026-02/en_2025_q4-press-release-final-24022026.pdf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2026 Results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https://www.ten.com/sites/energies/files/2026-07/technip-energies-h1-2026-financial-results.pdf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FY 2024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https://www.ten.com/en/media/press-releases/technip-energies-fy-2024-financial-results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FY 2023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https://www.ten.com/en/media/press-releases/technip-energies-fy-2023-financial-results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Financial Results Full Year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https://www.ten.com/en/media/press-releases/technip-energies-financial-results-full-year-2022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Financial Results Full Year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https://www.ten.com/en/media/press-releases/technip-energies-financial-results-full-year-2021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Update FY 2020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https://www.ten.com/en/media/press-releases/technip-energies-update-fy-2020-financial-results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H1 2024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https://www.ten.com/en/media/press-releases/technip-energies-h1-2024-financial-results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9M 2024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https://www.ten.com/en/media/press-releases/technip-energies-9m-2024-financial-results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Q1 2025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https://www.ten.com/en/media/press-releases/technip-energies-q1-2025-financial-results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H1 2025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https://www.ten.com/en/media/press-releases/technip-energies-h1-2025-financial-results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9M 2025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https://www.ten.com/en/media/press-releases/technip-energies-9m-2025-financial-results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Q1 2026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https://www.ten.com/en/media/press-releases/technip-energies-q1-2026-financial-results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2024 - A strong growth path to 2028 and beyond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https://www.ten.com/en/media/press-releases/technip-energies-capital-markets-day-2024-strong-growth-path-2028-and-beyond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(TE)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https://quartr.com/events/technip-energies-n-v-te-q2-2026_oCvPt76V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Communiqué : Technip Energies publie son rapport annuel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https://echanges.dila.gouv.fr/OPENDATA/AMF/MKW/2026/03/FCMKW139387_20260310.pdf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LNG Report 2026 (preparado por Rystad Energy)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International Gas Union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https://www.datocms-assets.com/146580/1783403747-igu-world-lng-report-2026.pdf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LNG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International Gas Union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https://www.datocms-assets.com/146580/1763396210-1747916410-igu-world-lng-report-2025.pdf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LNG Report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International Gas Union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https://www.datocms-assets.com/146580/1736938573-2024-world-lng-report.pdf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Energy Investment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Internacional de la Energía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https://iea.blob.core.windows.net/assets/64594543-cf6e-4fd9-8238-d3cae35daf48/WorldEnergyInvestment2026.pdf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 LNG Sector Contracts Following Massive Expansion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Journal of Petroleum Technology (SPE)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https://jpt.spe.org/report-lng-sector-contracts-following-massive-expansion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Role of Gas in Powering AI-Driven Energy Demand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International Gas Union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https://www.datocms-assets.com/146580/1768479590-the-role-of-gas-in-powering-ai-driven-energy-demand.pdf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KBR, Inc.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KBR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https://data.sec.gov/api/xbrl/companyfacts/CIK0001357615.json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Fluor Corporation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Fluor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https://data.sec.gov/api/xbrl/companyfacts/CIK0001124198.json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Saipem: preliminary results for the fourth quarter and financial year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Saipem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https://www.saipem.com/sites/default/files/2026-02/PR%20Saipem%2024.02.2026_0.pdf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Técnicas Reunidas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https://www.tecnicasreunidas.es/wp-content/uploads/2026/02/Tecnicas-Reunidas-FY-2025-Results-Release-ESP-FINAL.pdf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for the fiscal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JGC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https://www.jgc.com/en/ir/ir-library/assets/pdf/fy25_f_results.pdf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Results for FY2025 (Kessan Tanshin)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Chiyoda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https://www.chiyodacorp.com/en/ir/assets/2025Q4_Tanshin_E.pdf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SAMSUNG E&amp;A records operating profit of KRW 792.1 billion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Samsung E&amp;A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https://america.samsungena.com/en/news/view?idx=15777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(31-dic-2025 y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https://data-api.ecb.europa.eu/service/data/EXR/D.USD+JPY+KRW+AUD.EUR.SP00.A?startPeriod=2025-12-31&amp;endPeriod=2025-12-31&amp;format=csvdata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TechnipFMC plc Form 10-K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TechnipFMC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https://www.sec.gov/Archives/edgar/data/1681459/000168145923000052/fti-20221231.htm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Sustainability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https://www.ten.com/sites/energies/files/2026-03/ten-2025-sustainability-report.pdf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Carbon Border Adjustment Mechanism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https://taxation-customs.ec.europa.eu/carbon-border-adjustment-mechanism_en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participaciones sustanciales (substantiële deelnemingen): notificaciones sobre Technip Energies N.V. 2022-2026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 (Autoriteit Financiële Markten)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https://www.afm.nl/en/sector/registers/meldingenregisters/substantiele-deelnemingen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Our Board of Directors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https://www.ten.com/en/about/board-directors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Executive Team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https://www.ten.com/en/about/executive-team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announces that John O'Higgins and Luc Rémont are to be nominated for appointment to its Board of Directors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https://www.ten.com/en/media/press-releases/technip-energies-announces-john-ohiggins-and-luc-remont-are-be-nominated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operaciones de consejeros (bestuurders en commissarissen): A. Pieton, 21-may-2026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 (Autoriteit Financiële Markten)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https://www.afm.nl/en/sector/registers/meldingenregisters/bestuurders-commissarissen/details?id=194090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Voting results of the 2025 Annual General Meeting of Technip Energies (nota de prensa, Business Wire vía Finviz)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https://finviz.com/news/48474/voting-results-of-the-2025-annual-general-meeting-of-technip-energies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Voting results of the 2026 Annual General Meeting of Technip Energies (nota de prensa, reproducida por Trivano)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https://www.trivano.com/persbericht/voting-results-of-the-2026-annual-general-meeting-of-technip-energies-727310.html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operaciones de consejeros (bestuurders en commissarissen): L. Rémont, 21-sep-2026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 (Autoriteit Financiële Markten)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https://www.afm.nl/en/sector/registers/meldingenregisters/bestuurders-commissarissen/details?id=200442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 elements of the Management Agreement of Mr. Pieton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https://www.ten.com/sites/energies/files/2021-02/Key-elements-Management-Agreement-Mr-Pieton.PDF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TE.PA, EXSA.DE y EXH1.DE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https://finance.yahoo.com/quote/TE.PA/history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Issued share capital (situación a 30-09-2026, actualizada el 05-10-2026)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https://investors.technipenergies.com/financial-information/publications-regulated-information/issued-share-capital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N.V.: Finances (estimaciones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https://www.marketscreener.com/quote/stock/TECHNIP-ENERGIES-N-V-118964900/finances/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N.V.: Consensus (recomendaciones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https://www.marketscreener.com/quote/stock/TECHNIP-ENERGIES-N-V-118964900/consensus/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Estimations du consensus des analystes (2T26, 14 analistas, 23-07-2026)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https://investors.technipenergies.com/fr/node/16261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(ENXTPA:TE) Future Growth: estimaciones y revisiones (datos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https://simplywall.st/stocks/fr/energy/epa-te/technip-energies-shares/future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Term structure of interest rates on listed Federal securities (Svensson), 10 years, daily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Historique des positions courtes nettes sur actions (export del 09-10-2026)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 data.gouv.fr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https://www.data.gouv.fr/fr/datasets/historique-des-positions-courtes-nettes-sur-actions-rendues-publiques-depuis-le-1er-novembre-2012/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Saipem SpA: Finances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https://www.marketscreener.com/quote/stock/SAIPEM-SPA-154706406/finances/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Técnicas Reunidas, S.A.: Finances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https://www.marketscreener.com/quote/stock/TECNICAS-REUNIDAS-S-A-183228/finances/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KBR, Inc.: Finances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https://www.marketscreener.com/quote/stock/KBR-INC-36548/finances/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Fluor Corporation: Finances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https://www.marketscreener.com/quote/stock/FLUOR-CORPORATION-41148781/finances/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JGC Holdings Corporation: Finances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https://www.marketscreener.com/quote/stock/JGC-HOLDINGS-CORPORATION-174016771/finances/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Samsung E&amp;A Co., Ltd.: Finances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https://www.marketscreener.com/quote/stock/SAMSUNG-E-A-CO-LTD-6491653/finances/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Worley Limited: Finances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https://www.marketscreener.com/quote/stock/WORLEY-LIMITED-6495133/finances/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Aker Solutions ASA: Finances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https://www.marketscreener.com/quote/stock/AKER-SOLUTIONS-ASA-61747192/finances/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to acquire Ecovyst's Advanced Materials &amp; Catalysts business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https://www.ten.com/en/media/press-releases/technip-energies-acquire-ecovysts-advanced-materials-catalysts-business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Baker Hughes to Acquire Chart Industries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Baker Hughes y Chart Industries (GlobeNewswire, vía 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https://www.nasdaq.com/press-release/baker-hughes-acquire-chart-industries-accelerating-energy-industrial-technology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 to acquire Air Products LNG process technology and equipment business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https://www.honeywell.com/us/en/news/press-releases/2024/07/honeywell-to-acquire-air-products-liquefied-natural-gas-process-technology-and-equipment-business-to-expand-energy-transition-solutions-and-services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WSP acquiring the Environment &amp; Infrastructure business of John Wood Group plc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WSP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jun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https://www.wsp.com/en-gl/investors/press-releases/details/WSP-Continues-to-Expand-The-Leadership-of-its-Earth-and-Environment-Franchise-by-Acquiring-the-Environment--Infrastructure-Business-of-John-Wood-Group-plc/2453856/2022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Jacobs to sell Energy, Chemicals and Resources business to WorleyParsons for $3.3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Jacobs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https://s205.q4cdn.com/384284279/files/doc_news/Jacobs-Accelerates-Portfolio-Transformation-with-Sale-of-Energy-Chemicals-and-Resources-Business-to-WorleyParsons-for-3.3-Billion-10--O1CKK.pdf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Technip Energies (TE): listado de hilos de julio a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TE: hilo sobre la caída del 30 de julio de 2026 (riesgo en Oriente Medio)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https://www.boursorama.com/bourse/forum/1rPTE/detail/468277078/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TE: hilo sobre el carácter defensivo tras la caída (30 de julio a 14 de agosto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https://www.boursorama.com/bourse/forum/1rPTE/detail/468277473/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TE: hilo sobre SpaceX (2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https://www.boursorama.com/bourse/forum/1rPTE/detail/468400411/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TE: hilo «3 facteurs positifs» (5 a 8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https://www.boursorama.com/bourse/forum/1rPTE/detail/468525603/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TE: hilo «JP Morgan dégrade à 35 euros» (6 y 7 de agosto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https://www.boursorama.com/bourse/forum/1rPTE/detail/468306254/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TE: hilo «Contrat de 10 milliards $ ??» (1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https://www.boursorama.com/bourse/forum/1rPTE/detail/468396014/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Technip Energies: «Appel d'offres de SpaceX» (1 y 2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https://www.abcbourse.com/forums/msg1111092_technip-energies-appel-d-offres-de-spacex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Technip Energies: «abaisse ses prévisions après un 1er semestre perturbé» (30 de julio a 23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https://www.abcbourse.com/forums/msg1108214_technip-energies-abaisse-ses-previsions-apres-un-1er-semestre-perturbe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Technip Energies: «News - Recos» (mensajes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https://www.abcbourse.com/forums/msg883114_technip-energies--news--recos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Technip Energies déclassé à neutre par JPMorgan, l'objectif abaissé à 35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 (Agefi-Dow Jones)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https://www.abcbourse.com/marches/technip-energies-declasse-a-neutre-par-jpmorgan-l-objectif-abaisse-a-35-euros_701043</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92,4 %</w:t>
      </w:r>
      <w:r>
        <w:t xml:space="preserve"> · Secciones con menos del 60 % de campos cubiertos: </w:t>
      </w:r>
      <w:r>
        <w:rPr>
          <w:b/>
          <w:bCs/>
        </w:rPr>
        <w:t xml:space="preserve">ninguna</w:t>
      </w:r>
      <w:r>
        <w:t xml:space="preserve"> · Generado el 12 oct 2026.</w:t>
      </w:r>
    </w:p>
    <w:p>
      <w:pPr>
        <w:pStyle w:val="Nota"/>
        <w:spacing w:after="100"/>
      </w:pPr>
      <w:r>
        <w:t xml:space="preserve">Línea cotizada: Euronext París (TE), la única con liquidez; hay ADR sin patrocinar en EE. UU. (THNPY), no usados. Precio: cierre del viernes 9-oct-2026 (29,14 EUR), porque la sesión de París del lunes 12-oct no había cerrado al tomar los datos [46]. Base contable: las cuentas, el balance, los flujos, el DCF y el puente van en NIIF (las JV de proyecto por puesta en equivalencia, valoradas en el puente a su valor contable de 327,1 M); la empresa publica además cifras «ajustadas» con las JV a su porcentaje, que son las de los trimestres, la guía, los KPI y el consenso [4, 5]. Ingresos NIIF y ajustados casi coinciden (7.203,8 frente a 7.186,5 M en 2025); el EBITDA ajustado excluye no recurrentes que se repiten cada año, y el motor los descuenta del consenso con un ajuste del 0,8 % de las ventas [4, 48]. El EBITDA de 2021 y el del LTM usan amortizaciones ajustadas (estimación) [5, 9]. Acciones: 174,09 M en circulación a 30-sep-2026, sin la dilución de los planes de acciones (≈ 2-3 M), que no se publica a esa fecha [47]. Minoritarios del puente a 31-dic-2025 (35,3 M) [1]. No se ha podido leer la transcripción de las conferencias ni el acta detallada de las juntas (web de inversores con error 403). Los segmentos NIIF empiezan en 2022.</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Technip Energies N.V. (TE)</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29,14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(26,94 – 41,58)</c:v>
                </c:pt>
                <c:pt idx="1">
                  <c:v>Precio objetivo de los analistas (32,00 – 48,00)</c:v>
                </c:pt>
                <c:pt idx="2">
                  <c:v>Comparables: EV/EBITDA NTM (32,42 – 39,86)</c:v>
                </c:pt>
                <c:pt idx="3">
                  <c:v>Comparables: PER NTM (25,34 – 34,33)</c:v>
                </c:pt>
                <c:pt idx="4">
                  <c:v>Transacciones precedentes (EV/EBITDA) (41,85 – 47,47)</c:v>
                </c:pt>
                <c:pt idx="5">
                  <c:v>DCF (WACC y g ± 0,5) (40,98 – 49,03)</c:v>
                </c:pt>
                <c:pt idx="6">
                  <c:v>Escenarios (bajista – alcista) (21,16 – 56,53)</c:v>
                </c:pt>
                <c:pt idx="7">
                  <c:v>Suma de partes (31,92 – 37,87)</c:v>
                </c:pt>
                <c:pt idx="8">
                  <c:v>DCF con la prima implícita del mercado (4,2 %)</c:v>
                </c:pt>
                <c:pt idx="9">
                  <c:v>Precio actual (29,14)</c:v>
                </c:pt>
              </c:strCache>
            </c:strRef>
          </c:cat>
          <c:val>
            <c:numRef>
              <c:f>Hoja1!$B$2:$B$11</c:f>
              <c:numCache>
                <c:formatCode>#,##0.0</c:formatCode>
                <c:ptCount val="10"/>
                <c:pt idx="0">
                  <c:v>26.94</c:v>
                </c:pt>
                <c:pt idx="1">
                  <c:v>32</c:v>
                </c:pt>
                <c:pt idx="2">
                  <c:v>32.42</c:v>
                </c:pt>
                <c:pt idx="3">
                  <c:v>25.34</c:v>
                </c:pt>
                <c:pt idx="4">
                  <c:v>41.85</c:v>
                </c:pt>
                <c:pt idx="5">
                  <c:v>40.98</c:v>
                </c:pt>
                <c:pt idx="6">
                  <c:v>21.16</c:v>
                </c:pt>
                <c:pt idx="7">
                  <c:v>31.92</c:v>
                </c:pt>
                <c:pt idx="8">
                  <c:v>47.21</c:v>
                </c:pt>
                <c:pt idx="9">
                  <c:v>28.99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(26,94 – 41,58)</c:v>
                </c:pt>
                <c:pt idx="1">
                  <c:v>Precio objetivo de los analistas (32,00 – 48,00)</c:v>
                </c:pt>
                <c:pt idx="2">
                  <c:v>Comparables: EV/EBITDA NTM (32,42 – 39,86)</c:v>
                </c:pt>
                <c:pt idx="3">
                  <c:v>Comparables: PER NTM (25,34 – 34,33)</c:v>
                </c:pt>
                <c:pt idx="4">
                  <c:v>Transacciones precedentes (EV/EBITDA) (41,85 – 47,47)</c:v>
                </c:pt>
                <c:pt idx="5">
                  <c:v>DCF (WACC y g ± 0,5) (40,98 – 49,03)</c:v>
                </c:pt>
                <c:pt idx="6">
                  <c:v>Escenarios (bajista – alcista) (21,16 – 56,53)</c:v>
                </c:pt>
                <c:pt idx="7">
                  <c:v>Suma de partes (31,92 – 37,87)</c:v>
                </c:pt>
                <c:pt idx="8">
                  <c:v>DCF con la prima implícita del mercado (4,2 %)</c:v>
                </c:pt>
                <c:pt idx="9">
                  <c:v>Precio actual (29,14)</c:v>
                </c:pt>
              </c:strCache>
            </c:strRef>
          </c:cat>
          <c:val>
            <c:numRef>
              <c:f>Hoja1!$C$2:$C$11</c:f>
              <c:numCache>
                <c:formatCode>#,##0.0</c:formatCode>
                <c:ptCount val="10"/>
                <c:pt idx="0">
                  <c:v>14.639999999999997</c:v>
                </c:pt>
                <c:pt idx="1">
                  <c:v>16</c:v>
                </c:pt>
                <c:pt idx="2">
                  <c:v>7.439999999999998</c:v>
                </c:pt>
                <c:pt idx="3">
                  <c:v>8.989999999999998</c:v>
                </c:pt>
                <c:pt idx="4">
                  <c:v>5.619999999999997</c:v>
                </c:pt>
                <c:pt idx="5">
                  <c:v>8.050000000000004</c:v>
                </c:pt>
                <c:pt idx="6">
                  <c:v>35.370000000000005</c:v>
                </c:pt>
                <c:pt idx="7">
                  <c:v>5.949999999999996</c:v>
                </c:pt>
                <c:pt idx="8">
                  <c:v>6.609999999999999</c:v>
                </c:pt>
                <c:pt idx="9">
                  <c:v>0.3000000000000007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Project Delivery</c:v>
                </c:pt>
              </c:strCache>
            </c:strRef>
          </c:tx>
          <c:spPr>
            <a:solidFill>
              <a:srgbClr val="2A78D6"/>
            </a:solidFill>
            <a:ln w="12700">
              <a:solidFill>
                <a:srgbClr val="FFFFFF"/>
              </a:solid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4884.3</c:v>
                </c:pt>
                <c:pt idx="1">
                  <c:v>4083.6</c:v>
                </c:pt>
                <c:pt idx="2">
                  <c:v>4741.6</c:v>
                </c:pt>
                <c:pt idx="3">
                  <c:v>5406.6</c:v>
                </c:pt>
              </c:numCache>
            </c:numRef>
          </c:val>
        </c:ser>
        <c:ser>
          <c:idx val="1"/>
          <c:order val="1"/>
          <c:tx>
            <c:strRef>
              <c:f>Hoja1!$C$1</c:f>
              <c:strCache>
                <c:ptCount val="1"/>
                <c:pt idx="0">
                  <c:v>Technology, Products &amp; Services</c:v>
                </c:pt>
              </c:strCache>
            </c:strRef>
          </c:tx>
          <c:spPr>
            <a:solidFill>
              <a:srgbClr val="EB6834"/>
            </a:solidFill>
            <a:ln w="12700">
              <a:solidFill>
                <a:srgbClr val="FFFFFF"/>
              </a:solid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1398</c:v>
                </c:pt>
                <c:pt idx="1">
                  <c:v>1920</c:v>
                </c:pt>
                <c:pt idx="2">
                  <c:v>1977.3</c:v>
                </c:pt>
                <c:pt idx="3">
                  <c:v>1797.2</c:v>
                </c:pt>
              </c:numCache>
            </c:numRef>
          </c:val>
        </c:ser>
        <c:ser>
          <c:idx val="2"/>
          <c:order val="2"/>
          <c:tx>
            <c:strRef>
              <c:f>Hoja1!$D$1</c:f>
              <c:strCache>
                <c:ptCount val="1"/>
                <c:pt idx="0">
                  <c:v>Corporativo y no asignable</c:v>
                </c:pt>
              </c:strCache>
            </c:strRef>
          </c:tx>
          <c:spPr>
            <a:solidFill>
              <a:srgbClr val="1BAF7A"/>
            </a:solidFill>
            <a:ln w="12700">
              <a:solidFill>
                <a:srgbClr val="FFFFFF"/>
              </a:solidFill>
            </a:ln>
          </c:spPr>
          <c:invertIfNegative val="0"/>
          <c:cat>
            <c:strRef>
              <c:f>Hoja1!$A$2:$A$5</c:f>
              <c:strCache>
                <c:ptCount val="4"/>
                <c:pt idx="0">
                  <c:v>2022</c:v>
                </c:pt>
                <c:pt idx="1">
                  <c:v>2023</c:v>
                </c:pt>
                <c:pt idx="2">
                  <c:v>2024</c:v>
                </c:pt>
                <c:pt idx="3">
                  <c:v>2025</c:v>
                </c:pt>
              </c:strCache>
            </c:strRef>
          </c:cat>
          <c:val>
            <c:numRef>
              <c:f>Hoja1!$D$2:$D$5</c:f>
              <c:numCache>
                <c:formatCode>#,##0</c:formatCode>
                <c:ptCount val="4"/>
                <c:pt idx="0">
                  <c:v>0</c:v>
                </c:pt>
                <c:pt idx="1">
                  <c:v>0</c:v>
                </c:pt>
                <c:pt idx="2">
                  <c:v>0</c:v>
                </c:pt>
                <c:pt idx="3">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Project Delivery</c:v>
                </c:pt>
                <c:pt idx="1">
                  <c:v>Technology, Products &amp; Services</c:v>
                </c:pt>
                <c:pt idx="2">
                  <c:v>Corporativo y no asignable</c:v>
                </c:pt>
              </c:strCache>
            </c:strRef>
          </c:cat>
          <c:val>
            <c:numRef>
              <c:f>Hoja1!$B$2:$B$4</c:f>
              <c:numCache>
                <c:formatCode>General</c:formatCode>
                <c:ptCount val="3"/>
                <c:pt idx="0">
                  <c:v>75.1</c:v>
                </c:pt>
                <c:pt idx="1">
                  <c:v>24.9</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África y Oriente Medio</c:v>
                </c:pt>
                <c:pt idx="1">
                  <c:v>Américas</c:v>
                </c:pt>
                <c:pt idx="2">
                  <c:v>Europa y Asia Central</c:v>
                </c:pt>
                <c:pt idx="3">
                  <c:v>Asia-Pacífico</c:v>
                </c:pt>
              </c:strCache>
            </c:strRef>
          </c:cat>
          <c:val>
            <c:numRef>
              <c:f>Hoja1!$B$2:$B$5</c:f>
              <c:numCache>
                <c:formatCode>0"%"</c:formatCode>
                <c:ptCount val="4"/>
                <c:pt idx="0">
                  <c:v>58.9</c:v>
                </c:pt>
                <c:pt idx="1">
                  <c:v>18.4</c:v>
                </c:pt>
                <c:pt idx="2">
                  <c:v>14.9</c:v>
                </c:pt>
                <c:pt idx="3">
                  <c:v>7.8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(Mtpa de capacidad de licuefacción operativa a cierre de año)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2023</c:v>
                </c:pt>
                <c:pt idx="1">
                  <c:v>2024</c:v>
                </c:pt>
                <c:pt idx="2">
                  <c:v>2025</c:v>
                </c:pt>
                <c:pt idx="3">
                  <c:v>2031e</c:v>
                </c:pt>
              </c:strCache>
            </c:strRef>
          </c:cat>
          <c:val>
            <c:numRef>
              <c:f>Hoja1!$B$2:$B$5</c:f>
              <c:numCache>
                <c:formatCode>#,##0</c:formatCode>
                <c:ptCount val="4"/>
                <c:pt idx="0">
                  <c:v>483.1</c:v>
                </c:pt>
                <c:pt idx="1">
                  <c:v>494.4</c:v>
                </c:pt>
                <c:pt idx="2">
                  <c:v>524.5</c:v>
                </c:pt>
                <c:pt idx="3">
                  <c:v>758.8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Technip Energies</c:v>
                </c:pt>
                <c:pt idx="1">
                  <c:v>Saipem</c:v>
                </c:pt>
                <c:pt idx="2">
                  <c:v>Fluor</c:v>
                </c:pt>
                <c:pt idx="3">
                  <c:v>KBR</c:v>
                </c:pt>
                <c:pt idx="4">
                  <c:v>Samsung E&amp;A</c:v>
                </c:pt>
                <c:pt idx="5">
                  <c:v>Técnicas Reunidas</c:v>
                </c:pt>
                <c:pt idx="6">
                  <c:v>JGC Holdings</c:v>
                </c:pt>
                <c:pt idx="7">
                  <c:v>Chiyoda</c:v>
                </c:pt>
              </c:strCache>
            </c:strRef>
          </c:cat>
          <c:val>
            <c:numRef>
              <c:f>Hoja1!$B$2:$B$9</c:f>
              <c:numCache>
                <c:formatCode>0.0"%"</c:formatCode>
                <c:ptCount val="8"/>
                <c:pt idx="0">
                  <c:v>5.9</c:v>
                </c:pt>
                <c:pt idx="1">
                  <c:v>4.4</c:v>
                </c:pt>
                <c:pt idx="2">
                  <c:v>-2.4</c:v>
                </c:pt>
                <c:pt idx="3">
                  <c:v>10</c:v>
                </c:pt>
                <c:pt idx="4">
                  <c:v>8.8</c:v>
                </c:pt>
                <c:pt idx="5">
                  <c:v>4.5</c:v>
                </c:pt>
                <c:pt idx="6">
                  <c:v>4.7</c:v>
                </c:pt>
                <c:pt idx="7">
                  <c:v>16.6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4</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6433.7</c:v>
                </c:pt>
                <c:pt idx="1">
                  <c:v>6282.3</c:v>
                </c:pt>
                <c:pt idx="2">
                  <c:v>6003.6</c:v>
                </c:pt>
                <c:pt idx="3">
                  <c:v>6718.9</c:v>
                </c:pt>
                <c:pt idx="4">
                  <c:v>7203.8</c:v>
                </c:pt>
                <c:pt idx="5">
                  <c:v>7780</c:v>
                </c:pt>
                <c:pt idx="6">
                  <c:v>8714</c:v>
                </c:pt>
                <c:pt idx="7">
                  <c:v>9237</c:v>
                </c:pt>
                <c:pt idx="8">
                  <c:v>9421</c:v>
                </c:pt>
                <c:pt idx="9">
                  <c:v>9421</c:v>
                </c:pt>
                <c:pt idx="10">
                  <c:v>9610</c:v>
                </c:pt>
                <c:pt idx="11">
                  <c:v>9850</c:v>
                </c:pt>
                <c:pt idx="12">
                  <c:v>10096</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665.1999999999999</c:v>
                </c:pt>
                <c:pt idx="1">
                  <c:v>631.6999999999999</c:v>
                </c:pt>
                <c:pt idx="2">
                  <c:v>546.8</c:v>
                </c:pt>
                <c:pt idx="3">
                  <c:v>560.4</c:v>
                </c:pt>
                <c:pt idx="4">
                  <c:v>550</c:v>
                </c:pt>
                <c:pt idx="5">
                  <c:v>451</c:v>
                </c:pt>
                <c:pt idx="6">
                  <c:v>645</c:v>
                </c:pt>
                <c:pt idx="7">
                  <c:v>720</c:v>
                </c:pt>
                <c:pt idx="8">
                  <c:v>735</c:v>
                </c:pt>
                <c:pt idx="9">
                  <c:v>716</c:v>
                </c:pt>
                <c:pt idx="10">
                  <c:v>721</c:v>
                </c:pt>
                <c:pt idx="11">
                  <c:v>739</c:v>
                </c:pt>
                <c:pt idx="12">
                  <c:v>757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14.2</c:v>
                </c:pt>
                <c:pt idx="1">
                  <c:v>14.1</c:v>
                </c:pt>
                <c:pt idx="2">
                  <c:v>15.4</c:v>
                </c:pt>
                <c:pt idx="3">
                  <c:v>13.7</c:v>
                </c:pt>
                <c:pt idx="4">
                  <c:v>13.4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10.3</c:v>
                </c:pt>
                <c:pt idx="1">
                  <c:v>10.1</c:v>
                </c:pt>
                <c:pt idx="2">
                  <c:v>9.1</c:v>
                </c:pt>
                <c:pt idx="3">
                  <c:v>8.3</c:v>
                </c:pt>
                <c:pt idx="4">
                  <c:v>7.6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8.6</c:v>
                </c:pt>
                <c:pt idx="1">
                  <c:v>8</c:v>
                </c:pt>
                <c:pt idx="2">
                  <c:v>7.5</c:v>
                </c:pt>
                <c:pt idx="3">
                  <c:v>6.7</c:v>
                </c:pt>
                <c:pt idx="4">
                  <c:v>5.9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3.8</c:v>
                </c:pt>
                <c:pt idx="1">
                  <c:v>4.8</c:v>
                </c:pt>
                <c:pt idx="2">
                  <c:v>4.9</c:v>
                </c:pt>
                <c:pt idx="3">
                  <c:v>5.8</c:v>
                </c:pt>
                <c:pt idx="4">
                  <c:v>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15.2</c:v>
                </c:pt>
                <c:pt idx="2">
                  <c:v>21.9</c:v>
                </c:pt>
                <c:pt idx="3">
                  <c:v>9.1</c:v>
                </c:pt>
                <c:pt idx="4">
                  <c:v>-2</c:v>
                </c:pt>
                <c:pt idx="5">
                  <c:v>-6.1</c:v>
                </c:pt>
                <c:pt idx="6">
                  <c:v>-3.8</c:v>
                </c:pt>
                <c:pt idx="7">
                  <c:v>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59</c:v>
                </c:pt>
                <c:pt idx="1">
                  <c:v>75</c:v>
                </c:pt>
                <c:pt idx="2">
                  <c:v>74</c:v>
                </c:pt>
                <c:pt idx="3">
                  <c:v>60</c:v>
                </c:pt>
                <c:pt idx="4">
                  <c:v>71</c:v>
                </c:pt>
              </c:numCache>
            </c:numRef>
          </c:val>
          <c:smooth val="0"/>
        </c:ser>
        <c:ser>
          <c:idx val="1"/>
          <c:order val="1"/>
          <c:tx>
            <c:strRef>
              <c:f>Hoja1!$C$1</c:f>
              <c:strCache>
                <c:ptCount val="1"/>
                <c:pt idx="0">
                  <c:v>Días de pago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99</c:v>
                </c:pt>
                <c:pt idx="1">
                  <c:v>112</c:v>
                </c:pt>
                <c:pt idx="2">
                  <c:v>108</c:v>
                </c:pt>
                <c:pt idx="3">
                  <c:v>95</c:v>
                </c:pt>
                <c:pt idx="4">
                  <c:v>82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814.3</c:v>
                </c:pt>
                <c:pt idx="1">
                  <c:v>59.599999999999994</c:v>
                </c:pt>
                <c:pt idx="2">
                  <c:v>253.80000000000004</c:v>
                </c:pt>
                <c:pt idx="3">
                  <c:v>689.7</c:v>
                </c:pt>
                <c:pt idx="4">
                  <c:v>494.1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244.6</c:v>
                </c:pt>
                <c:pt idx="1">
                  <c:v>300.7</c:v>
                </c:pt>
                <c:pt idx="2">
                  <c:v>296.8</c:v>
                </c:pt>
                <c:pt idx="3">
                  <c:v>390.7</c:v>
                </c:pt>
                <c:pt idx="4">
                  <c:v>363.8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-32.7</c:v>
                </c:pt>
                <c:pt idx="1">
                  <c:v>-37.8</c:v>
                </c:pt>
                <c:pt idx="2">
                  <c:v>-53.8</c:v>
                </c:pt>
                <c:pt idx="3">
                  <c:v>-53.7</c:v>
                </c:pt>
                <c:pt idx="4">
                  <c:v>-68.8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8.8</c:v>
                </c:pt>
                <c:pt idx="1">
                  <c:v>8.8</c:v>
                </c:pt>
                <c:pt idx="2">
                  <c:v>8.8</c:v>
                </c:pt>
                <c:pt idx="3">
                  <c:v>8.8</c:v>
                </c:pt>
                <c:pt idx="4">
                  <c:v>8.8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16.6</c:v>
                </c:pt>
                <c:pt idx="1">
                  <c:v>18.9</c:v>
                </c:pt>
                <c:pt idx="2">
                  <c:v>16.5</c:v>
                </c:pt>
                <c:pt idx="3">
                  <c:v>19.7</c:v>
                </c:pt>
                <c:pt idx="4">
                  <c:v>16.9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-3.98</c:v>
                </c:pt>
                <c:pt idx="1">
                  <c:v>-3.94</c:v>
                </c:pt>
                <c:pt idx="2">
                  <c:v>-4.35</c:v>
                </c:pt>
                <c:pt idx="3">
                  <c:v>-5.11</c:v>
                </c:pt>
                <c:pt idx="4">
                  <c:v>-4.36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c:v>
                </c:pt>
                <c:pt idx="3">
                  <c:v>2029+</c:v>
                </c:pt>
              </c:strCache>
            </c:strRef>
          </c:cat>
          <c:val>
            <c:numRef>
              <c:f>Hoja1!$B$2:$B$5</c:f>
              <c:numCache>
                <c:formatCode>#,##0</c:formatCode>
                <c:ptCount val="4"/>
                <c:pt idx="0">
                  <c:v>309.5</c:v>
                </c:pt>
                <c:pt idx="1">
                  <c:v>0.2</c:v>
                </c:pt>
                <c:pt idx="2">
                  <c:v>598</c:v>
                </c:pt>
                <c:pt idx="3">
                  <c:v>80.1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14.9</c:v>
                </c:pt>
                <c:pt idx="3">
                  <c:v>0</c:v>
                </c:pt>
                <c:pt idx="4">
                  <c:v>484</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79</c:v>
                </c:pt>
                <c:pt idx="2">
                  <c:v>91.2</c:v>
                </c:pt>
                <c:pt idx="3">
                  <c:v>101.5</c:v>
                </c:pt>
                <c:pt idx="4">
                  <c:v>150.2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29</c:v>
                </c:pt>
                <c:pt idx="1">
                  <c:v>53.5</c:v>
                </c:pt>
                <c:pt idx="2">
                  <c:v>0</c:v>
                </c:pt>
                <c:pt idx="3">
                  <c:v>100.7</c:v>
                </c:pt>
                <c:pt idx="4">
                  <c:v>45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Ejecutivo</c:v>
                </c:pt>
                <c:pt idx="2">
                  <c:v>Dominical</c:v>
                </c:pt>
              </c:strCache>
            </c:strRef>
          </c:cat>
          <c:val>
            <c:numRef>
              <c:f>Hoja1!$B$2:$B$4</c:f>
              <c:numCache>
                <c:formatCode>0</c:formatCode>
                <c:ptCount val="3"/>
                <c:pt idx="0">
                  <c:v>8</c:v>
                </c:pt>
                <c:pt idx="1">
                  <c:v>1</c:v>
                </c:pt>
                <c:pt idx="2">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HAL Trust (vía HAL Investments B.V.)</c:v>
                </c:pt>
                <c:pt idx="1">
                  <c:v>Caisse des Dépôts (BPI Participations y CDC Croissance)</c:v>
                </c:pt>
                <c:pt idx="2">
                  <c:v>Wellington Management Group LLP</c:v>
                </c:pt>
                <c:pt idx="3">
                  <c:v>BlackRock Inc.</c:v>
                </c:pt>
                <c:pt idx="4">
                  <c:v>Autocartera (Technip Energies N.V.)</c:v>
                </c:pt>
              </c:strCache>
            </c:strRef>
          </c:cat>
          <c:val>
            <c:numRef>
              <c:f>Hoja1!$B$2:$B$6</c:f>
              <c:numCache>
                <c:formatCode>0.0"%"</c:formatCode>
                <c:ptCount val="5"/>
                <c:pt idx="0">
                  <c:v>20.01</c:v>
                </c:pt>
                <c:pt idx="1">
                  <c:v>8.6</c:v>
                </c:pt>
                <c:pt idx="2">
                  <c:v>5.11</c:v>
                </c:pt>
                <c:pt idx="3">
                  <c:v>3.39</c:v>
                </c:pt>
                <c:pt idx="4">
                  <c:v>3.06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18.7</c:v>
                </c:pt>
                <c:pt idx="1">
                  <c:v>48.2</c:v>
                </c:pt>
                <c:pt idx="2">
                  <c:v>24.5</c:v>
                </c:pt>
                <c:pt idx="3">
                  <c:v>29.8</c:v>
                </c:pt>
              </c:numCache>
            </c:numRef>
          </c:val>
        </c:ser>
        <c:ser>
          <c:idx val="1"/>
          <c:order val="1"/>
          <c:tx>
            <c:strRef>
              <c:f>Hoja1!$C$1</c:f>
              <c:strCache>
                <c:ptCount val="1"/>
                <c:pt idx="0">
                  <c:v>Índice</c:v>
                </c:pt>
              </c:strCache>
            </c:strRef>
          </c:tx>
          <c:spPr>
            <a:solidFill>
              <a:srgbClr val="EB6834"/>
            </a:solidFill>
            <a:ln w="9525">
              <a:no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-10.3</c:v>
                </c:pt>
                <c:pt idx="1">
                  <c:v>15.5</c:v>
                </c:pt>
                <c:pt idx="2">
                  <c:v>8.5</c:v>
                </c:pt>
                <c:pt idx="3">
                  <c:v>20.5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-0.5</c:v>
                </c:pt>
                <c:pt idx="1">
                  <c:v>0.3</c:v>
                </c:pt>
                <c:pt idx="2">
                  <c:v>2.7</c:v>
                </c:pt>
                <c:pt idx="3">
                  <c:v>3.2</c:v>
                </c:pt>
                <c:pt idx="4">
                  <c:v>6.2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2.7</c:v>
                </c:pt>
                <c:pt idx="1">
                  <c:v>2.7</c:v>
                </c:pt>
                <c:pt idx="2">
                  <c:v>2.7</c:v>
                </c:pt>
                <c:pt idx="3">
                  <c:v>2.7</c:v>
                </c:pt>
                <c:pt idx="4">
                  <c:v>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Technip Energies</c:v>
                </c:pt>
                <c:pt idx="1">
                  <c:v>Saipem</c:v>
                </c:pt>
                <c:pt idx="2">
                  <c:v>Técnicas Reunidas</c:v>
                </c:pt>
                <c:pt idx="3">
                  <c:v>KBR</c:v>
                </c:pt>
                <c:pt idx="4">
                  <c:v>Fluor</c:v>
                </c:pt>
                <c:pt idx="5">
                  <c:v>JGC Holdings</c:v>
                </c:pt>
                <c:pt idx="6">
                  <c:v>Samsung E&amp;A</c:v>
                </c:pt>
                <c:pt idx="7">
                  <c:v>Worley</c:v>
                </c:pt>
                <c:pt idx="8">
                  <c:v>Aker Solutions</c:v>
                </c:pt>
              </c:strCache>
            </c:strRef>
          </c:cat>
          <c:val>
            <c:numRef>
              <c:f>Hoja1!$B$2:$B$10</c:f>
              <c:numCache>
                <c:formatCode>0.0"x"</c:formatCode>
                <c:ptCount val="9"/>
                <c:pt idx="0">
                  <c:v>3.7</c:v>
                </c:pt>
                <c:pt idx="1">
                  <c:v>4.7</c:v>
                </c:pt>
                <c:pt idx="2">
                  <c:v>4.1</c:v>
                </c:pt>
                <c:pt idx="3">
                  <c:v>6.5</c:v>
                </c:pt>
                <c:pt idx="4">
                  <c:v>9.6</c:v>
                </c:pt>
                <c:pt idx="5">
                  <c:v>2.7</c:v>
                </c:pt>
                <c:pt idx="6">
                  <c:v>5.5</c:v>
                </c:pt>
                <c:pt idx="7">
                  <c:v>6.5</c:v>
                </c:pt>
                <c:pt idx="8">
                  <c:v>5.1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Technip Energies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15.3</c:v>
                </c:pt>
              </c:numCache>
            </c:numRef>
          </c:xVal>
          <c:yVal>
            <c:numRef>
              <c:f>Hoja1!$C$2</c:f>
              <c:numCache>
                <c:formatCode>0.0"x"</c:formatCode>
                <c:ptCount val="1"/>
                <c:pt idx="0">
                  <c:v>3.7</c:v>
                </c:pt>
              </c:numCache>
            </c:numRef>
          </c:yVal>
          <c:smooth val="0"/>
        </c:ser>
        <c:ser>
          <c:idx val="1"/>
          <c:order val="1"/>
          <c:tx>
            <c:strRef>
              <c:f>Hoja1!$A$3</c:f>
              <c:strCache>
                <c:ptCount val="1"/>
                <c:pt idx="0">
                  <c:v>Saipem</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1.7</c:v>
                </c:pt>
              </c:numCache>
            </c:numRef>
          </c:xVal>
          <c:yVal>
            <c:numRef>
              <c:f>Hoja1!$C$3</c:f>
              <c:numCache>
                <c:formatCode>0.0"x"</c:formatCode>
                <c:ptCount val="1"/>
                <c:pt idx="0">
                  <c:v>4.7</c:v>
                </c:pt>
              </c:numCache>
            </c:numRef>
          </c:yVal>
          <c:smooth val="0"/>
        </c:ser>
        <c:ser>
          <c:idx val="2"/>
          <c:order val="2"/>
          <c:tx>
            <c:strRef>
              <c:f>Hoja1!$A$4</c:f>
              <c:strCache>
                <c:ptCount val="1"/>
                <c:pt idx="0">
                  <c:v>Técnicas Reunidas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2.4</c:v>
                </c:pt>
              </c:numCache>
            </c:numRef>
          </c:xVal>
          <c:yVal>
            <c:numRef>
              <c:f>Hoja1!$C$4</c:f>
              <c:numCache>
                <c:formatCode>0.0"x"</c:formatCode>
                <c:ptCount val="1"/>
                <c:pt idx="0">
                  <c:v>4.1</c:v>
                </c:pt>
              </c:numCache>
            </c:numRef>
          </c:yVal>
          <c:smooth val="0"/>
        </c:ser>
        <c:ser>
          <c:idx val="3"/>
          <c:order val="3"/>
          <c:tx>
            <c:strRef>
              <c:f>Hoja1!$A$5</c:f>
              <c:strCache>
                <c:ptCount val="1"/>
                <c:pt idx="0">
                  <c:v>KBR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5.1</c:v>
                </c:pt>
              </c:numCache>
            </c:numRef>
          </c:xVal>
          <c:yVal>
            <c:numRef>
              <c:f>Hoja1!$C$5</c:f>
              <c:numCache>
                <c:formatCode>0.0"x"</c:formatCode>
                <c:ptCount val="1"/>
                <c:pt idx="0">
                  <c:v>6.5</c:v>
                </c:pt>
              </c:numCache>
            </c:numRef>
          </c:yVal>
          <c:smooth val="0"/>
        </c:ser>
        <c:ser>
          <c:idx val="4"/>
          <c:order val="4"/>
          <c:tx>
            <c:strRef>
              <c:f>Hoja1!$A$6</c:f>
              <c:strCache>
                <c:ptCount val="1"/>
                <c:pt idx="0">
                  <c:v>Fluor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9.4</c:v>
                </c:pt>
              </c:numCache>
            </c:numRef>
          </c:xVal>
          <c:yVal>
            <c:numRef>
              <c:f>Hoja1!$C$6</c:f>
              <c:numCache>
                <c:formatCode>0.0"x"</c:formatCode>
                <c:ptCount val="1"/>
                <c:pt idx="0">
                  <c:v>9.6</c:v>
                </c:pt>
              </c:numCache>
            </c:numRef>
          </c:yVal>
          <c:smooth val="0"/>
        </c:ser>
        <c:ser>
          <c:idx val="5"/>
          <c:order val="5"/>
          <c:tx>
            <c:strRef>
              <c:f>Hoja1!$A$7</c:f>
              <c:strCache>
                <c:ptCount val="1"/>
                <c:pt idx="0">
                  <c:v>JGC Holdings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2.1</c:v>
                </c:pt>
              </c:numCache>
            </c:numRef>
          </c:xVal>
          <c:yVal>
            <c:numRef>
              <c:f>Hoja1!$C$7</c:f>
              <c:numCache>
                <c:formatCode>0.0"x"</c:formatCode>
                <c:ptCount val="1"/>
                <c:pt idx="0">
                  <c:v>2.7</c:v>
                </c:pt>
              </c:numCache>
            </c:numRef>
          </c:yVal>
          <c:smooth val="0"/>
        </c:ser>
        <c:ser>
          <c:idx val="6"/>
          <c:order val="6"/>
          <c:tx>
            <c:strRef>
              <c:f>Hoja1!$A$8</c:f>
              <c:strCache>
                <c:ptCount val="1"/>
                <c:pt idx="0">
                  <c:v>Samsung E&amp;A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19.2</c:v>
                </c:pt>
              </c:numCache>
            </c:numRef>
          </c:xVal>
          <c:yVal>
            <c:numRef>
              <c:f>Hoja1!$C$8</c:f>
              <c:numCache>
                <c:formatCode>0.0"x"</c:formatCode>
                <c:ptCount val="1"/>
                <c:pt idx="0">
                  <c:v>5.5</c:v>
                </c:pt>
              </c:numCache>
            </c:numRef>
          </c:yVal>
          <c:smooth val="0"/>
        </c:ser>
        <c:ser>
          <c:idx val="7"/>
          <c:order val="7"/>
          <c:tx>
            <c:strRef>
              <c:f>Hoja1!$A$9</c:f>
              <c:strCache>
                <c:ptCount val="1"/>
                <c:pt idx="0">
                  <c:v>Worley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4</c:v>
                </c:pt>
              </c:numCache>
            </c:numRef>
          </c:xVal>
          <c:yVal>
            <c:numRef>
              <c:f>Hoja1!$C$9</c:f>
              <c:numCache>
                <c:formatCode>0.0"x"</c:formatCode>
                <c:ptCount val="1"/>
                <c:pt idx="0">
                  <c:v>6.5</c:v>
                </c:pt>
              </c:numCache>
            </c:numRef>
          </c:yVal>
          <c:smooth val="0"/>
        </c:ser>
        <c:ser>
          <c:idx val="8"/>
          <c:order val="8"/>
          <c:tx>
            <c:strRef>
              <c:f>Hoja1!$A$10</c:f>
              <c:strCache>
                <c:ptCount val="1"/>
                <c:pt idx="0">
                  <c:v>Aker Solutions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-21.5</c:v>
                </c:pt>
              </c:numCache>
            </c:numRef>
          </c:xVal>
          <c:yVal>
            <c:numRef>
              <c:f>Hoja1!$C$10</c:f>
              <c:numCache>
                <c:formatCode>0.0"x"</c:formatCode>
                <c:ptCount val="1"/>
                <c:pt idx="0">
                  <c:v>5.1</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Advanced Materials &amp; Catalysts (Ecovyst)</c:v>
                </c:pt>
                <c:pt idx="1">
                  <c:v>Chart Industries</c:v>
                </c:pt>
                <c:pt idx="2">
                  <c:v>Negocio de tecnología y equipos de proceso de GNL de Air Products</c:v>
                </c:pt>
                <c:pt idx="3">
                  <c:v>Environment &amp; Infrastructure de John Wood Group</c:v>
                </c:pt>
                <c:pt idx="4">
                  <c:v>Energy, Chemicals &amp; Resources de Jacobs</c:v>
                </c:pt>
              </c:strCache>
            </c:strRef>
          </c:cat>
          <c:val>
            <c:numRef>
              <c:f>Hoja1!$B$2:$B$6</c:f>
              <c:numCache>
                <c:formatCode>0.0"x"</c:formatCode>
                <c:ptCount val="5"/>
                <c:pt idx="0">
                  <c:v>9.8</c:v>
                </c:pt>
                <c:pt idx="2">
                  <c:v>13</c:v>
                </c:pt>
                <c:pt idx="3">
                  <c:v>14.6</c:v>
                </c:pt>
                <c:pt idx="4">
                  <c:v>11.5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403</c:v>
                </c:pt>
                <c:pt idx="1">
                  <c:v>567</c:v>
                </c:pt>
                <c:pt idx="2">
                  <c:v>217</c:v>
                </c:pt>
                <c:pt idx="3">
                  <c:v>61</c:v>
                </c:pt>
                <c:pt idx="4">
                  <c:v>68</c:v>
                </c:pt>
                <c:pt idx="5">
                  <c:v>220</c:v>
                </c:pt>
                <c:pt idx="6">
                  <c:v>335</c:v>
                </c:pt>
                <c:pt idx="7">
                  <c:v>442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1511</c:v>
                </c:pt>
                <c:pt idx="1">
                  <c:v>3595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29,14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21.16</c:v>
                </c:pt>
                <c:pt idx="1">
                  <c:v>44.41</c:v>
                </c:pt>
                <c:pt idx="2">
                  <c:v>56.53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29,14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(26,94 – 41,58)</c:v>
                </c:pt>
                <c:pt idx="1">
                  <c:v>Precio objetivo de los analistas (32,00 – 48,00)</c:v>
                </c:pt>
                <c:pt idx="2">
                  <c:v>Comparables: EV/EBITDA NTM (32,42 – 39,86)</c:v>
                </c:pt>
                <c:pt idx="3">
                  <c:v>Comparables: PER NTM (25,34 – 34,33)</c:v>
                </c:pt>
                <c:pt idx="4">
                  <c:v>Transacciones precedentes (EV/EBITDA) (41,85 – 47,47)</c:v>
                </c:pt>
                <c:pt idx="5">
                  <c:v>DCF (WACC y g ± 0,5) (40,98 – 49,03)</c:v>
                </c:pt>
                <c:pt idx="6">
                  <c:v>Escenarios (bajista – alcista) (21,16 – 56,53)</c:v>
                </c:pt>
                <c:pt idx="7">
                  <c:v>Suma de partes (31,92 – 37,87)</c:v>
                </c:pt>
                <c:pt idx="8">
                  <c:v>DCF con la prima implícita del mercado (4,2 %)</c:v>
                </c:pt>
                <c:pt idx="9">
                  <c:v>Precio actual (29,14)</c:v>
                </c:pt>
              </c:strCache>
            </c:strRef>
          </c:cat>
          <c:val>
            <c:numRef>
              <c:f>Hoja1!$B$2:$B$11</c:f>
              <c:numCache>
                <c:formatCode>#,##0.0</c:formatCode>
                <c:ptCount val="10"/>
                <c:pt idx="0">
                  <c:v>26.94</c:v>
                </c:pt>
                <c:pt idx="1">
                  <c:v>32</c:v>
                </c:pt>
                <c:pt idx="2">
                  <c:v>32.42</c:v>
                </c:pt>
                <c:pt idx="3">
                  <c:v>25.34</c:v>
                </c:pt>
                <c:pt idx="4">
                  <c:v>41.85</c:v>
                </c:pt>
                <c:pt idx="5">
                  <c:v>40.98</c:v>
                </c:pt>
                <c:pt idx="6">
                  <c:v>21.16</c:v>
                </c:pt>
                <c:pt idx="7">
                  <c:v>31.92</c:v>
                </c:pt>
                <c:pt idx="8">
                  <c:v>47.21</c:v>
                </c:pt>
                <c:pt idx="9">
                  <c:v>28.99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(26,94 – 41,58)</c:v>
                </c:pt>
                <c:pt idx="1">
                  <c:v>Precio objetivo de los analistas (32,00 – 48,00)</c:v>
                </c:pt>
                <c:pt idx="2">
                  <c:v>Comparables: EV/EBITDA NTM (32,42 – 39,86)</c:v>
                </c:pt>
                <c:pt idx="3">
                  <c:v>Comparables: PER NTM (25,34 – 34,33)</c:v>
                </c:pt>
                <c:pt idx="4">
                  <c:v>Transacciones precedentes (EV/EBITDA) (41,85 – 47,47)</c:v>
                </c:pt>
                <c:pt idx="5">
                  <c:v>DCF (WACC y g ± 0,5) (40,98 – 49,03)</c:v>
                </c:pt>
                <c:pt idx="6">
                  <c:v>Escenarios (bajista – alcista) (21,16 – 56,53)</c:v>
                </c:pt>
                <c:pt idx="7">
                  <c:v>Suma de partes (31,92 – 37,87)</c:v>
                </c:pt>
                <c:pt idx="8">
                  <c:v>DCF con la prima implícita del mercado (4,2 %)</c:v>
                </c:pt>
                <c:pt idx="9">
                  <c:v>Precio actual (29,14)</c:v>
                </c:pt>
              </c:strCache>
            </c:strRef>
          </c:cat>
          <c:val>
            <c:numRef>
              <c:f>Hoja1!$C$2:$C$11</c:f>
              <c:numCache>
                <c:formatCode>#,##0.0</c:formatCode>
                <c:ptCount val="10"/>
                <c:pt idx="0">
                  <c:v>14.639999999999997</c:v>
                </c:pt>
                <c:pt idx="1">
                  <c:v>16</c:v>
                </c:pt>
                <c:pt idx="2">
                  <c:v>7.439999999999998</c:v>
                </c:pt>
                <c:pt idx="3">
                  <c:v>8.989999999999998</c:v>
                </c:pt>
                <c:pt idx="4">
                  <c:v>5.619999999999997</c:v>
                </c:pt>
                <c:pt idx="5">
                  <c:v>8.050000000000004</c:v>
                </c:pt>
                <c:pt idx="6">
                  <c:v>35.370000000000005</c:v>
                </c:pt>
                <c:pt idx="7">
                  <c:v>5.949999999999996</c:v>
                </c:pt>
                <c:pt idx="8">
                  <c:v>6.609999999999999</c:v>
                </c:pt>
                <c:pt idx="9">
                  <c:v>0.3000000000000007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