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hubspot-hubs-análisis-growth-14-oct-2026"/>
    <w:p>
      <w:pPr>
        <w:pStyle w:val="Heading1"/>
      </w:pPr>
      <w:r>
        <w:t xml:space="preserve">HubSpot (HUBS): análisis growth, 14-oct-2026</w:t>
      </w:r>
    </w:p>
    <w:p>
      <w:pPr>
        <w:pStyle w:val="FirstParagraph"/>
      </w:pPr>
      <w:r>
        <w:rPr>
          <w:bCs/>
          <w:b/>
        </w:rPr>
        <w:t xml:space="preserve">Señal (método v7): Comprar (convicción baja)</w:t>
      </w:r>
      <w:r>
        <w:t xml:space="preserve"> </w:t>
      </w:r>
      <w:r>
        <w:t xml:space="preserve">· Puntuación 66,8/100 · Señales de cambio de tendencia 3/8 · EV/beneficio bruto 3,0x</w:t>
      </w:r>
      <w:r>
        <w:t xml:space="preserve"> </w:t>
      </w:r>
      <w:r>
        <w:t xml:space="preserve">Precio 221,28 USD (cierre del 13-oct) · Objetivo 12 m 238,1 USD (ponderada +7,6 %, base +14,4 %, bajista −35,6 %, alcista +85,9 %) · Compra hasta 226,8 USD</w:t>
      </w:r>
      <w:r>
        <w:t xml:space="preserve"> </w:t>
      </w:r>
      <w:r>
        <w:t xml:space="preserve">Peso orientativo: 3,5 % según la regla, pero</w:t>
      </w:r>
      <w:r>
        <w:t xml:space="preserve"> </w:t>
      </w:r>
      <w:r>
        <w:rPr>
          <w:bCs/>
          <w:b/>
        </w:rPr>
        <w:t xml:space="preserve">mi recomendación es que no entre</w:t>
      </w:r>
      <w:r>
        <w:t xml:space="preserve">: Mantener en vigilancia (ver el recuadro y la sección 13) · Por qué (regla): cumple todos los requisitos de compra</w:t>
      </w:r>
    </w:p>
    <w:p>
      <w:pPr>
        <w:pStyle w:val="BlockText"/>
      </w:pPr>
      <w:r>
        <w:rPr>
          <w:bCs/>
          <w:b/>
        </w:rPr>
        <w:t xml:space="preserve">Calculado con el método v7</w:t>
      </w:r>
      <w:r>
        <w:t xml:space="preserve"> </w:t>
      </w:r>
      <w:r>
        <w:t xml:space="preserve">(</w:t>
      </w:r>
      <w:r>
        <w:rPr>
          <w:rStyle w:val="VerbatimChar"/>
        </w:rPr>
        <w:t xml:space="preserve">verticales/growth/metodo.md</w:t>
      </w:r>
      <w:r>
        <w:t xml:space="preserve">), con probabilidades</w:t>
      </w:r>
      <w:r>
        <w:t xml:space="preserve"> </w:t>
      </w:r>
      <w:r>
        <w:rPr>
          <w:bCs/>
          <w:b/>
        </w:rPr>
        <w:t xml:space="preserve">35/50/15</w:t>
      </w:r>
      <w:r>
        <w:t xml:space="preserve"> </w:t>
      </w:r>
      <w:r>
        <w:t xml:space="preserve">(no 25/50/25) por el riesgo de que la IA erosione el modelo por asiento (sección 4 bis). Las ventas del año objetivo salen de la regla mecánica, que parte de un crecimiento del</w:t>
      </w:r>
      <w:r>
        <w:t xml:space="preserve"> </w:t>
      </w:r>
      <w:r>
        <w:rPr>
          <w:bCs/>
          <w:b/>
        </w:rPr>
        <w:t xml:space="preserve">20,2 %</w:t>
      </w:r>
      <w:r>
        <w:t xml:space="preserve">. La empresa guía</w:t>
      </w:r>
      <w:r>
        <w:t xml:space="preserve"> </w:t>
      </w:r>
      <w:r>
        <w:rPr>
          <w:bCs/>
          <w:b/>
        </w:rPr>
        <w:t xml:space="preserve">+14 %</w:t>
      </w:r>
      <w:r>
        <w:t xml:space="preserve"> </w:t>
      </w:r>
      <w:r>
        <w:t xml:space="preserve">para el segundo semestre y la bate de media por 2,6 puntos.</w:t>
      </w:r>
      <w:r>
        <w:t xml:space="preserve"> </w:t>
      </w:r>
      <w:r>
        <w:rPr>
          <w:bCs/>
          <w:b/>
        </w:rPr>
        <w:t xml:space="preserve">Si se parte de min(mecánico, guía + exceso) = 16,7 %</w:t>
      </w:r>
      <w:r>
        <w:t xml:space="preserve"> </w:t>
      </w:r>
      <w:r>
        <w:t xml:space="preserve">(cálculo de la candidata v9, sin tocar el motor), las ventas quedan en 4.002 / 4.596 / 4.845 M USD y el resultado es</w:t>
      </w:r>
      <w:r>
        <w:t xml:space="preserve"> </w:t>
      </w:r>
      <w:r>
        <w:rPr>
          <w:bCs/>
          <w:b/>
        </w:rPr>
        <w:t xml:space="preserve">ponderada +2,7 %, base +8,9 %, bajista −37,1 %: Mantener en vigilancia</w:t>
      </w:r>
      <w:r>
        <w:t xml:space="preserve">, con compra hasta</w:t>
      </w:r>
      <w:r>
        <w:t xml:space="preserve"> </w:t>
      </w:r>
      <w:r>
        <w:rPr>
          <w:bCs/>
          <w:b/>
        </w:rPr>
        <w:t xml:space="preserve">216,4 USD</w:t>
      </w:r>
      <w:r>
        <w:t xml:space="preserve">. Con solo la guía, sin exceso, la ponderada es de −0,2 %. Precio revisado a las 16:28 UTC del 14-oct (223,67 USD): v7 da +6,7 % (sigue en Comprar) y la guía con el exceso da +1,8 % (Mantener).</w:t>
      </w:r>
      <w:r>
        <w:t xml:space="preserve"> </w:t>
      </w:r>
      <w:r>
        <w:rPr>
          <w:bCs/>
          <w:b/>
        </w:rPr>
        <w:t xml:space="preserve">La compra depende entera de suponer que HubSpot crecerá más de lo que ella misma dice. No la recomiendo.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HubSpot vende el CRM (la base de datos de clientes) y las herramientas de marketing, ventas y atención al cliente a</w:t>
      </w:r>
      <w:r>
        <w:t xml:space="preserve"> </w:t>
      </w:r>
      <w:r>
        <w:rPr>
          <w:bCs/>
          <w:b/>
        </w:rPr>
        <w:t xml:space="preserve">306.446 pymes y empresas medianas</w:t>
      </w:r>
      <w:r>
        <w:t xml:space="preserve">. Factura</w:t>
      </w:r>
      <w:r>
        <w:t xml:space="preserve"> </w:t>
      </w:r>
      <w:r>
        <w:rPr>
          <w:bCs/>
          <w:b/>
        </w:rPr>
        <w:t xml:space="preserve">3.449 M USD en 12 meses (+21 %)</w:t>
      </w:r>
      <w:r>
        <w:t xml:space="preserve">, con margen bruto del 83 %, FCF del 19 %, sin deuda y con 1.383 M de caja.</w:t>
      </w:r>
    </w:p>
    <w:p>
      <w:pPr>
        <w:numPr>
          <w:ilvl w:val="0"/>
          <w:numId w:val="1001"/>
        </w:numPr>
        <w:pStyle w:val="Compact"/>
      </w:pPr>
      <w:r>
        <w:t xml:space="preserve">La acción cae un</w:t>
      </w:r>
      <w:r>
        <w:t xml:space="preserve"> </w:t>
      </w:r>
      <w:r>
        <w:rPr>
          <w:bCs/>
          <w:b/>
        </w:rPr>
        <w:t xml:space="preserve">51 % en 12 meses</w:t>
      </w:r>
      <w:r>
        <w:t xml:space="preserve"> </w:t>
      </w:r>
      <w:r>
        <w:t xml:space="preserve">y un 70 % desde su máximo de 2025. Es el centro del «SaaSpocalypse»: el miedo a que los agentes de IA sustituyan a los comerciales y agentes de soporte que pagan asientos.</w:t>
      </w:r>
    </w:p>
    <w:p>
      <w:pPr>
        <w:numPr>
          <w:ilvl w:val="0"/>
          <w:numId w:val="1001"/>
        </w:numPr>
        <w:pStyle w:val="Compact"/>
      </w:pPr>
      <w:r>
        <w:t xml:space="preserve">Hoy cotiza a</w:t>
      </w:r>
      <w:r>
        <w:t xml:space="preserve"> </w:t>
      </w:r>
      <w:r>
        <w:rPr>
          <w:bCs/>
          <w:b/>
        </w:rPr>
        <w:t xml:space="preserve">2,5x ventas y 3,0x beneficio bruto NTM</w:t>
      </w:r>
      <w:r>
        <w:t xml:space="preserve">, frente a una mediana de 8,6x en tres años. El DCF inverso descuenta solo un</w:t>
      </w:r>
      <w:r>
        <w:t xml:space="preserve"> </w:t>
      </w:r>
      <w:r>
        <w:rPr>
          <w:bCs/>
          <w:b/>
        </w:rPr>
        <w:t xml:space="preserve">~2 % anual</w:t>
      </w:r>
      <w:r>
        <w:t xml:space="preserve"> </w:t>
      </w:r>
      <w:r>
        <w:t xml:space="preserve">de crecimiento a 10 años con un margen FCF del 20 % (o un ~9 % si se descuentan los pagos en acciones).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problema es que los indicadores adelantados empeoran</w:t>
      </w:r>
      <w:r>
        <w:t xml:space="preserve">: NRR (retención neta) del 103 % al 102 %, altas netas de clientes de 10.800 a 7.000 y a 5.000-6.000, «net new ARR» por debajo del crecimiento de ventas, guía de solo</w:t>
      </w:r>
      <w:r>
        <w:t xml:space="preserve"> </w:t>
      </w:r>
      <w:r>
        <w:rPr>
          <w:bCs/>
          <w:b/>
        </w:rPr>
        <w:t xml:space="preserve">+14 %</w:t>
      </w:r>
      <w:r>
        <w:t xml:space="preserve"> </w:t>
      </w:r>
      <w:r>
        <w:t xml:space="preserve">en el 3T y guía anual recortada en agosto. A esto se suman cuatro rebajas de analistas en octubre y un 7 % de la plantilla despedida.</w:t>
      </w:r>
    </w:p>
    <w:p>
      <w:pPr>
        <w:numPr>
          <w:ilvl w:val="0"/>
          <w:numId w:val="1001"/>
        </w:numPr>
        <w:pStyle w:val="Compact"/>
      </w:pPr>
      <w:r>
        <w:t xml:space="preserve">Conclusión: está barata y gana dinero, pero</w:t>
      </w:r>
      <w:r>
        <w:t xml:space="preserve"> </w:t>
      </w:r>
      <w:r>
        <w:rPr>
          <w:bCs/>
          <w:b/>
        </w:rPr>
        <w:t xml:space="preserve">el riesgo IA no es solo un relato: ya se ve en las cifras de crecimiento</w:t>
      </w:r>
      <w:r>
        <w:t xml:space="preserve">. La regla v7 da Comprar (baja) por poco. Partiendo de su propia guía, sale Mantener.</w:t>
      </w:r>
      <w:r>
        <w:t xml:space="preserve"> </w:t>
      </w:r>
      <w:r>
        <w:rPr>
          <w:bCs/>
          <w:b/>
        </w:rPr>
        <w:t xml:space="preserve">Recomiendo no comprarla ahora y revisarla con el 3T (principios de noviembre) y la guía 2027 (febrero).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HubSpot vende una «plataforma de clientes» en tres capas:</w:t>
      </w:r>
      <w:r>
        <w:t xml:space="preserve"> </w:t>
      </w:r>
      <w:r>
        <w:rPr>
          <w:bCs/>
          <w:b/>
        </w:rPr>
        <w:t xml:space="preserve">agentes de IA y «hubs»</w:t>
      </w:r>
      <w:r>
        <w:t xml:space="preserve"> </w:t>
      </w:r>
      <w:r>
        <w:t xml:space="preserve">(Marketing, Sales, Service, Content, Operations, Commerce), un</w:t>
      </w:r>
      <w:r>
        <w:t xml:space="preserve"> </w:t>
      </w:r>
      <w:r>
        <w:rPr>
          <w:bCs/>
          <w:b/>
        </w:rPr>
        <w:t xml:space="preserve">Smart CRM</w:t>
      </w:r>
      <w:r>
        <w:t xml:space="preserve"> </w:t>
      </w:r>
      <w:r>
        <w:t xml:space="preserve">que es la capa de datos común y un</w:t>
      </w:r>
      <w:r>
        <w:t xml:space="preserve"> </w:t>
      </w:r>
      <w:r>
        <w:rPr>
          <w:bCs/>
          <w:b/>
        </w:rPr>
        <w:t xml:space="preserve">ecosistema</w:t>
      </w:r>
      <w:r>
        <w:t xml:space="preserve"> </w:t>
      </w:r>
      <w:r>
        <w:t xml:space="preserve">con más de 2.000 integraciones y más de 4.000 socios, que aportan el 25 % del ARR y gestionan ~40 % de los clientes [1][4][5]. Cobra</w:t>
      </w:r>
      <w:r>
        <w:t xml:space="preserve"> </w:t>
      </w:r>
      <w:r>
        <w:rPr>
          <w:bCs/>
          <w:b/>
        </w:rPr>
        <w:t xml:space="preserve">suscripciones</w:t>
      </w:r>
      <w:r>
        <w:t xml:space="preserve"> </w:t>
      </w:r>
      <w:r>
        <w:t xml:space="preserve">por niveles (Starter, Professional, Enterprise). Los hubs de ventas y servicio se cobran sobre todo</w:t>
      </w:r>
      <w:r>
        <w:t xml:space="preserve"> </w:t>
      </w:r>
      <w:r>
        <w:rPr>
          <w:bCs/>
          <w:b/>
        </w:rPr>
        <w:t xml:space="preserve">por asiento</w:t>
      </w:r>
      <w:r>
        <w:t xml:space="preserve"> </w:t>
      </w:r>
      <w:r>
        <w:t xml:space="preserve">(más de 2,5 M de asientos de pago, 1 M de ellos «core») y el de marketing</w:t>
      </w:r>
      <w:r>
        <w:t xml:space="preserve"> </w:t>
      </w:r>
      <w:r>
        <w:rPr>
          <w:bCs/>
          <w:b/>
        </w:rPr>
        <w:t xml:space="preserve">por contactos</w:t>
      </w:r>
      <w:r>
        <w:t xml:space="preserve">. Desde 2026 añade</w:t>
      </w:r>
      <w:r>
        <w:t xml:space="preserve"> </w:t>
      </w:r>
      <w:r>
        <w:rPr>
          <w:bCs/>
          <w:b/>
        </w:rPr>
        <w:t xml:space="preserve">créditos</w:t>
      </w:r>
      <w:r>
        <w:t xml:space="preserve"> </w:t>
      </w:r>
      <w:r>
        <w:t xml:space="preserve">por el trabajo de los agentes y precios</w:t>
      </w:r>
      <w:r>
        <w:t xml:space="preserve"> </w:t>
      </w:r>
      <w:r>
        <w:rPr>
          <w:bCs/>
          <w:b/>
        </w:rPr>
        <w:t xml:space="preserve">por resultado</w:t>
      </w:r>
      <w:r>
        <w:t xml:space="preserve">: por conversación resuelta (Customer Agent) y por cliente potencial cualificado (Prospecting Agent) [5][8].</w:t>
      </w:r>
    </w:p>
    <w:p>
      <w:pPr>
        <w:pStyle w:val="BodyText"/>
      </w:pPr>
      <w:r>
        <w:t xml:space="preserve">Lo diferencial es la</w:t>
      </w:r>
      <w:r>
        <w:t xml:space="preserve"> </w:t>
      </w:r>
      <w:r>
        <w:rPr>
          <w:bCs/>
          <w:b/>
        </w:rPr>
        <w:t xml:space="preserve">suite integrada y fácil para la pyme</w:t>
      </w:r>
      <w:r>
        <w:t xml:space="preserve">: el 70 % del ARR viene de clientes con tres o más hubs, y el 64 % de los nuevos clientes Pro+ compran varios hubs [5][8]. La IA (Breeze) está dentro del producto: Customer Agent resuelve el 70-72 % de las consultas sin intervención humana; más del 55 % de los clientes Pro+ usan Breeze Assistant y el 19 % usan agentes [5][8].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Tecnología 3/5</w:t>
      </w:r>
      <w:r>
        <w:t xml:space="preserve">: el CRM con los datos de 300.000 empresas es un activo, pero no es irrepetible. Salesforce, Microsoft Dynamics, Zoho, Freshworks, Monday y CRM nativos de IA lo ofrecen, y los modelos de lenguaje pueden construir encima de cualquier base de datos.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Posición 4/5</w:t>
      </w:r>
      <w:r>
        <w:t xml:space="preserve">: líder en CRM para pymes y empresas medianas, segundo actor del CRM por notoriedad detrás de Salesforce. Gana clientes (+14 %), pero cada vez más pequeños (Starter), y la cuota en valor no está demostrada.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publicado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tipo 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(punto medio)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Exceso (pp)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Altas netas de 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~10.900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3T26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plana en el 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5.000-6.000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4T26 implícito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964,8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Fuentes: [1][2][4][8]. Altas netas calculadas con los clientes de cada nota de resultados.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3.131,3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(guía)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17,6 %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Ventas de los últimos 12 meses</w:t>
      </w:r>
      <w:r>
        <w:t xml:space="preserve"> </w:t>
      </w:r>
      <w:r>
        <w:t xml:space="preserve">(3T25-2T26):</w:t>
      </w:r>
      <w:r>
        <w:t xml:space="preserve"> </w:t>
      </w:r>
      <w:r>
        <w:rPr>
          <w:bCs/>
          <w:b/>
        </w:rPr>
        <w:t xml:space="preserve">3.449 M USD, +21,1 %</w:t>
      </w:r>
      <w:r>
        <w:t xml:space="preserve">.</w:t>
      </w:r>
      <w:r>
        <w:t xml:space="preserve"> </w:t>
      </w:r>
      <w:r>
        <w:rPr>
          <w:bCs/>
          <w:b/>
        </w:rPr>
        <w:t xml:space="preserve">CAGR propio a 2 años: 20,0 %</w:t>
      </w:r>
      <w:r>
        <w:t xml:space="preserve"> </w:t>
      </w:r>
      <w:r>
        <w:t xml:space="preserve">(2.394 M en los 12 meses a jun-2024) [4].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Aceleración: −1,2 pp</w:t>
      </w:r>
      <w:r>
        <w:t xml:space="preserve"> </w:t>
      </w:r>
      <w:r>
        <w:t xml:space="preserve">(+19,8 % en el 2T26 frente a una media de +21,0 % en los cuatro anteriores). Pero ~3 puntos son divisa: a tipo constante el crecimiento baja del 18 % al 17 % y al 15 % (guía del 3T).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Retención</w:t>
      </w:r>
      <w:r>
        <w:t xml:space="preserve">: NRR del 102 % (−1 punto). En mayo la empresa esperaba que subiera 1-2 puntos en 2026; en agosto la guía pasó a «plana». La retención en dólares de los clientes se mantiene «en la parte alta de los 80» [8].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</w:t>
      </w:r>
      <w:r>
        <w:t xml:space="preserve">: el año 2026 en 3.678-3.686 M (+18 %),</w:t>
      </w:r>
      <w:r>
        <w:t xml:space="preserve"> </w:t>
      </w:r>
      <w:r>
        <w:rPr>
          <w:bCs/>
          <w:b/>
        </w:rPr>
        <w:t xml:space="preserve">recortado en 22 M</w:t>
      </w:r>
      <w:r>
        <w:t xml:space="preserve"> </w:t>
      </w:r>
      <w:r>
        <w:t xml:space="preserve">en agosto pese a batir el 2T. El 2S implícito crece un</w:t>
      </w:r>
      <w:r>
        <w:t xml:space="preserve"> </w:t>
      </w:r>
      <w:r>
        <w:rPr>
          <w:bCs/>
          <w:b/>
        </w:rPr>
        <w:t xml:space="preserve">14,1 %</w:t>
      </w:r>
      <w:r>
        <w:t xml:space="preserve"> </w:t>
      </w:r>
      <w:r>
        <w:t xml:space="preserve">(</w:t>
      </w:r>
      <w:r>
        <w:rPr>
          <w:rStyle w:val="VerbatimChar"/>
        </w:rPr>
        <w:t xml:space="preserve">guia_12m_pct</w:t>
      </w:r>
      <w:r>
        <w:t xml:space="preserve">). Exceso medio sobre la guía en cuatro trimestres:</w:t>
      </w:r>
      <w:r>
        <w:t xml:space="preserve"> </w:t>
      </w:r>
      <w:r>
        <w:rPr>
          <w:bCs/>
          <w:b/>
        </w:rPr>
        <w:t xml:space="preserve">2,6 pp</w:t>
      </w:r>
      <w:r>
        <w:t xml:space="preserve"> </w:t>
      </w:r>
      <w:r>
        <w:t xml:space="preserve">(</w:t>
      </w:r>
      <w:r>
        <w:rPr>
          <w:rStyle w:val="VerbatimChar"/>
        </w:rPr>
        <w:t xml:space="preserve">exceso_guia_pp</w:t>
      </w:r>
      <w:r>
        <w:t xml:space="preserve">), pero baja (3,5 → 1,9). Sin guía de 2027: el consenso espera ~14 % y Raymond James, «bajo doble dígito» [9].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Precio medio por cliente</w:t>
      </w:r>
      <w:r>
        <w:t xml:space="preserve">: 11.800 USD (+4 % publicado,</w:t>
      </w:r>
      <w:r>
        <w:t xml:space="preserve"> </w:t>
      </w:r>
      <w:r>
        <w:rPr>
          <w:bCs/>
          <w:b/>
        </w:rPr>
        <w:t xml:space="preserve">+2 % a tipo constante</w:t>
      </w:r>
      <w:r>
        <w:t xml:space="preserve">). Los clientes nuevos entran por el plan Starter, el barato [1][4].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alcanzable: ~50.000 M USD en 2028</w:t>
      </w:r>
      <w:r>
        <w:t xml:space="preserve"> </w:t>
      </w:r>
      <w:r>
        <w:t xml:space="preserve">(estimación propia, de memoria [15]). Es el software de marketing, ventas y servicio al cliente para pymes y empresas medianas; Gartner sitúa el CRM total por encima de 100.000 M USD.</w:t>
      </w:r>
      <w:r>
        <w:t xml:space="preserve"> </w:t>
      </w:r>
      <w:r>
        <w:rPr>
          <w:bCs/>
          <w:b/>
        </w:rPr>
        <w:t xml:space="preserve">Penetración: 3.449 / 50.000 = 6,9 %.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Rivales</w:t>
      </w:r>
      <w:r>
        <w:t xml:space="preserve">: Salesforce (43.900 M de ventas, +11 %; Agentforce supera los 1.500 M de ARR, +240 %, y compra Fin para atención al cliente) [14]; Microsoft Dynamics y Copilot; Zoho; Freshworks (+16 %); monday.com (+22 %, que despide al 20 % de su plantilla) [14]; Pipedrive; CRM nativos de IA (de memoria).</w:t>
      </w:r>
      <w:r>
        <w:t xml:space="preserve"> </w:t>
      </w:r>
      <w:r>
        <w:rPr>
          <w:bCs/>
          <w:b/>
        </w:rPr>
        <w:t xml:space="preserve">El rival nuevo son los propios modelos de lenguaje</w:t>
      </w:r>
      <w:r>
        <w:t xml:space="preserve"> </w:t>
      </w:r>
      <w:r>
        <w:t xml:space="preserve">(ChatGPT, Claude, Gemini) como interfaz: HubSpot fue de las primeras en crear conectores para ellos [8].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 (cuando gana)</w:t>
      </w:r>
      <w:r>
        <w:t xml:space="preserve">: es más fácil y barata que Salesforce, la suite está integrada y el ecosistema de socios es enorme. Los deals de más de 120.000 USD de ARR suben un 38 % y ya son el 18 % del ARR instalado [5]. Pero los clientes nuevos llegan más pequeños y el gasto de los actuales se frena.</w:t>
      </w:r>
    </w:p>
    <w:bookmarkEnd w:id="23"/>
    <w:bookmarkStart w:id="24" w:name="Xfe83a0f78f4003902466c003d13f5425ec09306"/>
    <w:p>
      <w:pPr>
        <w:pStyle w:val="Heading2"/>
      </w:pPr>
      <w:r>
        <w:t xml:space="preserve">4 bis. ¿Se come la IA el negocio? (riesgo de tesis rota)</w:t>
      </w:r>
    </w:p>
    <w:p>
      <w:pPr>
        <w:pStyle w:val="FirstParagraph"/>
      </w:pPr>
      <w:r>
        <w:rPr>
          <w:bCs/>
          <w:b/>
        </w:rPr>
        <w:t xml:space="preserve">La pregunta</w:t>
      </w:r>
      <w:r>
        <w:t xml:space="preserve">: si un agente de IA hace el trabajo de tres comerciales o agentes de soporte, la pyme paga menos asientos. Y si el cliente trabaja desde ChatGPT o Claude, el CRM pasa a ser una base de datos «sin cabeza» (headless) que se puede cambiar por otra más barata. HubSpot cobra la mayor parte de sus hubs de ventas y servicio por asiento.</w:t>
      </w:r>
    </w:p>
    <w:p>
      <w:pPr>
        <w:pStyle w:val="BodyText"/>
      </w:pPr>
      <w:r>
        <w:rPr>
          <w:bCs/>
          <w:b/>
        </w:rPr>
        <w:t xml:space="preserve">Lo que dicen los datos a favor del miedo</w:t>
      </w:r>
      <w:r>
        <w:t xml:space="preserve"> </w:t>
      </w:r>
      <w:r>
        <w:t xml:space="preserve">(no es solo relato):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Retención y altas</w:t>
      </w:r>
      <w:r>
        <w:t xml:space="preserve">: NRR del 103 al 102 % cuando esperaban +1-2 puntos; altas netas de 10.800 → 7.000 → 5.000-6.000; precio por cliente +2 % a tipo constante. La empresa lo atribuye a «optimización de presupuestos y bajadas de plan» [8].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Crecimiento futuro</w:t>
      </w:r>
      <w:r>
        <w:t xml:space="preserve">: el «net new ARR» crece menos que las ventas, así que</w:t>
      </w:r>
      <w:r>
        <w:t xml:space="preserve"> </w:t>
      </w:r>
      <w:r>
        <w:rPr>
          <w:bCs/>
          <w:b/>
        </w:rPr>
        <w:t xml:space="preserve">las ventas de 2027 crecerán menos que el +14 % de hoy</w:t>
      </w:r>
      <w:r>
        <w:t xml:space="preserve"> </w:t>
      </w:r>
      <w:r>
        <w:t xml:space="preserve">si nada cambia (Raymond James: bajo doble dígito) [8][9].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Precio de la IA</w:t>
      </w:r>
      <w:r>
        <w:t xml:space="preserve">: rebajó el precio de los agentes en abril y pasó a cobrar por resultado y con pruebas gratis de 28 días. Monetiza menos por cliente para no perder la adopción [5][8].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Margen bruto</w:t>
      </w:r>
      <w:r>
        <w:t xml:space="preserve">: del 84 % al 82 % en un año, porque los agentes cuestan cómputo. La empresa avisa de que el coste de ventas crecerá más que las ventas en 2027 [1][5].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Competencia por arriba y por debajo</w:t>
      </w:r>
      <w:r>
        <w:t xml:space="preserve">: Salesforce empuja Agentforce y compra un agente de atención al cliente (Fin). Los modelos de lenguaje se convierten en la interfaz y HubSpot tiene que conectarse a ellos: les da los datos sin cobrar asiento por ese uso [8][14].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El sector entero lo sufre</w:t>
      </w:r>
      <w:r>
        <w:t xml:space="preserve">: monday.com despide al 20 %, HubSpot al 7 %, y los múltiplos del software para pymes están en 2-3x ventas [3][14].</w:t>
      </w:r>
    </w:p>
    <w:p>
      <w:pPr>
        <w:pStyle w:val="BodyText"/>
      </w:pPr>
      <w:r>
        <w:rPr>
          <w:bCs/>
          <w:b/>
        </w:rPr>
        <w:t xml:space="preserve">Lo que dicen los datos en contra</w:t>
      </w:r>
      <w:r>
        <w:t xml:space="preserve">:</w:t>
      </w:r>
      <w:r>
        <w:t xml:space="preserve"> </w:t>
      </w:r>
      <w:r>
        <w:t xml:space="preserve">1. Las ventas aún crecen un</w:t>
      </w:r>
      <w:r>
        <w:t xml:space="preserve"> </w:t>
      </w:r>
      <w:r>
        <w:rPr>
          <w:bCs/>
          <w:b/>
        </w:rPr>
        <w:t xml:space="preserve">17 % a tipo constante</w:t>
      </w:r>
      <w:r>
        <w:t xml:space="preserve">, y el FCF crece (577 M en 2025; guía de ~750 M en 2026). Es GAAP rentable desde el 3T25 [1][4].</w:t>
      </w:r>
      <w:r>
        <w:t xml:space="preserve"> </w:t>
      </w:r>
      <w:r>
        <w:t xml:space="preserve">2. Los asientos no caen: los usuarios activos de asientos «core» crecen un 90 % y el 25 % de los clientes Pro+ compran más. El consumo de créditos se duplica [5][8].</w:t>
      </w:r>
      <w:r>
        <w:t xml:space="preserve"> </w:t>
      </w:r>
      <w:r>
        <w:t xml:space="preserve">3. Los agentes de IA necesitan los datos del cliente, y HubSpot los tiene. El 70 % del ARR viene de clientes con tres o más hubs, que es difícil de cambiar [5].</w:t>
      </w:r>
      <w:r>
        <w:t xml:space="preserve"> </w:t>
      </w:r>
      <w:r>
        <w:t xml:space="preserve">4. La dirección compra acciones con su dinero (Shah, cofundador, 1,8 M USD a 181 USD; la consejera delegada, a 190 USD) [6].</w:t>
      </w:r>
    </w:p>
    <w:p>
      <w:pPr>
        <w:pStyle w:val="BodyText"/>
      </w:pPr>
      <w:r>
        <w:rPr>
          <w:bCs/>
          <w:b/>
        </w:rPr>
        <w:t xml:space="preserve">Conclusión sobre el riesgo IA.</w:t>
      </w:r>
      <w:r>
        <w:t xml:space="preserve"> </w:t>
      </w:r>
      <w:r>
        <w:rPr>
          <w:bCs/>
          <w:b/>
        </w:rPr>
        <w:t xml:space="preserve">Hoy no es una tesis rota en el sentido del método</w:t>
      </w:r>
      <w:r>
        <w:t xml:space="preserve">: no hay pérdida de clientes ni de producto clave, ni dos trimestres seguidos de desaceleración fuerte ya publicados. El 2T bajó 3,6 pp y la guía del 3T baja otros 5,6 pp, así que</w:t>
      </w:r>
      <w:r>
        <w:t xml:space="preserve"> </w:t>
      </w:r>
      <w:r>
        <w:rPr>
          <w:bCs/>
          <w:b/>
        </w:rPr>
        <w:t xml:space="preserve">el 3T, si se cumple la guía, sería el segundo</w:t>
      </w:r>
      <w:r>
        <w:t xml:space="preserve">. Pero</w:t>
      </w:r>
      <w:r>
        <w:t xml:space="preserve"> </w:t>
      </w:r>
      <w:r>
        <w:rPr>
          <w:bCs/>
          <w:b/>
        </w:rPr>
        <w:t xml:space="preserve">es un riesgo de tesis rota alto y en curso</w:t>
      </w:r>
      <w:r>
        <w:t xml:space="preserve">, no un miedo sin datos. A diferencia de Duolingo, donde los usuarios aceleraban mientras el mercado temía a la IA, aquí</w:t>
      </w:r>
      <w:r>
        <w:t xml:space="preserve"> </w:t>
      </w:r>
      <w:r>
        <w:rPr>
          <w:bCs/>
          <w:b/>
        </w:rPr>
        <w:t xml:space="preserve">los indicadores adelantados (NRR, altas, ARR nuevo, precio por cliente) empeoran a la vez</w:t>
      </w:r>
      <w:r>
        <w:t xml:space="preserve">, y la propia empresa dice que la IA le obliga a cobrar menos por adelantado. Por eso: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Probabilidades 35/50/15</w:t>
      </w:r>
      <w:r>
        <w:t xml:space="preserve"> </w:t>
      </w:r>
      <w:r>
        <w:t xml:space="preserve">en lugar de 25/50/25 (ejecución dudosa y dependencia de un modelo de precios que la IA cuestiona). Con 25/50/25, la ponderada sería del +19,8 %. El ajuste le quita 12 puntos.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se marca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tesis_rota</w:t>
      </w:r>
      <w:r>
        <w:t xml:space="preserve">, pero se fija el disparador:</w:t>
      </w:r>
      <w:r>
        <w:t xml:space="preserve"> </w:t>
      </w:r>
      <w:r>
        <w:rPr>
          <w:bCs/>
          <w:b/>
        </w:rPr>
        <w:t xml:space="preserve">si el 3T crece por debajo del 14 % y la guía de 2027 queda por debajo del 12 % con NRR por debajo del 100 %, la tesis está rota (Vender / no comprar)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Recomendación: no comprar.</w:t>
      </w:r>
      <w:r>
        <w:t xml:space="preserve"> </w:t>
      </w:r>
      <w:r>
        <w:t xml:space="preserve">Para un usuario que descartó Duolingo por miedo a la IA, HubSpot tiene</w:t>
      </w:r>
      <w:r>
        <w:t xml:space="preserve"> </w:t>
      </w:r>
      <w:r>
        <w:rPr>
          <w:bCs/>
          <w:b/>
        </w:rPr>
        <w:t xml:space="preserve">más</w:t>
      </w:r>
      <w:r>
        <w:t xml:space="preserve"> </w:t>
      </w:r>
      <w:r>
        <w:t xml:space="preserve">exposición al mismo riesgo y</w:t>
      </w:r>
      <w:r>
        <w:t xml:space="preserve"> </w:t>
      </w:r>
      <w:r>
        <w:rPr>
          <w:bCs/>
          <w:b/>
        </w:rPr>
        <w:t xml:space="preserve">peores</w:t>
      </w:r>
      <w:r>
        <w:t xml:space="preserve"> </w:t>
      </w:r>
      <w:r>
        <w:t xml:space="preserve">datos adelantados.</w:t>
      </w:r>
    </w:p>
    <w:bookmarkEnd w:id="24"/>
    <w:bookmarkStart w:id="25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2026 recortada en agosto (3.700-3.708 → 3.678-3.686 M). Rebajas de Raymond James (5-oct), JPMorgan (8-oct, objetivo de 268 a 240 USD) y Barclays (8-oct); Wolfe y Canaccord en agosto.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[1][2][9]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221,28 frente a 239,6 USD; la media baja (339 → 295 → 256 → 240 en 90 sesiones).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+7,8 % desde el 13-abr frente a +20,4 % del Nasdaq-100.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 NTM de ~1,9x (25-jun) a 2,5x (+33 %). Es un rebote desde el mínimo; aún vale menos de un tercio de su mediana (8,6x).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operativo GAAP del −3,2 % al +4,8 % (2T25 → 2T26), +8 pp; objetivo no GAAP del 23-24 % en 2027 y del 30 % en 2030.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Cuatro rebajas en una semana, caídas del ~20 % tras el 1T y el 2T y −4,3 % el día del Analyst Day. El minorista de StockTwits apuesta por el rebote.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[9][10][11]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Shah (10.000 acciones a 181 USD), Rangan (2.750 a 190) y Norrington el 12-may; Dischler el 10-ago. JPMorgan declara el 7,3 % (13-oct) y BlackRock el 10,4 %. En contra: Halligan vende 8.500 al mes con plan.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llega en 6 meses (3T con guía de +14 % y guía 2027) apunta a menos crecimiento. Los créditos y los agentes se monetizarán «más adelante».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[3][5][8][10]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La acción cae un</w:t>
      </w:r>
      <w:r>
        <w:t xml:space="preserve"> </w:t>
      </w:r>
      <w:r>
        <w:rPr>
          <w:bCs/>
          <w:b/>
        </w:rPr>
        <w:t xml:space="preserve">50,8 %</w:t>
      </w:r>
      <w:r>
        <w:t xml:space="preserve"> </w:t>
      </w:r>
      <w:r>
        <w:t xml:space="preserve">en 12 meses y el EV/beneficio bruto es de 3,0x.</w:t>
      </w:r>
    </w:p>
    <w:bookmarkEnd w:id="25"/>
    <w:bookmarkStart w:id="26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bruto</w:t>
      </w:r>
      <w:r>
        <w:t xml:space="preserve">:</w:t>
      </w:r>
      <w:r>
        <w:t xml:space="preserve"> </w:t>
      </w:r>
      <w:r>
        <w:rPr>
          <w:bCs/>
          <w:b/>
        </w:rPr>
        <w:t xml:space="preserve">83,2 %</w:t>
      </w:r>
      <w:r>
        <w:t xml:space="preserve"> </w:t>
      </w:r>
      <w:r>
        <w:t xml:space="preserve">en 12 meses (2.871 M sobre 3.449 M), pero baja: 84 % en el 2T25 y 82,4 % en el 2T26, por el coste de la IA [1][4].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FCF de 12 meses</w:t>
      </w:r>
      <w:r>
        <w:t xml:space="preserve"> </w:t>
      </w:r>
      <w:r>
        <w:t xml:space="preserve">(flujo de explotación menos inmovilizado y software capitalizado):</w:t>
      </w:r>
      <w:r>
        <w:t xml:space="preserve"> </w:t>
      </w:r>
      <w:r>
        <w:rPr>
          <w:bCs/>
          <w:b/>
        </w:rPr>
        <w:t xml:space="preserve">658,5 M USD (19,1 %)</w:t>
      </w:r>
      <w:r>
        <w:t xml:space="preserve">, frente a 577 M en 2025 y 471 M en 2024. La guía de 2026 es de ~750 M no GAAP [4][8].</w:t>
      </w:r>
      <w:r>
        <w:t xml:space="preserve"> </w:t>
      </w:r>
      <w:r>
        <w:rPr>
          <w:bCs/>
          <w:b/>
        </w:rPr>
        <w:t xml:space="preserve">FCF creciente.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Regla del 40</w:t>
      </w:r>
      <w:r>
        <w:t xml:space="preserve">: 21,1 + 19,1 =</w:t>
      </w:r>
      <w:r>
        <w:t xml:space="preserve"> </w:t>
      </w:r>
      <w:r>
        <w:rPr>
          <w:bCs/>
          <w:b/>
        </w:rPr>
        <w:t xml:space="preserve">40,2</w:t>
      </w:r>
      <w:r>
        <w:t xml:space="preserve">. Restando los pagos en acciones (14,9 % de las ventas),</w:t>
      </w:r>
      <w:r>
        <w:t xml:space="preserve"> </w:t>
      </w:r>
      <w:r>
        <w:rPr>
          <w:bCs/>
          <w:b/>
        </w:rPr>
        <w:t xml:space="preserve">~25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margen no GAAP del 17,0 % al 20,3 % en un año; 21 % en 2026, 23-24 % en 2027 y 30 % en 2030 (objetivo). El recorte del 7 % de la plantilla (coste de 65-75 M, sobre todo en el 4T26) va en esa línea [3][5].</w:t>
      </w:r>
    </w:p>
    <w:bookmarkEnd w:id="26"/>
    <w:bookmarkStart w:id="27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Caja e inversiones</w:t>
      </w:r>
      <w:r>
        <w:t xml:space="preserve">:</w:t>
      </w:r>
      <w:r>
        <w:t xml:space="preserve"> </w:t>
      </w:r>
      <w:r>
        <w:rPr>
          <w:bCs/>
          <w:b/>
        </w:rPr>
        <w:t xml:space="preserve">1.383,2 M USD</w:t>
      </w:r>
      <w:r>
        <w:t xml:space="preserve"> </w:t>
      </w:r>
      <w:r>
        <w:t xml:space="preserve">a 30-jun-2026 (958,3 de caja, 379,6 a corto y 45,3 a largo).</w:t>
      </w:r>
      <w:r>
        <w:t xml:space="preserve"> </w:t>
      </w:r>
      <w:r>
        <w:rPr>
          <w:bCs/>
          <w:b/>
        </w:rPr>
        <w:t xml:space="preserve">Deuda financiera: 0.</w:t>
      </w:r>
      <w:r>
        <w:t xml:space="preserve"> </w:t>
      </w:r>
      <w:r>
        <w:t xml:space="preserve">Los convertibles de 2025 se amortizaron, y la línea de crédito de 500 M (feb-2026) está sin disponer [1][4].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Pista</w:t>
      </w:r>
      <w:r>
        <w:t xml:space="preserve">: FCF positivo.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Recompras</w:t>
      </w:r>
      <w:r>
        <w:t xml:space="preserve">: 742,9 M USD en el 1S26 (3,47 M de acciones a 214 USD de media). Hay un programa nuevo de 1.000 M (ago-2026). Las acciones bajan de 52,7 M (2T25) a</w:t>
      </w:r>
      <w:r>
        <w:t xml:space="preserve"> </w:t>
      </w:r>
      <w:r>
        <w:rPr>
          <w:bCs/>
          <w:b/>
        </w:rPr>
        <w:t xml:space="preserve">49,87 M</w:t>
      </w:r>
      <w:r>
        <w:t xml:space="preserve"> </w:t>
      </w:r>
      <w:r>
        <w:t xml:space="preserve">(31-jul-2026) [1][4].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Pagos en acciones</w:t>
      </w:r>
      <w:r>
        <w:t xml:space="preserve">:</w:t>
      </w:r>
      <w:r>
        <w:t xml:space="preserve"> </w:t>
      </w:r>
      <w:r>
        <w:rPr>
          <w:bCs/>
          <w:b/>
        </w:rPr>
        <w:t xml:space="preserve">14,9 % de las ventas</w:t>
      </w:r>
      <w:r>
        <w:t xml:space="preserve"> </w:t>
      </w:r>
      <w:r>
        <w:t xml:space="preserve">(514,7 M en 12 meses), justo por debajo del rojo del método (15 %). Con la acción a 220 USD, equivalen a ~2,3 M de acciones al año (~4,7 % de dilución bruta), que la recompra compensa</w:t>
      </w:r>
      <w:r>
        <w:t xml:space="preserve"> </w:t>
      </w:r>
      <w:r>
        <w:rPr>
          <w:bCs/>
          <w:b/>
        </w:rPr>
        <w:t xml:space="preserve">con caja</w:t>
      </w:r>
      <w:r>
        <w:t xml:space="preserve">. Por eso pongo</w:t>
      </w:r>
      <w:r>
        <w:t xml:space="preserve"> </w:t>
      </w:r>
      <w:r>
        <w:rPr>
          <w:rStyle w:val="VerbatimChar"/>
        </w:rPr>
        <w:t xml:space="preserve">dilucion_anual_pct</w:t>
      </w:r>
      <w:r>
        <w:t xml:space="preserve"> </w:t>
      </w:r>
      <w:r>
        <w:t xml:space="preserve">= 0 y no la caída neta (−5 %): contar las dos cosas sería contar la caja dos veces. Objetivo: 10 % de las ventas en 2030 [5].</w:t>
      </w:r>
    </w:p>
    <w:bookmarkEnd w:id="27"/>
    <w:bookmarkStart w:id="28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Historial (4/5)</w:t>
      </w:r>
      <w:r>
        <w:t xml:space="preserve">: bate la guía trimestral de ventas en los cuatro últimos trimestres (y, de memoria, en 2023-2024 [15]). Pero en agosto recortó el año y falló sus propios indicadores (altas netas, NRR y ARR nuevo, que en mayo esperaba mejores) [2][8].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Dirección (4/5)</w:t>
      </w:r>
      <w:r>
        <w:t xml:space="preserve">: Yamini Rangan es consejera delegada desde 2021 y el cofundador Dharmesh Shah, director de tecnología. Los dos compraron acciones en mayo. Hay recompras fuertes, pero a 202-214 USD de media: de momento, con poco acierto. En contra: despidos del 7 %, salida de la directora jurídica (6-nov), ventas periódicas del cofundador Halligan y un giro de precios que alarga los ciclos de venta. Se refuerza el consejo con perfiles de IA (Dischler, ex-Google) y de finanzas (Berry, director financiero de MongoDB) [3][6].</w:t>
      </w:r>
    </w:p>
    <w:bookmarkEnd w:id="28"/>
    <w:bookmarkStart w:id="29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Ejercicio objetivo</w:t>
      </w:r>
      <w:r>
        <w:t xml:space="preserve">: ventas de los 12 meses a jun-2028.</w:t>
      </w:r>
      <w:r>
        <w:t xml:space="preserve"> </w:t>
      </w:r>
      <w:r>
        <w:rPr>
          <w:bCs/>
          <w:b/>
        </w:rPr>
        <w:t xml:space="preserve">Métrica: EV/ventas NTM.</w:t>
      </w:r>
      <w:r>
        <w:t xml:space="preserve"> </w:t>
      </w:r>
      <w:r>
        <w:t xml:space="preserve">Ya es rentable, pero el margen GAAP aún es bajo (5 %) y el EV/EBITDA lo distorsionarían los pagos en acciones.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 de hoy</w:t>
      </w:r>
      <w:r>
        <w:t xml:space="preserve">: 221,28 × 49,9 − 1.383,2 =</w:t>
      </w:r>
      <w:r>
        <w:t xml:space="preserve"> </w:t>
      </w:r>
      <w:r>
        <w:rPr>
          <w:bCs/>
          <w:b/>
        </w:rPr>
        <w:t xml:space="preserve">9.659 M USD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Ventas NTM</w:t>
      </w:r>
      <w:r>
        <w:t xml:space="preserve">: ~3.915 M (+13,5 %).</w:t>
      </w:r>
      <w:r>
        <w:t xml:space="preserve"> </w:t>
      </w:r>
      <w:r>
        <w:rPr>
          <w:bCs/>
          <w:b/>
        </w:rPr>
        <w:t xml:space="preserve">EV/ventas NTM: 2,5x; EV/beneficio bruto: 3,0x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Mediana de 3 años: 8,6x</w:t>
      </w:r>
      <w:r>
        <w:t xml:space="preserve"> </w:t>
      </w:r>
      <w:r>
        <w:t xml:space="preserve">(cálculo propio, de 11,2x en mar-2024 a 2,0x en jun-2026 [12]).</w:t>
      </w:r>
      <w:r>
        <w:t xml:space="preserve"> </w:t>
      </w:r>
      <w:r>
        <w:rPr>
          <w:bCs/>
          <w:b/>
        </w:rPr>
        <w:t xml:space="preserve">Mínimo: ~1,9x</w:t>
      </w:r>
      <w:r>
        <w:t xml:space="preserve"> </w:t>
      </w:r>
      <w:r>
        <w:t xml:space="preserve">(25-jun-2026).</w:t>
      </w:r>
      <w:r>
        <w:t xml:space="preserve"> </w:t>
      </w:r>
      <w:r>
        <w:rPr>
          <w:bCs/>
          <w:b/>
        </w:rPr>
        <w:t xml:space="preserve">Comparables: ~3x</w:t>
      </w:r>
      <w:r>
        <w:t xml:space="preserve"> </w:t>
      </w:r>
      <w:r>
        <w:t xml:space="preserve">(Salesforce ~4,7x, Freshworks ~3,0x, monday.com ~2,0x; las dos últimas con acciones de memoria [14]).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Desaceleración</w:t>
      </w:r>
      <w:r>
        <w:t xml:space="preserve">: del 14 % NTM al 12 % en el año objetivo, factor 0,93.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jun-2028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(35 %)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−35,6 %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(15 %)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411,4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+85,9 %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 (regla v7)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238,1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+7,6 %</w:t>
            </w:r>
          </w:p>
        </w:tc>
      </w:tr>
    </w:tbl>
    <w:p>
      <w:pPr>
        <w:pStyle w:val="BodyText"/>
      </w:pPr>
      <w:r>
        <w:t xml:space="preserve">Acciones dentro de 12 meses: 49,9 M; caja de 1.383 M y sin deuda.</w:t>
      </w:r>
      <w:r>
        <w:t xml:space="preserve"> </w:t>
      </w:r>
      <w:r>
        <w:rPr>
          <w:bCs/>
          <w:b/>
        </w:rPr>
        <w:t xml:space="preserve">Asimetría: 2,4.</w:t>
      </w:r>
      <w:r>
        <w:t xml:space="preserve"> </w:t>
      </w:r>
      <w:r>
        <w:rPr>
          <w:bCs/>
          <w:b/>
        </w:rPr>
        <w:t xml:space="preserve">Precio máximo de compra (regla): 226,8 USD</w:t>
      </w:r>
      <w:r>
        <w:t xml:space="preserve"> </w:t>
      </w:r>
      <w:r>
        <w:t xml:space="preserve">(el que da ponderada +5 %; el tope de 35x beneficio bruto estaría por encima de 2.500 USD).</w:t>
      </w:r>
    </w:p>
    <w:p>
      <w:pPr>
        <w:pStyle w:val="BodyText"/>
      </w:pPr>
      <w:r>
        <w:rPr>
          <w:bCs/>
          <w:b/>
        </w:rPr>
        <w:t xml:space="preserve">Contraste: partir de min(mecánico, guía + exceso)</w:t>
      </w:r>
      <w:r>
        <w:t xml:space="preserve"> </w:t>
      </w:r>
      <w:r>
        <w:t xml:space="preserve">(16,7 % en vez de 20,2 %, como en la candidata v9):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jun-2028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(35 %)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−37,1 %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(15 %)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387,3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+75,0 %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227,2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+2,7 %</w:t>
            </w:r>
          </w:p>
        </w:tc>
      </w:tr>
    </w:tbl>
    <w:p>
      <w:pPr>
        <w:pStyle w:val="BodyText"/>
      </w:pPr>
      <w:r>
        <w:t xml:space="preserve">Resultado:</w:t>
      </w:r>
      <w:r>
        <w:t xml:space="preserve"> </w:t>
      </w:r>
      <w:r>
        <w:rPr>
          <w:bCs/>
          <w:b/>
        </w:rPr>
        <w:t xml:space="preserve">Mantener en vigilancia</w:t>
      </w:r>
      <w:r>
        <w:t xml:space="preserve"> </w:t>
      </w:r>
      <w:r>
        <w:t xml:space="preserve">(solo le falta rentabilidad), con</w:t>
      </w:r>
      <w:r>
        <w:t xml:space="preserve"> </w:t>
      </w:r>
      <w:r>
        <w:rPr>
          <w:bCs/>
          <w:b/>
        </w:rPr>
        <w:t xml:space="preserve">compra hasta 216,4 USD</w:t>
      </w:r>
      <w:r>
        <w:t xml:space="preserve">. Con mi proyección, que sigue la guía sin exceso (+14 % y +12 %: 4.059 / 4.404 / 4.621 M), la ponderada sería de −0,2 % y la base de +4,9 %. Con 25/50/25, la regla v7 daría +19,8 % y la de la guía con el exceso, +13,9 %:</w:t>
      </w:r>
      <w:r>
        <w:t xml:space="preserve"> </w:t>
      </w:r>
      <w:r>
        <w:rPr>
          <w:bCs/>
          <w:b/>
        </w:rPr>
        <w:t xml:space="preserve">la decisión depende sobre todo de cuánto pesa el riesgo IA</w:t>
      </w:r>
      <w:r>
        <w:t xml:space="preserve">, y aquí lo hago pesar.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Consenso</w:t>
      </w:r>
      <w:r>
        <w:t xml:space="preserve">: precio objetivo medio de</w:t>
      </w:r>
      <w:r>
        <w:t xml:space="preserve"> </w:t>
      </w:r>
      <w:r>
        <w:rPr>
          <w:bCs/>
          <w:b/>
        </w:rPr>
        <w:t xml:space="preserve">264,65 USD</w:t>
      </w:r>
      <w:r>
        <w:t xml:space="preserve"> </w:t>
      </w:r>
      <w:r>
        <w:t xml:space="preserve">(MarketBeat, 34 analistas: 13 compra, 19 mantener, 2 venta), aunque los objetivos bajan (JPMorgan 240, Barclays 240, Cantor 200, Stifel 225) [9][10]. Consenso de ventas de 2028: no encontrado (null). Consenso de crecimiento de 2027: ~14 %.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DCF inverso</w:t>
      </w:r>
      <w:r>
        <w:t xml:space="preserve">: con WACC del 10 %, margen FCF constante del 20 % y crecimiento terminal del 3 %, el precio descuenta</w:t>
      </w:r>
      <w:r>
        <w:t xml:space="preserve"> </w:t>
      </w:r>
      <w:r>
        <w:rPr>
          <w:bCs/>
          <w:b/>
        </w:rPr>
        <w:t xml:space="preserve">~2,3 % anual durante 10 años</w:t>
      </w:r>
      <w:r>
        <w:t xml:space="preserve">. Con un margen del 12 % (FCF menos los pagos en acciones del objetivo de 2030),</w:t>
      </w:r>
      <w:r>
        <w:t xml:space="preserve"> </w:t>
      </w:r>
      <w:r>
        <w:rPr>
          <w:bCs/>
          <w:b/>
        </w:rPr>
        <w:t xml:space="preserve">~9 %</w:t>
      </w:r>
      <w:r>
        <w:t xml:space="preserve">. Es muy poco si el negocio sigue creciendo al 12-14 %.</w:t>
      </w:r>
      <w:r>
        <w:t xml:space="preserve"> </w:t>
      </w:r>
      <w:r>
        <w:rPr>
          <w:bCs/>
          <w:b/>
        </w:rPr>
        <w:t xml:space="preserve">Es barata si la IA no le quita clientes; si se los quita, el múltiplo de 1,4x del bajista es realista</w:t>
      </w:r>
      <w:r>
        <w:t xml:space="preserve"> </w:t>
      </w:r>
      <w:r>
        <w:t xml:space="preserve">(monday.com ya cotiza a ~2x).</w:t>
      </w:r>
    </w:p>
    <w:bookmarkEnd w:id="29"/>
    <w:bookmarkStart w:id="30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Prensa y analistas</w:t>
      </w:r>
      <w:r>
        <w:t xml:space="preserve">: el relato de 2026 es el «SaaSpocalypse»: los agentes de IA sustituyen asientos y el software por suscripción pierde poder de precio (TipRanks, Insider Monkey, artículos de la caída del 19 % en un día). Hay voces contrarias: Seeking Alpha («priced for an AI disruption that is not happening», objetivo de 323 USD), Motley Fool («this fire sale won’t last», jun-2026) y SaaSRise («cae un 70 % y crece un 23 %»). Desde el 2T y sobre todo en octubre,</w:t>
      </w:r>
      <w:r>
        <w:t xml:space="preserve"> </w:t>
      </w:r>
      <w:r>
        <w:rPr>
          <w:bCs/>
          <w:b/>
        </w:rPr>
        <w:t xml:space="preserve">los profesionales se rinden</w:t>
      </w:r>
      <w:r>
        <w:t xml:space="preserve">: cuatro rebajas en una semana [9][10][13].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StockTwits</w:t>
      </w:r>
      <w:r>
        <w:t xml:space="preserve"> </w:t>
      </w:r>
      <w:r>
        <w:t xml:space="preserve">(14-oct): 12 alcistas y 0 bajistas en los 30 últimos mensajes. El tono es de «rebote del suelo», «software sobreodiado» y «200 → 300 USD», y celebran el recorte de plantilla. Es apuesta minorista de rebote [11].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Seeking Alpha</w:t>
      </w:r>
      <w:r>
        <w:t xml:space="preserve">: artículos de Compra en 2026; no se pudieron leer enteros (403).</w:t>
      </w:r>
      <w:r>
        <w:t xml:space="preserve"> </w:t>
      </w:r>
      <w:r>
        <w:rPr>
          <w:bCs/>
          <w:b/>
        </w:rPr>
        <w:t xml:space="preserve">Laguna parcial.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Reddit (r/stocks, r/investing, r/hubspot)</w:t>
      </w:r>
      <w:r>
        <w:t xml:space="preserve">: la API respondió 403 y no aparecieron hilos indexados.</w:t>
      </w:r>
      <w:r>
        <w:t xml:space="preserve"> </w:t>
      </w:r>
      <w:r>
        <w:rPr>
          <w:bCs/>
          <w:b/>
        </w:rPr>
        <w:t xml:space="preserve">Laguna.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 castellano</w:t>
      </w:r>
      <w:r>
        <w:t xml:space="preserve">: TIKR ES publica la previsión de los analistas para 2027. Las crónicas recogen la caída de cerca del 70 % en 2026 y a Morgan Stanley rebajando su objetivo de 405 a 350 USD (may). Rankia: sin hilos encontrados [13].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a diferencia de Duolingo, el pesimismo</w:t>
      </w:r>
      <w:r>
        <w:t xml:space="preserve"> </w:t>
      </w:r>
      <w:r>
        <w:rPr>
          <w:bCs/>
          <w:b/>
        </w:rPr>
        <w:t xml:space="preserve">va con los datos</w:t>
      </w:r>
      <w:r>
        <w:t xml:space="preserve">: los indicadores adelantados empeoran. El minorista está alcista y los profesionales, bajistas. Para el método no hay giro de percepción.</w:t>
      </w:r>
    </w:p>
    <w:bookmarkEnd w:id="30"/>
    <w:bookmarkStart w:id="31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IA y modelo por asiento</w:t>
      </w:r>
      <w:r>
        <w:t xml:space="preserve"> </w:t>
      </w:r>
      <w:r>
        <w:t xml:space="preserve">(sección 4 bis): es el riesgo principal y ya se ve en el NRR, las altas y el ARR nuevo.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Ciclo de las pymes</w:t>
      </w:r>
      <w:r>
        <w:t xml:space="preserve">: los clientes pequeños son los primeros en recortar. La dirección habla de «presupuestos más vigilados» y comités de compra más largos [8].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Transición de precios</w:t>
      </w:r>
      <w:r>
        <w:t xml:space="preserve">: créditos, precios por resultado y pruebas gratis alargan las ventas y rebajan el ingreso a corto. Si el modelo de asientos más créditos no funciona, cobra menos por cliente.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Margen bruto</w:t>
      </w:r>
      <w:r>
        <w:t xml:space="preserve"> </w:t>
      </w:r>
      <w:r>
        <w:t xml:space="preserve">bajando por el coste de los agentes.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Pagos en acciones</w:t>
      </w:r>
      <w:r>
        <w:t xml:space="preserve"> </w:t>
      </w:r>
      <w:r>
        <w:t xml:space="preserve">del ~15 % de las ventas, que la recompra compensa con caja (~500 M al año).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Divisa</w:t>
      </w:r>
      <w:r>
        <w:t xml:space="preserve">: el 49 % de las ventas es internacional; el viento de cola de 2026 (~3 pp) puede girar.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Rotación de directivos</w:t>
      </w:r>
      <w:r>
        <w:t xml:space="preserve"> </w:t>
      </w:r>
      <w:r>
        <w:t xml:space="preserve">(directora jurídica) y ejecución de un recorte del 7 % en plena transición.</w:t>
      </w:r>
    </w:p>
    <w:p>
      <w:pPr>
        <w:pStyle w:val="FirstParagraph"/>
      </w:pPr>
      <w:r>
        <w:rPr>
          <w:bCs/>
          <w:b/>
        </w:rPr>
        <w:t xml:space="preserve">Señales de venta concretas</w:t>
      </w:r>
      <w:r>
        <w:t xml:space="preserve"> </w:t>
      </w:r>
      <w:r>
        <w:t xml:space="preserve">(tesis rota):</w:t>
      </w:r>
      <w:r>
        <w:t xml:space="preserve"> </w:t>
      </w:r>
      <w:r>
        <w:t xml:space="preserve">- 3T26 por debajo del +14 % publicado (o del +15 % a tipo constante)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guía de 2027 por debajo del +12 %.</w:t>
      </w:r>
      <w:r>
        <w:t xml:space="preserve"> </w:t>
      </w:r>
      <w:r>
        <w:t xml:space="preserve">- NRR por debajo del 100 % o altas netas por debajo de 5.000 en un trimestre.</w:t>
      </w:r>
      <w:r>
        <w:t xml:space="preserve"> </w:t>
      </w:r>
      <w:r>
        <w:t xml:space="preserve">- Caída de los asientos de pago o del precio medio por cliente a tipo constante.</w:t>
      </w:r>
      <w:r>
        <w:t xml:space="preserve"> </w:t>
      </w:r>
      <w:r>
        <w:t xml:space="preserve">- Margen bruto por debajo del 80 %.</w:t>
      </w:r>
    </w:p>
    <w:p>
      <w:pPr>
        <w:pStyle w:val="BodyText"/>
      </w:pPr>
      <w:r>
        <w:t xml:space="preserve">Hoy no hay tesis rota, pero está cerca: el 3T decide.</w:t>
      </w:r>
    </w:p>
    <w:bookmarkEnd w:id="31"/>
    <w:bookmarkStart w:id="32" w:name="catalizadores-con-fecha"/>
    <w:p>
      <w:pPr>
        <w:pStyle w:val="Heading2"/>
      </w:pPr>
      <w:r>
        <w:t xml:space="preserve">12. Catalizadores con fecha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Principios de nov-2026 (fecha sin confirmar)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3T26 (guía: 924-925 M, +14 %; margen no GAAP del 20 %); NRR y altas netas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6-nov-2026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Salida de la directora jurídica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Coste del recorte del 7 % (65-75 M) y su efecto en el margen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(margen)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4T26 y</w:t>
            </w:r>
            <w:r>
              <w:t xml:space="preserve"> </w:t>
            </w:r>
            <w:r>
              <w:rPr>
                <w:bCs/>
                <w:b/>
              </w:rPr>
              <w:t xml:space="preserve">guía de 2027</w:t>
            </w:r>
            <w:r>
              <w:t xml:space="preserve"> </w:t>
            </w:r>
            <w:r>
              <w:t xml:space="preserve">(consenso ~14 %; margen del 23-24 %)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 (el que manda)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asientos más créditos en EMEA; monetización de los agentes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</w:tbl>
    <w:bookmarkEnd w:id="32"/>
    <w:bookmarkStart w:id="33" w:name="encaje-en-cartera"/>
    <w:p>
      <w:pPr>
        <w:pStyle w:val="Heading2"/>
      </w:pPr>
      <w:r>
        <w:t xml:space="preserve">13. Encaje en cartera</w:t>
      </w:r>
    </w:p>
    <w:p>
      <w:pPr>
        <w:pStyle w:val="FirstParagraph"/>
      </w:pPr>
      <w:r>
        <w:t xml:space="preserve">Cartera value vigente:</w:t>
      </w:r>
      <w:r>
        <w:t xml:space="preserve"> </w:t>
      </w:r>
      <w:r>
        <w:rPr>
          <w:rStyle w:val="VerbatimChar"/>
        </w:rPr>
        <w:t xml:space="preserve">informes/cartera-2026-10-14-15h.md</w:t>
      </w:r>
      <w:r>
        <w:t xml:space="preserve"> </w:t>
      </w:r>
      <w:r>
        <w:t xml:space="preserve">(órdenes abiertas hasta el 7-nov), según</w:t>
      </w:r>
      <w:r>
        <w:t xml:space="preserve"> </w:t>
      </w:r>
      <w:r>
        <w:rPr>
          <w:rStyle w:val="VerbatimChar"/>
        </w:rPr>
        <w:t xml:space="preserve">MEMORIA.md</w:t>
      </w:r>
      <w:r>
        <w:t xml:space="preserve">.</w:t>
      </w:r>
      <w:r>
        <w:t xml:space="preserve"> </w:t>
      </w:r>
      <w:r>
        <w:rPr>
          <w:bCs/>
          <w:b/>
        </w:rPr>
        <w:t xml:space="preserve">Bolsillo growth lleno (~20 %)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informes-growth/cartera-growth.md</w:t>
      </w:r>
      <w:r>
        <w:t xml:space="preserve">): Nu (4 %), argenx (4,9 %), Shopify (4 %), Axon (3,7 %) y Snowflake (4 %), sin liquidez. Suplentes por orden: Dexcom, Datadog, Samsara, Zscaler y Wise.</w:t>
      </w:r>
    </w:p>
    <w:p>
      <w:pPr>
        <w:pStyle w:val="BodyText"/>
      </w:pPr>
      <w:r>
        <w:rPr>
          <w:bCs/>
          <w:b/>
        </w:rPr>
        <w:t xml:space="preserve">La regla v7 da Comprar (baja), pero HubSpot no sustituye a ninguna growth y no recomiendo meterla entre los suplentes activos</w:t>
      </w:r>
      <w:r>
        <w:t xml:space="preserve">:</w:t>
      </w:r>
      <w:r>
        <w:t xml:space="preserve"> </w:t>
      </w:r>
      <w:r>
        <w:t xml:space="preserve">- Frente a las que están dentro, la regla le da una ponderada de +7,6 % (+2,7 % con la guía), contra +17,6 % de Shopify, +16,8 % de Snowflake, +37,1 % de Axon, +43,7 % de argenx y +27,2 % de Nu (revisión de las 16:10-16:15 UTC). Cambiar una por HubSpot empeora la rentabilidad esperada y</w:t>
      </w:r>
      <w:r>
        <w:t xml:space="preserve"> </w:t>
      </w:r>
      <w:r>
        <w:rPr>
          <w:bCs/>
          <w:b/>
        </w:rPr>
        <w:t xml:space="preserve">añade el riesgo IA que el usuario quiere evitar</w:t>
      </w:r>
      <w:r>
        <w:t xml:space="preserve"> </w:t>
      </w:r>
      <w:r>
        <w:t xml:space="preserve">(descartó Duolingo por eso, y HubSpot tiene más exposición y peores indicadores adelantados).</w:t>
      </w:r>
      <w:r>
        <w:t xml:space="preserve"> </w:t>
      </w:r>
      <w:r>
        <w:t xml:space="preserve">- Frente a los suplentes, todos tienen ponderada de doble dígito por la regla (Dexcom +16,7 %, Samsara +21,6 %, Zscaler +25,6 %, Datadog +14,7 %) y crecen más, o lo mismo con menos riesgo de sustitución.</w:t>
      </w:r>
      <w:r>
        <w:t xml:space="preserve"> </w:t>
      </w:r>
      <w:r>
        <w:rPr>
          <w:bCs/>
          <w:b/>
        </w:rPr>
        <w:t xml:space="preserve">HubSpot queda sexta, detrás de Wise, y «en vigilancia»</w:t>
      </w:r>
      <w:r>
        <w:t xml:space="preserve">: solo pasaría a suplente si el 3T cumple la guía con un NRR de al menos el 102 % y altas de 5.000 o más,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el precio está por debajo de</w:t>
      </w:r>
      <w:r>
        <w:t xml:space="preserve"> </w:t>
      </w:r>
      <w:r>
        <w:rPr>
          <w:bCs/>
          <w:b/>
        </w:rPr>
        <w:t xml:space="preserve">216 USD</w:t>
      </w:r>
      <w:r>
        <w:t xml:space="preserve"> </w:t>
      </w:r>
      <w:r>
        <w:t xml:space="preserve">(compra hasta con la guía y el exceso). Hoy cotiza a 221-224 USD.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Revisión del precio actual</w:t>
      </w:r>
      <w:r>
        <w:t xml:space="preserve"> </w:t>
      </w:r>
      <w:r>
        <w:t xml:space="preserve">(regla del 14-oct, 16:10): 223,67 USD a las 16:28 UTC. La regla v7 da +6,7 % y Comprar (baja); con la guía y el exceso, +1,8 % y Mantener.</w:t>
      </w:r>
      <w:r>
        <w:t xml:space="preserve"> </w:t>
      </w:r>
      <w:r>
        <w:rPr>
          <w:bCs/>
          <w:b/>
        </w:rPr>
        <w:t xml:space="preserve">No hay orden que proponer.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Motivo de negocio</w:t>
      </w:r>
      <w:r>
        <w:t xml:space="preserve"> </w:t>
      </w:r>
      <w:r>
        <w:t xml:space="preserve">(si algún día entra): el CRM de las pymes con FCF creciente y sin deuda, a 3x el beneficio bruto, como apuesta a que la IA se monetiza a través del CRM y no contra él. No es juego ni comercio minorista. Pesaría un 3,5 % (~1.000 EUR, 5 acciones) en dos tramos, a costa del suplente que no se ejecute.</w:t>
      </w:r>
    </w:p>
    <w:bookmarkEnd w:id="33"/>
    <w:bookmarkStart w:id="34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+21,1 % (3), CAGR a 2 años 20,0 % (3), aceleración −1,2 pp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6,9 % (3), tecnología 3, posición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3/8 señales,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83,2 % (5), regla del 40 = 40,2 (3), FCF creciente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(5), dilución neta 0 %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4, dirección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 (regla v7):</w:t>
            </w:r>
            <w:r>
              <w:t xml:space="preserve"> </w:t>
            </w:r>
            <w:r>
              <w:rPr>
                <w:bCs/>
                <w:b/>
              </w:rPr>
              <w:t xml:space="preserve">Comprar (baja)</w:t>
            </w:r>
            <w:r>
              <w:t xml:space="preserve">; recomendación:</w:t>
            </w:r>
            <w:r>
              <w:t xml:space="preserve"> </w:t>
            </w:r>
            <w:r>
              <w:rPr>
                <w:bCs/>
                <w:b/>
              </w:rPr>
              <w:t xml:space="preserve">Mantener en vigilancia, no entra</w:t>
            </w:r>
          </w:p>
        </w:tc>
      </w:tr>
    </w:tbl>
    <w:p>
      <w:pPr>
        <w:pStyle w:val="BodyText"/>
      </w:pPr>
      <w:r>
        <w:rPr>
          <w:bCs/>
          <w:b/>
        </w:rPr>
        <w:t xml:space="preserve">Mejoras del método que propone este informe</w:t>
      </w:r>
      <w:r>
        <w:t xml:space="preserve"> </w:t>
      </w:r>
      <w:r>
        <w:t xml:space="preserve">(sin tocar el código; pendientes del backtest):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Otro caso a favor de la candidata v9</w:t>
      </w:r>
      <w:r>
        <w:t xml:space="preserve"> </w:t>
      </w:r>
      <w:r>
        <w:t xml:space="preserve">(partir como mucho de la guía + exceso): aquí cambia la señal de Comprar a Mantener. La regla mecánica supone un +20 % cuando la empresa guía un +14 % y su ARR nuevo crece aún menos.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Indicadores adelantados en la señal de tesis rota</w:t>
      </w:r>
      <w:r>
        <w:t xml:space="preserve">: además de «dos trimestres de desaceleración fuerte», marcar alerta cuando caen a la vez NRR, altas netas y «net new ARR» frente a lo que la empresa esperaba tres meses antes. Aquí avisa antes de que la caída llegue a las ventas.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Criterio explícito para 35/50/15 por riesgo de sustitución tecnológica</w:t>
      </w:r>
      <w:r>
        <w:t xml:space="preserve"> </w:t>
      </w:r>
      <w:r>
        <w:t xml:space="preserve">(modelo de precios cuestionado por una tecnología nueva con evidencia en los KPI), para que no dependa del analista.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Dilución neta con recompra</w:t>
      </w:r>
      <w:r>
        <w:t xml:space="preserve">: separar dilución bruta (pagos en acciones) y recompras pagadas con caja, para no premiar dos veces (aquí se dejó en 0 a mano).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Regla del 40 con FCF menos pagos en acciones</w:t>
      </w:r>
      <w:r>
        <w:t xml:space="preserve"> </w:t>
      </w:r>
      <w:r>
        <w:t xml:space="preserve">cuando estos superan el 10 % de las ventas (aquí 40 frente a ~25).</w:t>
      </w:r>
    </w:p>
    <w:bookmarkEnd w:id="34"/>
    <w:bookmarkStart w:id="35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HubSpot, nota de resultados del 2T 2026 (5-ago-2026), 8-K ex. 99.1, SEC (leída directamente).</w:t>
      </w:r>
      <w:r>
        <w:t xml:space="preserve"> </w:t>
      </w:r>
      <w:r>
        <w:t xml:space="preserve">[2] HubSpot, notas de resultados del 1T 2026, 4T 2025, 3T 2025 y 2T 2025, 8-K ex. 99.1, SEC (guías y cifras trimestrales).</w:t>
      </w:r>
      <w:r>
        <w:t xml:space="preserve"> </w:t>
      </w:r>
      <w:r>
        <w:t xml:space="preserve">[3] HubSpot, 8-K del 6-oct-2026 (reestructuración del 7 % y reafirmación de la guía) y del 9-oct-2026 (dimisión de la directora jurídica), SEC.</w:t>
      </w:r>
      <w:r>
        <w:t xml:space="preserve"> </w:t>
      </w:r>
      <w:r>
        <w:t xml:space="preserve">[4] SEC, XBRL companyfacts de HubSpot (CIK 1404655) y 10-Q del 2T 2026 (ventas, márgenes, flujo de caja, pagos en acciones, acciones, recompras, RPO, línea de crédito).</w:t>
      </w:r>
      <w:r>
        <w:t xml:space="preserve"> </w:t>
      </w:r>
      <w:r>
        <w:t xml:space="preserve">[5] Analyst Day del 17-sep-2026, vía MarketBeat (18-sep) y Martech Notes (objetivos de margen, modelo de asientos más créditos, métricas de agentes).</w:t>
      </w:r>
      <w:r>
        <w:t xml:space="preserve"> </w:t>
      </w:r>
      <w:r>
        <w:t xml:space="preserve">[6] SEC, Formularios 4 y 13G de mayo a octubre de 2026 (compras y ventas de directivos; JPMorgan 7,3 %, BlackRock 10,4 %).</w:t>
      </w:r>
      <w:r>
        <w:t xml:space="preserve"> </w:t>
      </w:r>
      <w:r>
        <w:t xml:space="preserve">[7] Yahoo Finance, API de gráficos (HUBS y QQQ): cierres, mínimo y máximo de 12 meses, medias de 200 sesiones (cálculo propio); Nasdaq.com, histórico (cierre del 13-oct, segunda fuente).</w:t>
      </w:r>
      <w:r>
        <w:t xml:space="preserve"> </w:t>
      </w:r>
      <w:r>
        <w:t xml:space="preserve">[8] Transcripciones de las llamadas del 1T y 2T 2026 (Motley Fool): NRR, altas netas, ARR nuevo, precios de agentes, métricas de IA.</w:t>
      </w:r>
      <w:r>
        <w:t xml:space="preserve"> </w:t>
      </w:r>
      <w:r>
        <w:t xml:space="preserve">[9] Investing.com (Raymond James, 5-oct-2026), MarketBeat (JPMorgan, 8-oct; consenso), GuruFocus (Barclays, Cantor).</w:t>
      </w:r>
      <w:r>
        <w:t xml:space="preserve"> </w:t>
      </w:r>
      <w:r>
        <w:t xml:space="preserve">[10] QuiverQuant (Analyst Day, Stifel); Investing.com (reacción al 2T); MT Newswires y Morgan Stanley (reacción al 1T).</w:t>
      </w:r>
      <w:r>
        <w:t xml:space="preserve"> </w:t>
      </w:r>
      <w:r>
        <w:t xml:space="preserve">[11] StockTwits, flujo público de HUBS (14-oct-2026).</w:t>
      </w:r>
      <w:r>
        <w:t xml:space="preserve"> </w:t>
      </w:r>
      <w:r>
        <w:t xml:space="preserve">[12] Cálculo propio de EV y múltiplos (actuales e históricos).</w:t>
      </w:r>
      <w:r>
        <w:t xml:space="preserve"> </w:t>
      </w:r>
      <w:r>
        <w:t xml:space="preserve">[13] Seeking Alpha, SaaSRise, TipRanks, Motley Fool, TIKR ES, Insider Monkey/Yahoo (sentimiento).</w:t>
      </w:r>
      <w:r>
        <w:t xml:space="preserve"> </w:t>
      </w:r>
      <w:r>
        <w:t xml:space="preserve">[14] Comparables: SEC XBRL de Salesforce, notas de resultados del 2T 2026 de monday.com y Freshworks, precios de Yahoo.</w:t>
      </w:r>
      <w:r>
        <w:t xml:space="preserve"> </w:t>
      </w:r>
      <w:r>
        <w:t xml:space="preserve">[15]</w:t>
      </w:r>
      <w:r>
        <w:t xml:space="preserve"> </w:t>
      </w:r>
      <w:r>
        <w:rPr>
          <w:bCs/>
          <w:b/>
        </w:rPr>
        <w:t xml:space="preserve">De memoria, sin verificar con fuente primaria en esta sesión</w:t>
      </w:r>
      <w:r>
        <w:t xml:space="preserve">: mercado alcanzable de ~50.000 M USD (estimación propia sobre el CRM total de Gartner, más de 100.000 M), historial de batir la guía en 2023-2024, acciones de Freshworks y monday.com, deuda convertible de 2023-2024 y existencia de CRM nativos de IA como rivales.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2026-10-14T16:30:41Z</dcterms:created>
  <dcterms:modified xsi:type="dcterms:W3CDTF">2026-10-14T16:30:41Z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