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sulet-podd-análisis-growth-14-oct-2026"/>
    <w:p>
      <w:pPr>
        <w:pStyle w:val="Heading1"/>
      </w:pPr>
      <w:r>
        <w:t xml:space="preserve">Insulet (PODD): análisis growth, 14-oct-2026</w:t>
      </w:r>
    </w:p>
    <w:p>
      <w:pPr>
        <w:pStyle w:val="FirstParagraph"/>
      </w:pPr>
      <w:r>
        <w:rPr>
          <w:bCs/>
          <w:b/>
        </w:rPr>
        <w:t xml:space="preserve">Señal (método v7): Mantener (sin convicción: no es Comprar)</w:t>
      </w:r>
      <w:r>
        <w:t xml:space="preserve"> </w:t>
      </w:r>
      <w:r>
        <w:t xml:space="preserve">· Puntuación 54,5/100 · Señales de cambio de tendencia 1/8 · EV/beneficio bruto 4,0x</w:t>
      </w:r>
      <w:r>
        <w:t xml:space="preserve"> </w:t>
      </w:r>
      <w:r>
        <w:t xml:space="preserve">Precio 138,13 USD · Objetivo 12 m 188,9 USD (ponderada +36,8 %, base +29,5 %, bajista −39,4 %, alcista +127,5 %) · Compra hasta 178,9 USD (solo si la puntuación llega a 60)</w:t>
      </w:r>
      <w:r>
        <w:t xml:space="preserve"> </w:t>
      </w:r>
      <w:r>
        <w:t xml:space="preserve">Peso orientativo: no entra · Por qué: no compra porque la puntuación es menor de 60</w:t>
      </w:r>
    </w:p>
    <w:p>
      <w:pPr>
        <w:pStyle w:val="BlockText"/>
      </w:pPr>
      <w:r>
        <w:rPr>
          <w:bCs/>
          <w:b/>
        </w:rPr>
        <w:t xml:space="preserve">Calculado con el método v7</w:t>
      </w:r>
      <w:r>
        <w:t xml:space="preserve"> </w:t>
      </w:r>
      <w:r>
        <w:t xml:space="preserve">(</w:t>
      </w:r>
      <w:r>
        <w:rPr>
          <w:rStyle w:val="VerbatimChar"/>
        </w:rPr>
        <w:t xml:space="preserve">verticales/growth/metodo.md</w:t>
      </w:r>
      <w:r>
        <w:t xml:space="preserve">) y</w:t>
      </w:r>
      <w:r>
        <w:t xml:space="preserve"> </w:t>
      </w:r>
      <w:r>
        <w:rPr>
          <w:bCs/>
          <w:b/>
        </w:rPr>
        <w:t xml:space="preserve">valorado por EV/EBITDA ajustado de los 12 meses siguientes</w:t>
      </w:r>
      <w:r>
        <w:t xml:space="preserve">, igual que Dexcom, porque Insulet gana dinero de forma estable: margen operativo GAAP del 16-19 % y FCF positivo desde 2021. Los múltiplos de los tres casos son 6,3x, 10,6x y 16,9x. Las ventas del año objetivo salen de la regla mecánica: 4.773 M USD en el base, con un crecimiento del +27,1 % y después del +23,0 %.</w:t>
      </w:r>
      <w:r>
        <w:t xml:space="preserve"> </w:t>
      </w:r>
      <w:r>
        <w:rPr>
          <w:bCs/>
          <w:b/>
        </w:rPr>
        <w:t xml:space="preserve">Con la guía de la empresa más lo que suele batirla, la proyección es menor</w:t>
      </w:r>
      <w:r>
        <w:t xml:space="preserve">: parte del +20,1 % (+16,8 % de la guía más 3,3 puntos de exceso medio) y da 4.294 M en el base. Recalculado a mano así, la ponderada baja a</w:t>
      </w:r>
      <w:r>
        <w:t xml:space="preserve"> </w:t>
      </w:r>
      <w:r>
        <w:rPr>
          <w:bCs/>
          <w:b/>
        </w:rPr>
        <w:t xml:space="preserve">+22,5 %</w:t>
      </w:r>
      <w:r>
        <w:t xml:space="preserve">, el base a +16,4 % y el bajista a −43,5 %. La señal</w:t>
      </w:r>
      <w:r>
        <w:t xml:space="preserve"> </w:t>
      </w:r>
      <w:r>
        <w:rPr>
          <w:bCs/>
          <w:b/>
        </w:rPr>
        <w:t xml:space="preserve">sigue siendo Mantener</w:t>
      </w:r>
      <w:r>
        <w:t xml:space="preserve">, porque no la frena la valoración sino la puntuación (54,5 &lt; 60). El precio máximo de compra, si un día llegara a 60 puntos, sería</w:t>
      </w:r>
      <w:r>
        <w:t xml:space="preserve"> </w:t>
      </w:r>
      <w:r>
        <w:rPr>
          <w:bCs/>
          <w:b/>
        </w:rPr>
        <w:t xml:space="preserve">~160,8 USD</w:t>
      </w:r>
      <w:r>
        <w:t xml:space="preserve"> </w:t>
      </w:r>
      <w:r>
        <w:t xml:space="preserve">(sección 9).</w:t>
      </w:r>
    </w:p>
    <w:bookmarkStart w:id="20" w:name="la-tesis-en-cinco-líneas"/>
    <w:p>
      <w:pPr>
        <w:pStyle w:val="Heading2"/>
      </w:pPr>
      <w:r>
        <w:t xml:space="preserve">1. La tesis en cinco líneas</w:t>
      </w:r>
    </w:p>
    <w:p>
      <w:pPr>
        <w:numPr>
          <w:ilvl w:val="0"/>
          <w:numId w:val="1001"/>
        </w:numPr>
        <w:pStyle w:val="Compact"/>
      </w:pPr>
      <w:r>
        <w:t xml:space="preserve">Insulet fabrica Omnipod,</w:t>
      </w:r>
      <w:r>
        <w:t xml:space="preserve"> </w:t>
      </w:r>
      <w:r>
        <w:rPr>
          <w:bCs/>
          <w:b/>
        </w:rPr>
        <w:t xml:space="preserve">la única bomba de insulina sin tubo (bomba parche) que se vende a gran escala</w:t>
      </w:r>
      <w:r>
        <w:t xml:space="preserve"> </w:t>
      </w:r>
      <w:r>
        <w:t xml:space="preserve">con un sistema automático (Omnipod 5, que se conecta a los sensores de Dexcom y de Abbott). En 12 meses vende</w:t>
      </w:r>
      <w:r>
        <w:t xml:space="preserve"> </w:t>
      </w:r>
      <w:r>
        <w:rPr>
          <w:bCs/>
          <w:b/>
        </w:rPr>
        <w:t xml:space="preserve">3.054 M USD (+29,4 %)</w:t>
      </w:r>
      <w:r>
        <w:t xml:space="preserve">, con margen bruto del 71 %, margen operativo ajustado del ~19 % y FCF de 294 M.</w:t>
      </w:r>
    </w:p>
    <w:p>
      <w:pPr>
        <w:numPr>
          <w:ilvl w:val="0"/>
          <w:numId w:val="1001"/>
        </w:numPr>
        <w:pStyle w:val="Compact"/>
      </w:pPr>
      <w:r>
        <w:t xml:space="preserve">La acción ha caído un</w:t>
      </w:r>
      <w:r>
        <w:t xml:space="preserve"> </w:t>
      </w:r>
      <w:r>
        <w:rPr>
          <w:bCs/>
          <w:b/>
        </w:rPr>
        <w:t xml:space="preserve">56 % en 12 meses</w:t>
      </w:r>
      <w:r>
        <w:t xml:space="preserve"> </w:t>
      </w:r>
      <w:r>
        <w:t xml:space="preserve">(de 346 USD en noviembre de 2025 a 138 USD). Hubo dos correcciones voluntarias de pods por un fallo de fabricación (marzo y mayo de 2026; ~7 M de pods y 60-70 M de coste), una demanda colectiva y, el 5 de agosto,</w:t>
      </w:r>
      <w:r>
        <w:t xml:space="preserve"> </w:t>
      </w:r>
      <w:r>
        <w:rPr>
          <w:bCs/>
          <w:b/>
        </w:rPr>
        <w:t xml:space="preserve">un recorte de la guía de EE. UU.</w:t>
      </w:r>
      <w:r>
        <w:t xml:space="preserve"> </w:t>
      </w:r>
      <w:r>
        <w:t xml:space="preserve">La causa fue una retención y un uso más bajos de lo previsto entre los pacientes de tipo 2: −20 % en un día.</w:t>
      </w:r>
    </w:p>
    <w:p>
      <w:pPr>
        <w:numPr>
          <w:ilvl w:val="0"/>
          <w:numId w:val="1001"/>
        </w:numPr>
        <w:pStyle w:val="Compact"/>
      </w:pPr>
      <w:r>
        <w:rPr>
          <w:bCs/>
          <w:b/>
        </w:rPr>
        <w:t xml:space="preserve">Es barata para lo que crece</w:t>
      </w:r>
      <w:r>
        <w:t xml:space="preserve">: cotiza a ~11,3x EV/EBITDA NTM, 2,8x ventas y 4,0x beneficio bruto, frente a una mediana de ~27x EBITDA en tres años. El DCF inverso solo descuenta un crecimiento del ~8 % anual durante 10 años, la mitad de lo que guía para el segundo semestre (+17 %).</w:t>
      </w:r>
    </w:p>
    <w:p>
      <w:pPr>
        <w:numPr>
          <w:ilvl w:val="0"/>
          <w:numId w:val="1001"/>
        </w:numPr>
        <w:pStyle w:val="Compact"/>
      </w:pPr>
      <w:r>
        <w:t xml:space="preserve">Pero</w:t>
      </w:r>
      <w:r>
        <w:t xml:space="preserve"> </w:t>
      </w:r>
      <w:r>
        <w:rPr>
          <w:bCs/>
          <w:b/>
        </w:rPr>
        <w:t xml:space="preserve">no hay giro</w:t>
      </w:r>
      <w:r>
        <w:t xml:space="preserve">: solo 1 señal de 8 (las compras de la consejera delegada y de tres consejeros). Las previsiones bajan, la media de 200 sesiones sigue cayendo y en 2027 llegan tres bombas parche rivales (Beta Bionics, Tandem y MiniMed). Es el patrón de «cuchillo que cae» que el método evita a propósito.</w:t>
      </w:r>
    </w:p>
    <w:p>
      <w:pPr>
        <w:numPr>
          <w:ilvl w:val="0"/>
          <w:numId w:val="1001"/>
        </w:numPr>
        <w:pStyle w:val="Compact"/>
      </w:pPr>
      <w:r>
        <w:t xml:space="preserve">Conclusión:</w:t>
      </w:r>
      <w:r>
        <w:t xml:space="preserve"> </w:t>
      </w:r>
      <w:r>
        <w:rPr>
          <w:bCs/>
          <w:b/>
        </w:rPr>
        <w:t xml:space="preserve">Mantener (no comprar)</w:t>
      </w:r>
      <w:r>
        <w:t xml:space="preserve">. El precio es atractivo, pero falta la prueba de que el crecimiento de EE. UU. se estabiliza. Los resultados del 3T (4-nov) y la guía de 2027 (febrero) son las dos ocasiones de revisarla. No desplaza a Dexcom como primera suplente.</w:t>
      </w:r>
    </w:p>
    <w:bookmarkEnd w:id="20"/>
    <w:bookmarkStart w:id="21" w:name="negocio-y-tecnología"/>
    <w:p>
      <w:pPr>
        <w:pStyle w:val="Heading2"/>
      </w:pPr>
      <w:r>
        <w:t xml:space="preserve">2. Negocio y tecnología</w:t>
      </w:r>
    </w:p>
    <w:p>
      <w:pPr>
        <w:pStyle w:val="FirstParagraph"/>
      </w:pPr>
      <w:r>
        <w:t xml:space="preserve">Omnipod es un depósito pequeño de insulina que se pega a la piel y dura 3 días. No lleva tubo y se controla desde el móvil o desde un mando.</w:t>
      </w:r>
      <w:r>
        <w:t xml:space="preserve"> </w:t>
      </w:r>
      <w:r>
        <w:rPr>
          <w:bCs/>
          <w:b/>
        </w:rPr>
        <w:t xml:space="preserve">Omnipod 5</w:t>
      </w:r>
      <w:r>
        <w:t xml:space="preserve"> </w:t>
      </w:r>
      <w:r>
        <w:t xml:space="preserve">decide la dosis cada 5 minutos con la lectura de un sensor continuo de glucosa (Dexcom G6/G7 y Abbott Libre 2 Plus, y desde junio de 2026 Libre 3 Plus) [1][3]. En EE. UU. se vende</w:t>
      </w:r>
      <w:r>
        <w:t xml:space="preserve"> </w:t>
      </w:r>
      <w:r>
        <w:rPr>
          <w:bCs/>
          <w:b/>
        </w:rPr>
        <w:t xml:space="preserve">por farmacia</w:t>
      </w:r>
      <w:r>
        <w:t xml:space="preserve">, sin pago inicial: el paciente paga los pods como un consumible. El 98 % de los ingresos es recurrente (pods), y el 33 % viene de fuera de EE. UU. (+33 % a tipo constante en el 2T26), donde Omnipod 5 ya está en 20 países (España desde julio de 2026) [1]. El resto (~1 %) son pods para Amgen (Neulasta Onpro), en caída.</w:t>
      </w:r>
    </w:p>
    <w:p>
      <w:pPr>
        <w:pStyle w:val="BodyText"/>
      </w:pPr>
      <w:r>
        <w:t xml:space="preserve">Lo nuevo:</w:t>
      </w:r>
      <w:r>
        <w:t xml:space="preserve"> </w:t>
      </w:r>
      <w:r>
        <w:t xml:space="preserve">-</w:t>
      </w:r>
      <w:r>
        <w:t xml:space="preserve"> </w:t>
      </w:r>
      <w:r>
        <w:rPr>
          <w:bCs/>
          <w:b/>
        </w:rPr>
        <w:t xml:space="preserve">Algoritmo nuevo</w:t>
      </w:r>
      <w:r>
        <w:t xml:space="preserve"> </w:t>
      </w:r>
      <w:r>
        <w:t xml:space="preserve">de Omnipod 5 con objetivo de 100 mg/dL (2026) y conexión con Libre 3 Plus [1][3].</w:t>
      </w:r>
      <w:r>
        <w:t xml:space="preserve"> </w:t>
      </w:r>
      <w:r>
        <w:t xml:space="preserve">-</w:t>
      </w:r>
      <w:r>
        <w:t xml:space="preserve"> </w:t>
      </w:r>
      <w:r>
        <w:rPr>
          <w:bCs/>
          <w:b/>
        </w:rPr>
        <w:t xml:space="preserve">Omnipod 6</w:t>
      </w:r>
      <w:r>
        <w:t xml:space="preserve">: el ensayo STRIVE se presentó en la ADA en junio de 2026 (hasta un 50 % más de insulina automática). Se presentaría a la FDA en 2026 para lanzarlo en 2027 [11].</w:t>
      </w:r>
      <w:r>
        <w:t xml:space="preserve"> </w:t>
      </w:r>
      <w:r>
        <w:t xml:space="preserve">-</w:t>
      </w:r>
      <w:r>
        <w:t xml:space="preserve"> </w:t>
      </w:r>
      <w:r>
        <w:rPr>
          <w:bCs/>
          <w:b/>
        </w:rPr>
        <w:t xml:space="preserve">Lazo cerrado completo para tipo 2</w:t>
      </w:r>
      <w:r>
        <w:t xml:space="preserve">, sin bolos: el estudio pivotal EVOLVE está en marcha, la 510(k) se presentaría en 2027 y el lanzamiento sería en 2028 [3][11].</w:t>
      </w:r>
    </w:p>
    <w:p>
      <w:pPr>
        <w:numPr>
          <w:ilvl w:val="0"/>
          <w:numId w:val="1002"/>
        </w:numPr>
        <w:pStyle w:val="Compact"/>
      </w:pPr>
      <w:r>
        <w:rPr>
          <w:bCs/>
          <w:b/>
        </w:rPr>
        <w:t xml:space="preserve">Tecnología 4/5</w:t>
      </w:r>
      <w:r>
        <w:t xml:space="preserve">: es la única bomba parche con sistema automático a escala, con patentes, una fabricación propia muy automatizada y una plataforma de datos de millones de usuarios. No llega a 5 porque las correcciones de 2026 muestran fallos de fabricación (desgarros de cánula en Acton) y porque en 2027 llegan rivales con el mismo formato.</w:t>
      </w:r>
    </w:p>
    <w:p>
      <w:pPr>
        <w:numPr>
          <w:ilvl w:val="0"/>
          <w:numId w:val="1002"/>
        </w:numPr>
        <w:pStyle w:val="Compact"/>
      </w:pPr>
      <w:r>
        <w:rPr>
          <w:bCs/>
          <w:b/>
        </w:rPr>
        <w:t xml:space="preserve">Posición 4/5</w:t>
      </w:r>
      <w:r>
        <w:t xml:space="preserve">: es la n.º 1 en altas nuevas en EE. UU. y en Europa en 2025 [2], y fuera de EE. UU. sigue ganando cuota (+30-32 % previsto). Se queda en 4 porque en EE. UU. frena: del +28 % del 1T26 al +14-16 % previsto en el 3T26. JPMorgan cree que ya se nota la competencia, aunque la empresa lo niega [8].</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Guía (tipo constante)</w:t>
            </w:r>
          </w:p>
        </w:tc>
        <w:tc>
          <w:tcPr/>
          <w:p>
            <w:pPr>
              <w:pStyle w:val="Compact"/>
              <w:jc w:val="left"/>
            </w:pPr>
            <w:r>
              <w:t xml:space="preserve">Real (tipo constante)</w:t>
            </w:r>
          </w:p>
        </w:tc>
        <w:tc>
          <w:tcPr/>
          <w:p>
            <w:pPr>
              <w:pStyle w:val="Compact"/>
              <w:jc w:val="left"/>
            </w:pPr>
            <w:r>
              <w:t xml:space="preserve">Margen bruto GAAP</w:t>
            </w:r>
          </w:p>
        </w:tc>
        <w:tc>
          <w:tcPr/>
          <w:p>
            <w:pPr>
              <w:pStyle w:val="Compact"/>
              <w:jc w:val="left"/>
            </w:pPr>
            <w:r>
              <w:t xml:space="preserve">Margen operativo GAAP</w:t>
            </w:r>
          </w:p>
        </w:tc>
      </w:tr>
      <w:tr>
        <w:tc>
          <w:tcPr/>
          <w:p>
            <w:pPr>
              <w:pStyle w:val="Compact"/>
              <w:jc w:val="left"/>
            </w:pPr>
            <w:r>
              <w:t xml:space="preserve">3T24</w:t>
            </w:r>
          </w:p>
        </w:tc>
        <w:tc>
          <w:tcPr/>
          <w:p>
            <w:pPr>
              <w:pStyle w:val="Compact"/>
              <w:jc w:val="left"/>
            </w:pPr>
            <w:r>
              <w:t xml:space="preserve">543,9</w:t>
            </w:r>
          </w:p>
        </w:tc>
        <w:tc>
          <w:tcPr/>
          <w:p>
            <w:pPr>
              <w:pStyle w:val="Compact"/>
              <w:jc w:val="left"/>
            </w:pPr>
            <w:r>
              <w:t xml:space="preserve">25,7 %</w:t>
            </w:r>
          </w:p>
        </w:tc>
        <w:tc>
          <w:tcPr/>
          <w:p>
            <w:pPr>
              <w:pStyle w:val="Compact"/>
              <w:jc w:val="left"/>
            </w:pPr>
            <w:r>
              <w:t xml:space="preserve">—</w:t>
            </w:r>
          </w:p>
        </w:tc>
        <w:tc>
          <w:tcPr/>
          <w:p>
            <w:pPr>
              <w:pStyle w:val="Compact"/>
              <w:jc w:val="left"/>
            </w:pPr>
            <w:r>
              <w:t xml:space="preserve">—</w:t>
            </w:r>
          </w:p>
        </w:tc>
        <w:tc>
          <w:tcPr/>
          <w:p>
            <w:pPr>
              <w:pStyle w:val="Compact"/>
              <w:jc w:val="left"/>
            </w:pPr>
            <w:r>
              <w:t xml:space="preserve">69,3 %</w:t>
            </w:r>
          </w:p>
        </w:tc>
        <w:tc>
          <w:tcPr/>
          <w:p>
            <w:pPr>
              <w:pStyle w:val="Compact"/>
              <w:jc w:val="left"/>
            </w:pPr>
            <w:r>
              <w:t xml:space="preserve">16,2 %</w:t>
            </w:r>
          </w:p>
        </w:tc>
      </w:tr>
      <w:tr>
        <w:tc>
          <w:tcPr/>
          <w:p>
            <w:pPr>
              <w:pStyle w:val="Compact"/>
              <w:jc w:val="left"/>
            </w:pPr>
            <w:r>
              <w:t xml:space="preserve">4T24</w:t>
            </w:r>
          </w:p>
        </w:tc>
        <w:tc>
          <w:tcPr/>
          <w:p>
            <w:pPr>
              <w:pStyle w:val="Compact"/>
              <w:jc w:val="left"/>
            </w:pPr>
            <w:r>
              <w:t xml:space="preserve">597,5</w:t>
            </w:r>
          </w:p>
        </w:tc>
        <w:tc>
          <w:tcPr/>
          <w:p>
            <w:pPr>
              <w:pStyle w:val="Compact"/>
              <w:jc w:val="left"/>
            </w:pPr>
            <w:r>
              <w:t xml:space="preserve">17,2 %</w:t>
            </w:r>
          </w:p>
        </w:tc>
        <w:tc>
          <w:tcPr/>
          <w:p>
            <w:pPr>
              <w:pStyle w:val="Compact"/>
              <w:jc w:val="left"/>
            </w:pPr>
            <w:r>
              <w:t xml:space="preserve">—</w:t>
            </w:r>
          </w:p>
        </w:tc>
        <w:tc>
          <w:tcPr/>
          <w:p>
            <w:pPr>
              <w:pStyle w:val="Compact"/>
              <w:jc w:val="left"/>
            </w:pPr>
            <w:r>
              <w:t xml:space="preserve">—</w:t>
            </w:r>
          </w:p>
        </w:tc>
        <w:tc>
          <w:tcPr/>
          <w:p>
            <w:pPr>
              <w:pStyle w:val="Compact"/>
              <w:jc w:val="left"/>
            </w:pPr>
            <w:r>
              <w:t xml:space="preserve">72,1 %</w:t>
            </w:r>
          </w:p>
        </w:tc>
        <w:tc>
          <w:tcPr/>
          <w:p>
            <w:pPr>
              <w:pStyle w:val="Compact"/>
              <w:jc w:val="left"/>
            </w:pPr>
            <w:r>
              <w:t xml:space="preserve">18,3 %</w:t>
            </w:r>
          </w:p>
        </w:tc>
      </w:tr>
      <w:tr>
        <w:tc>
          <w:tcPr/>
          <w:p>
            <w:pPr>
              <w:pStyle w:val="Compact"/>
              <w:jc w:val="left"/>
            </w:pPr>
            <w:r>
              <w:t xml:space="preserve">1T25</w:t>
            </w:r>
          </w:p>
        </w:tc>
        <w:tc>
          <w:tcPr/>
          <w:p>
            <w:pPr>
              <w:pStyle w:val="Compact"/>
              <w:jc w:val="left"/>
            </w:pPr>
            <w:r>
              <w:t xml:space="preserve">569,0</w:t>
            </w:r>
          </w:p>
        </w:tc>
        <w:tc>
          <w:tcPr/>
          <w:p>
            <w:pPr>
              <w:pStyle w:val="Compact"/>
              <w:jc w:val="left"/>
            </w:pPr>
            <w:r>
              <w:t xml:space="preserve">28,8 %</w:t>
            </w:r>
          </w:p>
        </w:tc>
        <w:tc>
          <w:tcPr/>
          <w:p>
            <w:pPr>
              <w:pStyle w:val="Compact"/>
              <w:jc w:val="left"/>
            </w:pPr>
            <w:r>
              <w:t xml:space="preserve">—</w:t>
            </w:r>
          </w:p>
        </w:tc>
        <w:tc>
          <w:tcPr/>
          <w:p>
            <w:pPr>
              <w:pStyle w:val="Compact"/>
              <w:jc w:val="left"/>
            </w:pPr>
            <w:r>
              <w:t xml:space="preserve">—</w:t>
            </w:r>
          </w:p>
        </w:tc>
        <w:tc>
          <w:tcPr/>
          <w:p>
            <w:pPr>
              <w:pStyle w:val="Compact"/>
              <w:jc w:val="left"/>
            </w:pPr>
            <w:r>
              <w:t xml:space="preserve">71,9 %</w:t>
            </w:r>
          </w:p>
        </w:tc>
        <w:tc>
          <w:tcPr/>
          <w:p>
            <w:pPr>
              <w:pStyle w:val="Compact"/>
              <w:jc w:val="left"/>
            </w:pPr>
            <w:r>
              <w:t xml:space="preserve">15,6 %</w:t>
            </w:r>
          </w:p>
        </w:tc>
      </w:tr>
      <w:tr>
        <w:tc>
          <w:tcPr/>
          <w:p>
            <w:pPr>
              <w:pStyle w:val="Compact"/>
              <w:jc w:val="left"/>
            </w:pPr>
            <w:r>
              <w:t xml:space="preserve">2T25</w:t>
            </w:r>
          </w:p>
        </w:tc>
        <w:tc>
          <w:tcPr/>
          <w:p>
            <w:pPr>
              <w:pStyle w:val="Compact"/>
              <w:jc w:val="left"/>
            </w:pPr>
            <w:r>
              <w:t xml:space="preserve">649,1</w:t>
            </w:r>
          </w:p>
        </w:tc>
        <w:tc>
          <w:tcPr/>
          <w:p>
            <w:pPr>
              <w:pStyle w:val="Compact"/>
              <w:jc w:val="left"/>
            </w:pPr>
            <w:r>
              <w:t xml:space="preserve">32,9 %</w:t>
            </w:r>
          </w:p>
        </w:tc>
        <w:tc>
          <w:tcPr/>
          <w:p>
            <w:pPr>
              <w:pStyle w:val="Compact"/>
              <w:jc w:val="left"/>
            </w:pPr>
            <w:r>
              <w:t xml:space="preserve">hasta 26 %</w:t>
            </w:r>
          </w:p>
        </w:tc>
        <w:tc>
          <w:tcPr/>
          <w:p>
            <w:pPr>
              <w:pStyle w:val="Compact"/>
              <w:jc w:val="left"/>
            </w:pPr>
            <w:r>
              <w:t xml:space="preserve">31,3 %</w:t>
            </w:r>
          </w:p>
        </w:tc>
        <w:tc>
          <w:tcPr/>
          <w:p>
            <w:pPr>
              <w:pStyle w:val="Compact"/>
              <w:jc w:val="left"/>
            </w:pPr>
            <w:r>
              <w:t xml:space="preserve">69,7 %</w:t>
            </w:r>
          </w:p>
        </w:tc>
        <w:tc>
          <w:tcPr/>
          <w:p>
            <w:pPr>
              <w:pStyle w:val="Compact"/>
              <w:jc w:val="left"/>
            </w:pPr>
            <w:r>
              <w:t xml:space="preserve">18,7 %</w:t>
            </w:r>
          </w:p>
        </w:tc>
      </w:tr>
      <w:tr>
        <w:tc>
          <w:tcPr/>
          <w:p>
            <w:pPr>
              <w:pStyle w:val="Compact"/>
              <w:jc w:val="left"/>
            </w:pPr>
            <w:r>
              <w:t xml:space="preserve">3T25</w:t>
            </w:r>
          </w:p>
        </w:tc>
        <w:tc>
          <w:tcPr/>
          <w:p>
            <w:pPr>
              <w:pStyle w:val="Compact"/>
              <w:jc w:val="left"/>
            </w:pPr>
            <w:r>
              <w:t xml:space="preserve">706,3</w:t>
            </w:r>
          </w:p>
        </w:tc>
        <w:tc>
          <w:tcPr/>
          <w:p>
            <w:pPr>
              <w:pStyle w:val="Compact"/>
              <w:jc w:val="left"/>
            </w:pPr>
            <w:r>
              <w:t xml:space="preserve">29,9 %</w:t>
            </w:r>
          </w:p>
        </w:tc>
        <w:tc>
          <w:tcPr/>
          <w:p>
            <w:pPr>
              <w:pStyle w:val="Compact"/>
              <w:jc w:val="left"/>
            </w:pPr>
            <w:r>
              <w:t xml:space="preserve">22-25 %</w:t>
            </w:r>
          </w:p>
        </w:tc>
        <w:tc>
          <w:tcPr/>
          <w:p>
            <w:pPr>
              <w:pStyle w:val="Compact"/>
              <w:jc w:val="left"/>
            </w:pPr>
            <w:r>
              <w:t xml:space="preserve">28,2 %</w:t>
            </w:r>
          </w:p>
        </w:tc>
        <w:tc>
          <w:tcPr/>
          <w:p>
            <w:pPr>
              <w:pStyle w:val="Compact"/>
              <w:jc w:val="left"/>
            </w:pPr>
            <w:r>
              <w:t xml:space="preserve">72,2 %</w:t>
            </w:r>
          </w:p>
        </w:tc>
        <w:tc>
          <w:tcPr/>
          <w:p>
            <w:pPr>
              <w:pStyle w:val="Compact"/>
              <w:jc w:val="left"/>
            </w:pPr>
            <w:r>
              <w:t xml:space="preserve">16,7 %</w:t>
            </w:r>
          </w:p>
        </w:tc>
      </w:tr>
      <w:tr>
        <w:tc>
          <w:tcPr/>
          <w:p>
            <w:pPr>
              <w:pStyle w:val="Compact"/>
              <w:jc w:val="left"/>
            </w:pPr>
            <w:r>
              <w:t xml:space="preserve">4T25</w:t>
            </w:r>
          </w:p>
        </w:tc>
        <w:tc>
          <w:tcPr/>
          <w:p>
            <w:pPr>
              <w:pStyle w:val="Compact"/>
              <w:jc w:val="left"/>
            </w:pPr>
            <w:r>
              <w:t xml:space="preserve">783,8</w:t>
            </w:r>
          </w:p>
        </w:tc>
        <w:tc>
          <w:tcPr/>
          <w:p>
            <w:pPr>
              <w:pStyle w:val="Compact"/>
              <w:jc w:val="left"/>
            </w:pPr>
            <w:r>
              <w:t xml:space="preserve">31,2 %</w:t>
            </w:r>
          </w:p>
        </w:tc>
        <w:tc>
          <w:tcPr/>
          <w:p>
            <w:pPr>
              <w:pStyle w:val="Compact"/>
              <w:jc w:val="left"/>
            </w:pPr>
            <w:r>
              <w:t xml:space="preserve">25-28 %</w:t>
            </w:r>
          </w:p>
        </w:tc>
        <w:tc>
          <w:tcPr/>
          <w:p>
            <w:pPr>
              <w:pStyle w:val="Compact"/>
              <w:jc w:val="left"/>
            </w:pPr>
            <w:r>
              <w:t xml:space="preserve">29,0 %</w:t>
            </w:r>
          </w:p>
        </w:tc>
        <w:tc>
          <w:tcPr/>
          <w:p>
            <w:pPr>
              <w:pStyle w:val="Compact"/>
              <w:jc w:val="left"/>
            </w:pPr>
            <w:r>
              <w:t xml:space="preserve">72,5 %</w:t>
            </w:r>
          </w:p>
        </w:tc>
        <w:tc>
          <w:tcPr/>
          <w:p>
            <w:pPr>
              <w:pStyle w:val="Compact"/>
              <w:jc w:val="left"/>
            </w:pPr>
            <w:r>
              <w:t xml:space="preserve">18,7 %</w:t>
            </w:r>
          </w:p>
        </w:tc>
      </w:tr>
      <w:tr>
        <w:tc>
          <w:tcPr/>
          <w:p>
            <w:pPr>
              <w:pStyle w:val="Compact"/>
              <w:jc w:val="left"/>
            </w:pPr>
            <w:r>
              <w:t xml:space="preserve">1T26</w:t>
            </w:r>
          </w:p>
        </w:tc>
        <w:tc>
          <w:tcPr/>
          <w:p>
            <w:pPr>
              <w:pStyle w:val="Compact"/>
              <w:jc w:val="left"/>
            </w:pPr>
            <w:r>
              <w:t xml:space="preserve">761,7</w:t>
            </w:r>
          </w:p>
        </w:tc>
        <w:tc>
          <w:tcPr/>
          <w:p>
            <w:pPr>
              <w:pStyle w:val="Compact"/>
              <w:jc w:val="left"/>
            </w:pPr>
            <w:r>
              <w:t xml:space="preserve">33,9 %</w:t>
            </w:r>
          </w:p>
        </w:tc>
        <w:tc>
          <w:tcPr/>
          <w:p>
            <w:pPr>
              <w:pStyle w:val="Compact"/>
              <w:jc w:val="left"/>
            </w:pPr>
            <w:r>
              <w:t xml:space="preserve">25-27 %</w:t>
            </w:r>
          </w:p>
        </w:tc>
        <w:tc>
          <w:tcPr/>
          <w:p>
            <w:pPr>
              <w:pStyle w:val="Compact"/>
              <w:jc w:val="left"/>
            </w:pPr>
            <w:r>
              <w:t xml:space="preserve">30,1 %</w:t>
            </w:r>
          </w:p>
        </w:tc>
        <w:tc>
          <w:tcPr/>
          <w:p>
            <w:pPr>
              <w:pStyle w:val="Compact"/>
              <w:jc w:val="left"/>
            </w:pPr>
            <w:r>
              <w:t xml:space="preserve">69,5 %</w:t>
            </w:r>
          </w:p>
        </w:tc>
        <w:tc>
          <w:tcPr/>
          <w:p>
            <w:pPr>
              <w:pStyle w:val="Compact"/>
              <w:jc w:val="left"/>
            </w:pPr>
            <w:r>
              <w:t xml:space="preserve">16,0 %</w:t>
            </w:r>
          </w:p>
        </w:tc>
      </w:tr>
      <w:tr>
        <w:tc>
          <w:tcPr/>
          <w:p>
            <w:pPr>
              <w:pStyle w:val="Compact"/>
              <w:jc w:val="left"/>
            </w:pPr>
            <w:r>
              <w:t xml:space="preserve">2T26</w:t>
            </w:r>
          </w:p>
        </w:tc>
        <w:tc>
          <w:tcPr/>
          <w:p>
            <w:pPr>
              <w:pStyle w:val="Compact"/>
              <w:jc w:val="left"/>
            </w:pPr>
            <w:r>
              <w:t xml:space="preserve">801,7</w:t>
            </w:r>
          </w:p>
        </w:tc>
        <w:tc>
          <w:tcPr/>
          <w:p>
            <w:pPr>
              <w:pStyle w:val="Compact"/>
              <w:jc w:val="left"/>
            </w:pPr>
            <w:r>
              <w:t xml:space="preserve">23,5 %</w:t>
            </w:r>
          </w:p>
        </w:tc>
        <w:tc>
          <w:tcPr/>
          <w:p>
            <w:pPr>
              <w:pStyle w:val="Compact"/>
              <w:jc w:val="left"/>
            </w:pPr>
            <w:r>
              <w:t xml:space="preserve">20-22 %</w:t>
            </w:r>
          </w:p>
        </w:tc>
        <w:tc>
          <w:tcPr/>
          <w:p>
            <w:pPr>
              <w:pStyle w:val="Compact"/>
              <w:jc w:val="left"/>
            </w:pPr>
            <w:r>
              <w:t xml:space="preserve">22,7 %</w:t>
            </w:r>
          </w:p>
        </w:tc>
        <w:tc>
          <w:tcPr/>
          <w:p>
            <w:pPr>
              <w:pStyle w:val="Compact"/>
              <w:jc w:val="left"/>
            </w:pPr>
            <w:r>
              <w:t xml:space="preserve">70,2 %</w:t>
            </w:r>
          </w:p>
        </w:tc>
        <w:tc>
          <w:tcPr/>
          <w:p>
            <w:pPr>
              <w:pStyle w:val="Compact"/>
              <w:jc w:val="left"/>
            </w:pPr>
            <w:r>
              <w:t xml:space="preserve">16,2 %</w:t>
            </w:r>
          </w:p>
        </w:tc>
      </w:tr>
      <w:tr>
        <w:tc>
          <w:tcPr/>
          <w:p>
            <w:pPr>
              <w:pStyle w:val="Compact"/>
              <w:jc w:val="left"/>
            </w:pPr>
            <w:r>
              <w:t xml:space="preserve">3T26 (guía)</w:t>
            </w:r>
          </w:p>
        </w:tc>
        <w:tc>
          <w:tcPr/>
          <w:p>
            <w:pPr>
              <w:pStyle w:val="Compact"/>
              <w:jc w:val="left"/>
            </w:pPr>
            <w:r>
              <w:t xml:space="preserve">~833</w:t>
            </w:r>
          </w:p>
        </w:tc>
        <w:tc>
          <w:tcPr/>
          <w:p>
            <w:pPr>
              <w:pStyle w:val="Compact"/>
              <w:jc w:val="left"/>
            </w:pPr>
            <w:r>
              <w:t xml:space="preserve">17-19 %</w:t>
            </w:r>
          </w:p>
        </w:tc>
        <w:tc>
          <w:tcPr/>
          <w:p>
            <w:pPr>
              <w:pStyle w:val="Compact"/>
              <w:jc w:val="left"/>
            </w:pPr>
            <w:r>
              <w:t xml:space="preserve">17,5-19,5 %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Fuentes: [1][2][5].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1.697,1</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2.071,6</w:t>
            </w:r>
          </w:p>
        </w:tc>
        <w:tc>
          <w:tcPr/>
          <w:p>
            <w:pPr>
              <w:pStyle w:val="Compact"/>
              <w:jc w:val="left"/>
            </w:pPr>
            <w:r>
              <w:t xml:space="preserve">22,1 %</w:t>
            </w:r>
          </w:p>
        </w:tc>
      </w:tr>
      <w:tr>
        <w:tc>
          <w:tcPr/>
          <w:p>
            <w:pPr>
              <w:pStyle w:val="Compact"/>
              <w:jc w:val="left"/>
            </w:pPr>
            <w:r>
              <w:t xml:space="preserve">2025</w:t>
            </w:r>
          </w:p>
        </w:tc>
        <w:tc>
          <w:tcPr/>
          <w:p>
            <w:pPr>
              <w:pStyle w:val="Compact"/>
              <w:jc w:val="left"/>
            </w:pPr>
            <w:r>
              <w:t xml:space="preserve">2.708,1</w:t>
            </w:r>
          </w:p>
        </w:tc>
        <w:tc>
          <w:tcPr/>
          <w:p>
            <w:pPr>
              <w:pStyle w:val="Compact"/>
              <w:jc w:val="left"/>
            </w:pPr>
            <w:r>
              <w:t xml:space="preserve">30,7 %</w:t>
            </w:r>
          </w:p>
        </w:tc>
      </w:tr>
      <w:tr>
        <w:tc>
          <w:tcPr/>
          <w:p>
            <w:pPr>
              <w:pStyle w:val="Compact"/>
              <w:jc w:val="left"/>
            </w:pPr>
            <w:r>
              <w:t xml:space="preserve">2026 (guía de agosto)</w:t>
            </w:r>
          </w:p>
        </w:tc>
        <w:tc>
          <w:tcPr/>
          <w:p>
            <w:pPr>
              <w:pStyle w:val="Compact"/>
              <w:jc w:val="left"/>
            </w:pPr>
            <w:r>
              <w:t xml:space="preserve">~3.270-3.330</w:t>
            </w:r>
          </w:p>
        </w:tc>
        <w:tc>
          <w:tcPr/>
          <w:p>
            <w:pPr>
              <w:pStyle w:val="Compact"/>
              <w:jc w:val="left"/>
            </w:pPr>
            <w:r>
              <w:t xml:space="preserve">21-23 % en USD (20-22 % a tipo constante)</w:t>
            </w:r>
          </w:p>
        </w:tc>
      </w:tr>
    </w:tbl>
    <w:p>
      <w:pPr>
        <w:numPr>
          <w:ilvl w:val="0"/>
          <w:numId w:val="1003"/>
        </w:numPr>
        <w:pStyle w:val="Compact"/>
      </w:pPr>
      <w:r>
        <w:rPr>
          <w:bCs/>
          <w:b/>
        </w:rPr>
        <w:t xml:space="preserve">Ventas de los últimos 12 meses</w:t>
      </w:r>
      <w:r>
        <w:t xml:space="preserve"> </w:t>
      </w:r>
      <w:r>
        <w:t xml:space="preserve">(3T25-2T26):</w:t>
      </w:r>
      <w:r>
        <w:t xml:space="preserve"> </w:t>
      </w:r>
      <w:r>
        <w:rPr>
          <w:bCs/>
          <w:b/>
        </w:rPr>
        <w:t xml:space="preserve">3.053,5 M USD, +29,4 %</w:t>
      </w:r>
      <w:r>
        <w:t xml:space="preserve">.</w:t>
      </w:r>
      <w:r>
        <w:t xml:space="preserve"> </w:t>
      </w:r>
      <w:r>
        <w:rPr>
          <w:bCs/>
          <w:b/>
        </w:rPr>
        <w:t xml:space="preserve">CAGR propio a 2 años: 27,7 %</w:t>
      </w:r>
      <w:r>
        <w:t xml:space="preserve"> </w:t>
      </w:r>
      <w:r>
        <w:t xml:space="preserve">(12 m a jun-2024: 1.872,7 M) [5].</w:t>
      </w:r>
    </w:p>
    <w:p>
      <w:pPr>
        <w:numPr>
          <w:ilvl w:val="0"/>
          <w:numId w:val="1003"/>
        </w:numPr>
        <w:pStyle w:val="Compact"/>
      </w:pPr>
      <w:r>
        <w:rPr>
          <w:bCs/>
          <w:b/>
        </w:rPr>
        <w:t xml:space="preserve">Aceleración: −8,5 pp</w:t>
      </w:r>
      <w:r>
        <w:t xml:space="preserve"> </w:t>
      </w:r>
      <w:r>
        <w:t xml:space="preserve">(el 2T26, +23,5 %, frente a la media de los cuatro anteriores, +32,0 %). El 1T26 llevaba ~4 puntos de divisa y un internacional disparado (+45 % a tipo constante).</w:t>
      </w:r>
    </w:p>
    <w:p>
      <w:pPr>
        <w:numPr>
          <w:ilvl w:val="0"/>
          <w:numId w:val="1003"/>
        </w:numPr>
        <w:pStyle w:val="Compact"/>
      </w:pPr>
      <w:r>
        <w:rPr>
          <w:bCs/>
          <w:b/>
        </w:rPr>
        <w:t xml:space="preserve">Retención</w:t>
      </w:r>
      <w:r>
        <w:t xml:space="preserve">: no publica retención neta (</w:t>
      </w:r>
      <w:r>
        <w:rPr>
          <w:rStyle w:val="VerbatimChar"/>
        </w:rPr>
        <w:t xml:space="preserve">nrr_pct</w:t>
      </w:r>
      <w:r>
        <w:t xml:space="preserve"> </w:t>
      </w:r>
      <w:r>
        <w:t xml:space="preserve">= null). Al ser un consumible que se repone cada 3 días, los ingresos son recurrentes. El problema de 2026 es justo la retención de los pacientes de tipo 2 en sus primeros 90 días [8].</w:t>
      </w:r>
    </w:p>
    <w:p>
      <w:pPr>
        <w:numPr>
          <w:ilvl w:val="0"/>
          <w:numId w:val="1003"/>
        </w:numPr>
        <w:pStyle w:val="Compact"/>
      </w:pPr>
      <w:r>
        <w:rPr>
          <w:bCs/>
          <w:b/>
        </w:rPr>
        <w:t xml:space="preserve">Guía 2026</w:t>
      </w:r>
      <w:r>
        <w:t xml:space="preserve"> </w:t>
      </w:r>
      <w:r>
        <w:t xml:space="preserve">(5-ago): total +20-22 % a tipo constante (antes +21-23 %),</w:t>
      </w:r>
      <w:r>
        <w:t xml:space="preserve"> </w:t>
      </w:r>
      <w:r>
        <w:rPr>
          <w:bCs/>
          <w:b/>
        </w:rPr>
        <w:t xml:space="preserve">EE. UU. +17-19 % (antes +20-22 %)</w:t>
      </w:r>
      <w:r>
        <w:t xml:space="preserve">, internacional +30-32 % (antes +26-28 %); 3T26 +17,5-19,5 % (EE. UU. +14-16 %); margen operativo ajustado ~+100 pb; BPA ajustado &gt; +30 % [1].</w:t>
      </w:r>
      <w:r>
        <w:t xml:space="preserve"> </w:t>
      </w:r>
      <w:r>
        <w:rPr>
          <w:bCs/>
          <w:b/>
        </w:rPr>
        <w:t xml:space="preserve">La guía anual implica un segundo semestre de ~+16,8 % en dólares</w:t>
      </w:r>
      <w:r>
        <w:t xml:space="preserve"> </w:t>
      </w:r>
      <w:r>
        <w:t xml:space="preserve">(3T ~833 M, 4T ~907 M, +15,7 %): la desaceleración ya está en la guía.</w:t>
      </w:r>
    </w:p>
    <w:p>
      <w:pPr>
        <w:numPr>
          <w:ilvl w:val="0"/>
          <w:numId w:val="1003"/>
        </w:numPr>
        <w:pStyle w:val="Compact"/>
      </w:pPr>
      <w:r>
        <w:rPr>
          <w:bCs/>
          <w:b/>
        </w:rPr>
        <w:t xml:space="preserve">Campos nuevos</w:t>
      </w:r>
      <w:r>
        <w:t xml:space="preserve"> </w:t>
      </w:r>
      <w:r>
        <w:t xml:space="preserve">(para la candidata v9):</w:t>
      </w:r>
      <w:r>
        <w:t xml:space="preserve"> </w:t>
      </w:r>
      <w:r>
        <w:rPr>
          <w:rStyle w:val="VerbatimChar"/>
        </w:rPr>
        <w:t xml:space="preserve">guia_12m_pct</w:t>
      </w:r>
      <w:r>
        <w:t xml:space="preserve"> </w:t>
      </w:r>
      <w:r>
        <w:t xml:space="preserve">=</w:t>
      </w:r>
      <w:r>
        <w:t xml:space="preserve"> </w:t>
      </w:r>
      <w:r>
        <w:rPr>
          <w:bCs/>
          <w:b/>
        </w:rPr>
        <w:t xml:space="preserve">16,8 %</w:t>
      </w:r>
      <w:r>
        <w:t xml:space="preserve"> </w:t>
      </w:r>
      <w:r>
        <w:t xml:space="preserve">(el segundo semestre implícito, lo único guiado de los 12 meses siguientes; con la lectura literal de v9, el punto medio del ejercicio, sería 21 %) y</w:t>
      </w:r>
      <w:r>
        <w:t xml:space="preserve"> </w:t>
      </w:r>
      <w:r>
        <w:rPr>
          <w:rStyle w:val="VerbatimChar"/>
        </w:rPr>
        <w:t xml:space="preserve">exceso_guia_pp</w:t>
      </w:r>
      <w:r>
        <w:t xml:space="preserve"> </w:t>
      </w:r>
      <w:r>
        <w:t xml:space="preserve">=</w:t>
      </w:r>
      <w:r>
        <w:t xml:space="preserve"> </w:t>
      </w:r>
      <w:r>
        <w:rPr>
          <w:bCs/>
          <w:b/>
        </w:rPr>
        <w:t xml:space="preserve">+3,3 pp</w:t>
      </w:r>
      <w:r>
        <w:t xml:space="preserve"> </w:t>
      </w:r>
      <w:r>
        <w:t xml:space="preserve">(media de 4,7, 2,5, 4,1 y 1,7 puntos sobre el punto medio de la guía trimestral;</w:t>
      </w:r>
      <w:r>
        <w:t xml:space="preserve"> </w:t>
      </w:r>
      <w:r>
        <w:rPr>
          <w:bCs/>
          <w:b/>
        </w:rPr>
        <w:t xml:space="preserve">cada vez menor</w:t>
      </w:r>
      <w:r>
        <w:t xml:space="preserve">).</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~20.000 M USD en 2028</w:t>
      </w:r>
      <w:r>
        <w:t xml:space="preserve"> </w:t>
      </w:r>
      <w:r>
        <w:t xml:space="preserve">(estimación propia). Hoy el mercado servido de bombas y sistemas automáticos ronda los 6.000-7.000 M (Insulet 3.050, la parte de bombas de MiniMed, Tandem ~1.040, Beta Bionics y otros). La empresa cifra en ~12.000 M la oportunidad del tipo 2, y el tipo 1 sigue poco penetrado fuera de EE. UU. [10][11][14].</w:t>
      </w:r>
      <w:r>
        <w:t xml:space="preserve"> </w:t>
      </w:r>
      <w:r>
        <w:rPr>
          <w:bCs/>
          <w:b/>
        </w:rPr>
        <w:t xml:space="preserve">Penetración: 15,3 %.</w:t>
      </w:r>
    </w:p>
    <w:p>
      <w:pPr>
        <w:numPr>
          <w:ilvl w:val="0"/>
          <w:numId w:val="1004"/>
        </w:numPr>
        <w:pStyle w:val="Compact"/>
      </w:pPr>
      <w:r>
        <w:rPr>
          <w:bCs/>
          <w:b/>
        </w:rPr>
        <w:t xml:space="preserve">Rivales</w:t>
      </w:r>
      <w:r>
        <w:t xml:space="preserve">: MiniMed (Medtronic; salió a bolsa en marzo de 2026 a 20 USD, con bomba de tubo y sensor propio, y prepara su bomba parche para presentarla a la FDA en otoño de 2026); Tandem (t:slim y Mobi; prepara una versión sin tubo);</w:t>
      </w:r>
      <w:r>
        <w:t xml:space="preserve"> </w:t>
      </w:r>
      <w:r>
        <w:rPr>
          <w:bCs/>
          <w:b/>
        </w:rPr>
        <w:t xml:space="preserve">Beta Bionics</w:t>
      </w:r>
      <w:r>
        <w:t xml:space="preserve"> </w:t>
      </w:r>
      <w:r>
        <w:t xml:space="preserve">(iLet; su bomba parche Mint, de 3 días y vendida solo en farmacia, saldría a finales del 2T27); Sequel (twiist) y Roche/Ypsomed fuera de EE. UU. [10][14].</w:t>
      </w:r>
    </w:p>
    <w:p>
      <w:pPr>
        <w:numPr>
          <w:ilvl w:val="0"/>
          <w:numId w:val="1004"/>
        </w:numPr>
        <w:pStyle w:val="Compact"/>
      </w:pPr>
      <w:r>
        <w:rPr>
          <w:bCs/>
          <w:b/>
        </w:rPr>
        <w:t xml:space="preserve">Por qué gana</w:t>
      </w:r>
      <w:r>
        <w:t xml:space="preserve">: es la única bomba parche a escala, se vende en farmacia (más barata y fácil de conseguir que la bomba de tubo, que va por material médico), funciona con los dos grandes sensores y tiene la mayor base de usuarios.</w:t>
      </w:r>
      <w:r>
        <w:t xml:space="preserve"> </w:t>
      </w:r>
      <w:r>
        <w:rPr>
          <w:bCs/>
          <w:b/>
        </w:rPr>
        <w:t xml:space="preserve">Por qué puede perder</w:t>
      </w:r>
      <w:r>
        <w:t xml:space="preserve">: en 2027 tendrá por primera vez rivales con el mismo formato y el mismo canal, y la ventaja del canal de farmacia se reduce. JPMorgan ve EE. UU. creciendo al ~10 % o menos en 2027 [8].</w:t>
      </w:r>
    </w:p>
    <w:p>
      <w:pPr>
        <w:numPr>
          <w:ilvl w:val="0"/>
          <w:numId w:val="1004"/>
        </w:numPr>
        <w:pStyle w:val="Compact"/>
      </w:pPr>
      <w:r>
        <w:rPr>
          <w:bCs/>
          <w:b/>
        </w:rPr>
        <w:t xml:space="preserve">Fármacos GLP-1 (riesgo sobre la demanda)</w:t>
      </w:r>
      <w:r>
        <w:t xml:space="preserve">: según los datos,</w:t>
      </w:r>
      <w:r>
        <w:t xml:space="preserve"> </w:t>
      </w:r>
      <w:r>
        <w:rPr>
          <w:bCs/>
          <w:b/>
        </w:rPr>
        <w:t xml:space="preserve">el riesgo es bajo en tipo 1 y moderado en tipo 2</w:t>
      </w:r>
      <w:r>
        <w:t xml:space="preserve">. El tipo 1 (la mayoría de los usuarios) necesita insulina siempre: los GLP-1 no la sustituyen. En tipo 2, los GLP-1 retrasan o evitan pasar a la insulina intensiva y reducen la dosis. Eso puede achicar a largo plazo el grupo de candidatos (2,5 M de personas con varias inyecciones diarias en EE. UU.) y quizá explique en parte el menor uso. Sin embargo, la consejera delegada atribuye el recorte a la ejecución en los primeros 90 días, no a los GLP-1. En el ensayo de Omnipod 5 en tipo 2, casi la mitad tomaba GLP-1 e insulina a la vez, y Medtronic no ve impacto material [8][12].</w:t>
      </w:r>
      <w:r>
        <w:t xml:space="preserve"> </w:t>
      </w:r>
      <w:r>
        <w:rPr>
          <w:bCs/>
          <w:b/>
        </w:rPr>
        <w:t xml:space="preserve">Conclusión</w:t>
      </w:r>
      <w:r>
        <w:t xml:space="preserve">: los GLP-1 no rompen la tesis, pero el tipo 2, que es la segunda pata del crecimiento, es menos fiel y quizá menor de lo que se pensaba. Por eso la proyección prudente es la de la guía, no la mecánica.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Guía de EE. UU. recortada (de +20-22 % a +17-19 %). JPMorgan, Wells Fargo y Oppenheimer rebajan la recomendación, y Stifel, Truist y Raymond James bajan sus objetivos. Antes, Redburn la pasó a Venta (abr-2026). Solo sube el BPA ajustado.</w:t>
            </w:r>
          </w:p>
        </w:tc>
        <w:tc>
          <w:tcPr/>
          <w:p>
            <w:pPr>
              <w:pStyle w:val="Compact"/>
              <w:jc w:val="left"/>
            </w:pPr>
            <w:r>
              <w:t xml:space="preserve">[1][8][9]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138,13 frente a 188,0 USD, y la media sigue bajando (238,8 → 204,4 → 188,0 en 60 sesiones).</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−30,2 % desde el 13-abr, frente a +20,4 % del Nasdaq-100, +13,4 % del S&amp;P 500 y −2,3 % del ETF IHI.</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El mínimo fue el 30-sep (~10,7x EBITDA NTM, 130,47 USD). Hoy cotiza a 11,3x: solo un +6 %.</w:t>
            </w:r>
          </w:p>
        </w:tc>
        <w:tc>
          <w:tcPr/>
          <w:p>
            <w:pPr>
              <w:pStyle w:val="Compact"/>
              <w:jc w:val="left"/>
            </w:pPr>
            <w:r>
              <w:t xml:space="preserve">[6][13]</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El margen ajustado sube 140 pb, pero el GAAP baja 250 pb por las correcciones, y el FCF de 12 meses cae de 405 a 294 M.</w:t>
            </w:r>
          </w:p>
        </w:tc>
        <w:tc>
          <w:tcPr/>
          <w:p>
            <w:pPr>
              <w:pStyle w:val="Compact"/>
              <w:jc w:val="left"/>
            </w:pPr>
            <w:r>
              <w:t xml:space="preserve">[1][5]</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Capitulación: en StockTwits se lee frustración («de 352 a 130»), hay demanda colectiva y un 7,8 % del capital flotante está en corto. No hay euforia.</w:t>
            </w:r>
          </w:p>
        </w:tc>
        <w:tc>
          <w:tcPr/>
          <w:p>
            <w:pPr>
              <w:pStyle w:val="Compact"/>
              <w:jc w:val="left"/>
            </w:pPr>
            <w:r>
              <w:t xml:space="preserve">[14][15][16]</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rPr>
                <w:bCs/>
                <w:b/>
              </w:rPr>
              <w:t xml:space="preserve">Sí</w:t>
            </w:r>
          </w:p>
        </w:tc>
        <w:tc>
          <w:tcPr/>
          <w:p>
            <w:pPr>
              <w:pStyle w:val="Compact"/>
              <w:jc w:val="left"/>
            </w:pPr>
            <w:r>
              <w:t xml:space="preserve">Compras en mercado de la consejera delegada McEvoy (4.300 acciones a 239 USD en febrero y 1.100 a 147 USD el 24-ago, tras el recorte) y de los consejeros Stonesifer (2.790 a 143,5), Weatherman (3.450 a 144,2) y Minogue (2.030 a 246). Son importes modestos (~1,9 M USD).</w:t>
            </w:r>
          </w:p>
        </w:tc>
        <w:tc>
          <w:tcPr/>
          <w:p>
            <w:pPr>
              <w:pStyle w:val="Compact"/>
              <w:jc w:val="left"/>
            </w:pPr>
            <w:r>
              <w:t xml:space="preserve">[4]</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No</w:t>
            </w:r>
          </w:p>
        </w:tc>
        <w:tc>
          <w:tcPr/>
          <w:p>
            <w:pPr>
              <w:pStyle w:val="Compact"/>
              <w:jc w:val="left"/>
            </w:pPr>
            <w:r>
              <w:t xml:space="preserve">En 6 meses solo hay resultados: el 3T el 4-nov y la guía de 2027 en febrero. Omnipod 6 sale en 2027 sin fecha de autorización, y el tipo 2 de lazo cerrado en 2028. Los hitos con fecha más cercanos son de los rivales (bombas parche en 2027).</w:t>
            </w:r>
          </w:p>
        </w:tc>
        <w:tc>
          <w:tcPr/>
          <w:p>
            <w:pPr>
              <w:pStyle w:val="Compact"/>
              <w:jc w:val="left"/>
            </w:pPr>
            <w:r>
              <w:t xml:space="preserve">[10][11][17]</w:t>
            </w:r>
          </w:p>
        </w:tc>
      </w:tr>
    </w:tbl>
    <w:p>
      <w:pPr>
        <w:pStyle w:val="BodyText"/>
      </w:pPr>
      <w:r>
        <w:rPr>
          <w:bCs/>
          <w:b/>
        </w:rPr>
        <w:t xml:space="preserve">Euforia: no.</w:t>
      </w:r>
      <w:r>
        <w:t xml:space="preserve"> </w:t>
      </w:r>
      <w:r>
        <w:t xml:space="preserve">Cae un</w:t>
      </w:r>
      <w:r>
        <w:t xml:space="preserve"> </w:t>
      </w:r>
      <w:r>
        <w:rPr>
          <w:bCs/>
          <w:b/>
        </w:rPr>
        <w:t xml:space="preserve">56,1 %</w:t>
      </w:r>
      <w:r>
        <w:t xml:space="preserve"> </w:t>
      </w:r>
      <w:r>
        <w:t xml:space="preserve">en 12 meses. Lo opuesto a la euforia: el riesgo aquí es comprar en plena caída sin señal de suelo.</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w:t>
      </w:r>
      <w:r>
        <w:t xml:space="preserve"> </w:t>
      </w:r>
      <w:r>
        <w:rPr>
          <w:bCs/>
          <w:b/>
        </w:rPr>
        <w:t xml:space="preserve">71,1 %</w:t>
      </w:r>
      <w:r>
        <w:t xml:space="preserve"> </w:t>
      </w:r>
      <w:r>
        <w:t xml:space="preserve">GAAP en 12 meses (2.170 M sobre 3.054 M). El ajustado del 2T26 es del 72,9 %, sin los 21,9 M de garantías por las correcciones [1][5].</w:t>
      </w:r>
    </w:p>
    <w:p>
      <w:pPr>
        <w:numPr>
          <w:ilvl w:val="0"/>
          <w:numId w:val="1005"/>
        </w:numPr>
        <w:pStyle w:val="Compact"/>
      </w:pPr>
      <w:r>
        <w:rPr>
          <w:bCs/>
          <w:b/>
        </w:rPr>
        <w:t xml:space="preserve">FCF de 12 meses</w:t>
      </w:r>
      <w:r>
        <w:t xml:space="preserve">: 511,2 − 217,5 =</w:t>
      </w:r>
      <w:r>
        <w:t xml:space="preserve"> </w:t>
      </w:r>
      <w:r>
        <w:rPr>
          <w:bCs/>
          <w:b/>
        </w:rPr>
        <w:t xml:space="preserve">293,7 M USD (9,6 %)</w:t>
      </w:r>
      <w:r>
        <w:t xml:space="preserve">, frente a 404,9 M un año antes. Lo frenan la planta de Costa Rica (las inversiones pasan de 125 a 218 M), el circulante y los cargos de las correcciones. En 2025 fue de 377,7 M (13,9 %) [2][5].</w:t>
      </w:r>
    </w:p>
    <w:p>
      <w:pPr>
        <w:numPr>
          <w:ilvl w:val="0"/>
          <w:numId w:val="1005"/>
        </w:numPr>
        <w:pStyle w:val="Compact"/>
      </w:pPr>
      <w:r>
        <w:rPr>
          <w:bCs/>
          <w:b/>
        </w:rPr>
        <w:t xml:space="preserve">Regla del 40</w:t>
      </w:r>
      <w:r>
        <w:t xml:space="preserve">: 29,4 + 9,6 =</w:t>
      </w:r>
      <w:r>
        <w:t xml:space="preserve"> </w:t>
      </w:r>
      <w:r>
        <w:rPr>
          <w:bCs/>
          <w:b/>
        </w:rPr>
        <w:t xml:space="preserve">39,0</w:t>
      </w:r>
      <w:r>
        <w:t xml:space="preserve"> </w:t>
      </w:r>
      <w:r>
        <w:t xml:space="preserve">(~43 con el FCF de 2025).</w:t>
      </w:r>
    </w:p>
    <w:p>
      <w:pPr>
        <w:numPr>
          <w:ilvl w:val="0"/>
          <w:numId w:val="1005"/>
        </w:numPr>
        <w:pStyle w:val="Compact"/>
      </w:pPr>
      <w:r>
        <w:rPr>
          <w:bCs/>
          <w:b/>
        </w:rPr>
        <w:t xml:space="preserve">Apalancamiento operativo</w:t>
      </w:r>
      <w:r>
        <w:t xml:space="preserve">: el margen operativo ajustado pasa del 14,9 % en 2024 al 17,6 % en 2025, y la guía 2026 suma ~100 pb. El EBITDA ajustado de 12 meses es de 735,5 M (24,1 %). El BPA ajustado del 2T26 sube un 42 % [1][2].</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w:t>
      </w:r>
      <w:r>
        <w:t xml:space="preserve">:</w:t>
      </w:r>
      <w:r>
        <w:t xml:space="preserve"> </w:t>
      </w:r>
      <w:r>
        <w:rPr>
          <w:bCs/>
          <w:b/>
        </w:rPr>
        <w:t xml:space="preserve">534,9 M USD</w:t>
      </w:r>
      <w:r>
        <w:t xml:space="preserve"> </w:t>
      </w:r>
      <w:r>
        <w:t xml:space="preserve">a 30-jun-2026 (716 M en diciembre; la diferencia es la recompra de 300 M).</w:t>
      </w:r>
      <w:r>
        <w:t xml:space="preserve"> </w:t>
      </w:r>
      <w:r>
        <w:rPr>
          <w:bCs/>
          <w:b/>
        </w:rPr>
        <w:t xml:space="preserve">Deuda nominal: 960,7 M</w:t>
      </w:r>
      <w:r>
        <w:t xml:space="preserve">: préstamo B de 475 M (2031, refinanciado el 21-sep con 25 pb menos y cubierto al 3,47 % fijo con permutas), bonos del 6,5 % por 450 M (2033) y ~36 M de financiación de equipos. La línea de crédito sube a 750 M y está sin disponer.</w:t>
      </w:r>
      <w:r>
        <w:t xml:space="preserve"> </w:t>
      </w:r>
      <w:r>
        <w:rPr>
          <w:bCs/>
          <w:b/>
        </w:rPr>
        <w:t xml:space="preserve">Deuda neta ≈ 426 M (~0,6x EBITDA)</w:t>
      </w:r>
      <w:r>
        <w:t xml:space="preserve"> </w:t>
      </w:r>
      <w:r>
        <w:t xml:space="preserve">[1][3].</w:t>
      </w:r>
    </w:p>
    <w:p>
      <w:pPr>
        <w:numPr>
          <w:ilvl w:val="0"/>
          <w:numId w:val="1006"/>
        </w:numPr>
        <w:pStyle w:val="Compact"/>
      </w:pPr>
      <w:r>
        <w:rPr>
          <w:bCs/>
          <w:b/>
        </w:rPr>
        <w:t xml:space="preserve">Pista</w:t>
      </w:r>
      <w:r>
        <w:t xml:space="preserve">: FCF positivo, sin quema y sin vencimientos relevantes hasta 2031.</w:t>
      </w:r>
    </w:p>
    <w:p>
      <w:pPr>
        <w:numPr>
          <w:ilvl w:val="0"/>
          <w:numId w:val="1006"/>
        </w:numPr>
        <w:pStyle w:val="Compact"/>
      </w:pPr>
      <w:r>
        <w:rPr>
          <w:bCs/>
          <w:b/>
        </w:rPr>
        <w:t xml:space="preserve">Dilución</w:t>
      </w:r>
      <w:r>
        <w:t xml:space="preserve">:</w:t>
      </w:r>
      <w:r>
        <w:t xml:space="preserve"> </w:t>
      </w:r>
      <w:r>
        <w:rPr>
          <w:bCs/>
          <w:b/>
        </w:rPr>
        <w:t xml:space="preserve">−1,8 %</w:t>
      </w:r>
      <w:r>
        <w:t xml:space="preserve"> </w:t>
      </w:r>
      <w:r>
        <w:t xml:space="preserve">en 12 meses (de 70,65 a 69,40 M de acciones diluidas) por la recompra acelerada de 300 M a ~240 USD. Fue una mala elección de momento, porque hoy cotiza a 138. Quedan ~475 M de programa hasta diciembre de 2027 [3].</w:t>
      </w:r>
    </w:p>
    <w:p>
      <w:pPr>
        <w:numPr>
          <w:ilvl w:val="0"/>
          <w:numId w:val="1006"/>
        </w:numPr>
        <w:pStyle w:val="Compact"/>
      </w:pPr>
      <w:r>
        <w:rPr>
          <w:bCs/>
          <w:b/>
        </w:rPr>
        <w:t xml:space="preserve">Pagos en acciones</w:t>
      </w:r>
      <w:r>
        <w:t xml:space="preserve">:</w:t>
      </w:r>
      <w:r>
        <w:t xml:space="preserve"> </w:t>
      </w:r>
      <w:r>
        <w:rPr>
          <w:bCs/>
          <w:b/>
        </w:rPr>
        <w:t xml:space="preserve">2,6 %</w:t>
      </w:r>
      <w:r>
        <w:t xml:space="preserve"> </w:t>
      </w:r>
      <w:r>
        <w:t xml:space="preserve">de las ventas (78 M), muy por debajo del límite rojo del 15 %.</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ha batido su guía trimestral de ventas en los últimos 8 trimestres y lleva 10 años seguidos creciendo ≥ 20 % a tipo constante [2]. Resta el recorte de la guía de EE. UU. en agosto: la propia consejera delegada reconoció que «deberíamos haber entendido antes» lo del tipo 2. Restan también las dos correcciones de pods de 2026 y que el exceso sobre la guía se ha ido reduciendo (+4,7 → +1,7 puntos) [1][3][8].</w:t>
      </w:r>
    </w:p>
    <w:p>
      <w:pPr>
        <w:numPr>
          <w:ilvl w:val="0"/>
          <w:numId w:val="1007"/>
        </w:numPr>
        <w:pStyle w:val="Compact"/>
      </w:pPr>
      <w:r>
        <w:rPr>
          <w:bCs/>
          <w:b/>
        </w:rPr>
        <w:t xml:space="preserve">Dirección (3/5)</w:t>
      </w:r>
      <w:r>
        <w:t xml:space="preserve">: Ashley McEvoy (antes en J&amp;J MedTech) es consejera delegada desde abril de 2025, con una directora financiera nueva, Flavia Pease. Compra acciones con su dinero, una buena señal. En contra: la recompra a ~240 USD, la salida en septiembre de dos consejeros veteranos (el expresidente Scannell por salud y Minogue para presentarse a gobernador; entra Mazelsky, exCEO de IDEXX) y la</w:t>
      </w:r>
      <w:r>
        <w:t xml:space="preserve"> </w:t>
      </w:r>
      <w:r>
        <w:rPr>
          <w:bCs/>
          <w:b/>
        </w:rPr>
        <w:t xml:space="preserve">demanda colectiva</w:t>
      </w:r>
      <w:r>
        <w:t xml:space="preserve"> </w:t>
      </w:r>
      <w:r>
        <w:t xml:space="preserve">por las correcciones (periodo de clase de feb-2025 a may-2026; son solo alegaciones, sin resolución) [3][4][15].</w:t>
      </w:r>
    </w:p>
    <w:bookmarkEnd w:id="27"/>
    <w:bookmarkStart w:id="28" w:name="valoración"/>
    <w:p>
      <w:pPr>
        <w:pStyle w:val="Heading2"/>
      </w:pPr>
      <w:r>
        <w:t xml:space="preserve">9. Valoración</w:t>
      </w:r>
    </w:p>
    <w:p>
      <w:pPr>
        <w:pStyle w:val="FirstParagraph"/>
      </w:pPr>
      <w:r>
        <w:rPr>
          <w:bCs/>
          <w:b/>
        </w:rPr>
        <w:t xml:space="preserve">Ejercicio objetivo: 2028</w:t>
      </w:r>
      <w:r>
        <w:t xml:space="preserve"> </w:t>
      </w:r>
      <w:r>
        <w:t xml:space="preserve">(ventas de los 12 meses siguientes dentro de un año).</w:t>
      </w:r>
      <w:r>
        <w:t xml:space="preserve"> </w:t>
      </w:r>
      <w:r>
        <w:rPr>
          <w:bCs/>
          <w:b/>
        </w:rPr>
        <w:t xml:space="preserve">Métrica: EV/EBITDA ajustado NTM</w:t>
      </w:r>
      <w:r>
        <w:t xml:space="preserve">, como en Dexcom. El código lo traduce a ventas con el margen EBITDA implícito de hoy (~25 %), así que</w:t>
      </w:r>
      <w:r>
        <w:t xml:space="preserve"> </w:t>
      </w:r>
      <w:r>
        <w:rPr>
          <w:bCs/>
          <w:b/>
        </w:rPr>
        <w:t xml:space="preserve">no premia</w:t>
      </w:r>
      <w:r>
        <w:t xml:space="preserve"> </w:t>
      </w:r>
      <w:r>
        <w:t xml:space="preserve">los ~100 pb de mejora anual que promete la empresa.</w:t>
      </w:r>
    </w:p>
    <w:p>
      <w:pPr>
        <w:numPr>
          <w:ilvl w:val="0"/>
          <w:numId w:val="1008"/>
        </w:numPr>
        <w:pStyle w:val="Compact"/>
      </w:pPr>
      <w:r>
        <w:rPr>
          <w:bCs/>
          <w:b/>
        </w:rPr>
        <w:t xml:space="preserve">EV de hoy</w:t>
      </w:r>
      <w:r>
        <w:t xml:space="preserve">: 138,13 × 69,4 + 960,7 − 534,9 =</w:t>
      </w:r>
      <w:r>
        <w:t xml:space="preserve"> </w:t>
      </w:r>
      <w:r>
        <w:rPr>
          <w:bCs/>
          <w:b/>
        </w:rPr>
        <w:t xml:space="preserve">10.012 M USD</w:t>
      </w:r>
      <w:r>
        <w:t xml:space="preserve">.</w:t>
      </w:r>
    </w:p>
    <w:p>
      <w:pPr>
        <w:numPr>
          <w:ilvl w:val="0"/>
          <w:numId w:val="1008"/>
        </w:numPr>
        <w:pStyle w:val="Compact"/>
      </w:pPr>
      <w:r>
        <w:rPr>
          <w:bCs/>
          <w:b/>
        </w:rPr>
        <w:t xml:space="preserve">Ventas NTM</w:t>
      </w:r>
      <w:r>
        <w:t xml:space="preserve">: ~3.540 M (+16 %: 3T26 y 4T26 según la guía, y el primer semestre de 2027 al +15 %).</w:t>
      </w:r>
      <w:r>
        <w:t xml:space="preserve"> </w:t>
      </w:r>
      <w:r>
        <w:rPr>
          <w:bCs/>
          <w:b/>
        </w:rPr>
        <w:t xml:space="preserve">EV/ventas NTM 2,8x; EV/beneficio bruto NTM 4,0x; EV/EBITDA ajustado NTM 11,3x</w:t>
      </w:r>
      <w:r>
        <w:t xml:space="preserve"> </w:t>
      </w:r>
      <w:r>
        <w:t xml:space="preserve">(sobre ~885 M) [13].</w:t>
      </w:r>
    </w:p>
    <w:p>
      <w:pPr>
        <w:numPr>
          <w:ilvl w:val="0"/>
          <w:numId w:val="1008"/>
        </w:numPr>
        <w:pStyle w:val="Compact"/>
      </w:pPr>
      <w:r>
        <w:rPr>
          <w:bCs/>
          <w:b/>
        </w:rPr>
        <w:t xml:space="preserve">Mediana de 3 años: ~26,8x</w:t>
      </w:r>
      <w:r>
        <w:t xml:space="preserve"> </w:t>
      </w:r>
      <w:r>
        <w:t xml:space="preserve">(cálculo propio al cierre de cada trimestre: 25-34x en 2023-2025, 17x en marzo y 12x en junio de 2026).</w:t>
      </w:r>
      <w:r>
        <w:t xml:space="preserve"> </w:t>
      </w:r>
      <w:r>
        <w:rPr>
          <w:bCs/>
          <w:b/>
        </w:rPr>
        <w:t xml:space="preserve">Mínimo: ~10,7x</w:t>
      </w:r>
      <w:r>
        <w:t xml:space="preserve"> </w:t>
      </w:r>
      <w:r>
        <w:t xml:space="preserve">(30-sep-2026).</w:t>
      </w:r>
      <w:r>
        <w:t xml:space="preserve"> </w:t>
      </w:r>
      <w:r>
        <w:rPr>
          <w:bCs/>
          <w:b/>
        </w:rPr>
        <w:t xml:space="preserve">Comparables: ~16x</w:t>
      </w:r>
      <w:r>
        <w:t xml:space="preserve"> </w:t>
      </w:r>
      <w:r>
        <w:t xml:space="preserve">(Dexcom 17,8x, MiniMed 17,6x a 12 m, Abbott ~16x; Tandem sin EBITDA) [13][14].</w:t>
      </w:r>
    </w:p>
    <w:p>
      <w:pPr>
        <w:numPr>
          <w:ilvl w:val="0"/>
          <w:numId w:val="1008"/>
        </w:numPr>
        <w:pStyle w:val="Compact"/>
      </w:pPr>
      <w:r>
        <w:rPr>
          <w:bCs/>
          <w:b/>
        </w:rPr>
        <w:t xml:space="preserve">Desaceleración</w:t>
      </w:r>
      <w:r>
        <w:t xml:space="preserve">: +16 % en los 12 meses siguientes y ~+14 % en 2028 (estimación propia con la guía; StockAnalysis da un consenso de ~16 % anual a 3 años). El factor es 0,94.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3.866</w:t>
            </w:r>
          </w:p>
        </w:tc>
        <w:tc>
          <w:tcPr/>
          <w:p>
            <w:pPr>
              <w:pStyle w:val="Compact"/>
              <w:jc w:val="left"/>
            </w:pPr>
            <w:r>
              <w:t xml:space="preserve">6,3x</w:t>
            </w:r>
          </w:p>
        </w:tc>
        <w:tc>
          <w:tcPr/>
          <w:p>
            <w:pPr>
              <w:pStyle w:val="Compact"/>
              <w:jc w:val="left"/>
            </w:pPr>
            <w:r>
              <w:t xml:space="preserve">83,7</w:t>
            </w:r>
          </w:p>
        </w:tc>
        <w:tc>
          <w:tcPr/>
          <w:p>
            <w:pPr>
              <w:pStyle w:val="Compact"/>
              <w:jc w:val="left"/>
            </w:pPr>
            <w:r>
              <w:t xml:space="preserve">−39,4 %</w:t>
            </w:r>
          </w:p>
        </w:tc>
      </w:tr>
      <w:tr>
        <w:tc>
          <w:tcPr/>
          <w:p>
            <w:pPr>
              <w:pStyle w:val="Compact"/>
              <w:jc w:val="left"/>
            </w:pPr>
            <w:r>
              <w:t xml:space="preserve">Base (50 %)</w:t>
            </w:r>
          </w:p>
        </w:tc>
        <w:tc>
          <w:tcPr/>
          <w:p>
            <w:pPr>
              <w:pStyle w:val="Compact"/>
              <w:jc w:val="left"/>
            </w:pPr>
            <w:r>
              <w:t xml:space="preserve">4.773</w:t>
            </w:r>
          </w:p>
        </w:tc>
        <w:tc>
          <w:tcPr/>
          <w:p>
            <w:pPr>
              <w:pStyle w:val="Compact"/>
              <w:jc w:val="left"/>
            </w:pPr>
            <w:r>
              <w:t xml:space="preserve">10,6x</w:t>
            </w:r>
          </w:p>
        </w:tc>
        <w:tc>
          <w:tcPr/>
          <w:p>
            <w:pPr>
              <w:pStyle w:val="Compact"/>
              <w:jc w:val="left"/>
            </w:pPr>
            <w:r>
              <w:t xml:space="preserve">178,9</w:t>
            </w:r>
          </w:p>
        </w:tc>
        <w:tc>
          <w:tcPr/>
          <w:p>
            <w:pPr>
              <w:pStyle w:val="Compact"/>
              <w:jc w:val="left"/>
            </w:pPr>
            <w:r>
              <w:t xml:space="preserve">+29,5 %</w:t>
            </w:r>
          </w:p>
        </w:tc>
      </w:tr>
      <w:tr>
        <w:tc>
          <w:tcPr/>
          <w:p>
            <w:pPr>
              <w:pStyle w:val="Compact"/>
              <w:jc w:val="left"/>
            </w:pPr>
            <w:r>
              <w:t xml:space="preserve">Alcista (25 %)</w:t>
            </w:r>
          </w:p>
        </w:tc>
        <w:tc>
          <w:tcPr/>
          <w:p>
            <w:pPr>
              <w:pStyle w:val="Compact"/>
              <w:jc w:val="left"/>
            </w:pPr>
            <w:r>
              <w:t xml:space="preserve">5.163</w:t>
            </w:r>
          </w:p>
        </w:tc>
        <w:tc>
          <w:tcPr/>
          <w:p>
            <w:pPr>
              <w:pStyle w:val="Compact"/>
              <w:jc w:val="left"/>
            </w:pPr>
            <w:r>
              <w:t xml:space="preserve">16,9x</w:t>
            </w:r>
          </w:p>
        </w:tc>
        <w:tc>
          <w:tcPr/>
          <w:p>
            <w:pPr>
              <w:pStyle w:val="Compact"/>
              <w:jc w:val="left"/>
            </w:pPr>
            <w:r>
              <w:t xml:space="preserve">314,2</w:t>
            </w:r>
          </w:p>
        </w:tc>
        <w:tc>
          <w:tcPr/>
          <w:p>
            <w:pPr>
              <w:pStyle w:val="Compact"/>
              <w:jc w:val="left"/>
            </w:pPr>
            <w:r>
              <w:t xml:space="preserve">+127,5 %</w:t>
            </w:r>
          </w:p>
        </w:tc>
      </w:tr>
      <w:tr>
        <w:tc>
          <w:tcPr/>
          <w:p>
            <w:pPr>
              <w:pStyle w:val="Compact"/>
              <w:jc w:val="left"/>
            </w:pPr>
            <w:r>
              <w:rPr>
                <w:bCs/>
                <w:b/>
              </w:rPr>
              <w:t xml:space="preserve">Ponderado (regla v7)</w:t>
            </w:r>
          </w:p>
        </w:tc>
        <w:tc>
          <w:tcPr/>
          <w:p>
            <w:pPr>
              <w:pStyle w:val="Compact"/>
            </w:pPr>
          </w:p>
        </w:tc>
        <w:tc>
          <w:tcPr/>
          <w:p>
            <w:pPr>
              <w:pStyle w:val="Compact"/>
            </w:pPr>
          </w:p>
        </w:tc>
        <w:tc>
          <w:tcPr/>
          <w:p>
            <w:pPr>
              <w:pStyle w:val="Compact"/>
              <w:jc w:val="left"/>
            </w:pPr>
            <w:r>
              <w:rPr>
                <w:bCs/>
                <w:b/>
              </w:rPr>
              <w:t xml:space="preserve">188,9</w:t>
            </w:r>
          </w:p>
        </w:tc>
        <w:tc>
          <w:tcPr/>
          <w:p>
            <w:pPr>
              <w:pStyle w:val="Compact"/>
              <w:jc w:val="left"/>
            </w:pPr>
            <w:r>
              <w:rPr>
                <w:bCs/>
                <w:b/>
              </w:rPr>
              <w:t xml:space="preserve">+36,8 %</w:t>
            </w:r>
          </w:p>
        </w:tc>
      </w:tr>
    </w:tbl>
    <w:p>
      <w:pPr>
        <w:pStyle w:val="BodyText"/>
      </w:pPr>
      <w:r>
        <w:t xml:space="preserve">Acciones dentro de 12 meses: 68,2 M (−1,8 %); caja de 535 M y deuda de 961 M.</w:t>
      </w:r>
      <w:r>
        <w:t xml:space="preserve"> </w:t>
      </w:r>
      <w:r>
        <w:rPr>
          <w:bCs/>
          <w:b/>
        </w:rPr>
        <w:t xml:space="preserve">Asimetría: 3,2.</w:t>
      </w:r>
      <w:r>
        <w:t xml:space="preserve"> </w:t>
      </w:r>
      <w:r>
        <w:rPr>
          <w:bCs/>
          <w:b/>
        </w:rPr>
        <w:t xml:space="preserve">Precio máximo de compra (regla): 178,9 USD</w:t>
      </w:r>
      <w:r>
        <w:t xml:space="preserve">, el del base +0 %. El tope de 35x beneficio bruto queda muy lejos. Sirve solo si la puntuación llega a 60.</w:t>
      </w:r>
    </w:p>
    <w:p>
      <w:pPr>
        <w:pStyle w:val="BodyText"/>
      </w:pPr>
      <w:r>
        <w:rPr>
          <w:bCs/>
          <w:b/>
        </w:rPr>
        <w:t xml:space="preserve">Contraste con la guía de la empresa (calculado a mano, sin tocar el código): se parte del menor entre el crecimiento mecánico (+27,1 %) y el de la guía más su exceso medio (16,8 + 3,3 = +20,1 %).</w:t>
      </w:r>
      <w:r>
        <w:t xml:space="preserve"> </w:t>
      </w:r>
      <w:r>
        <w:t xml:space="preserve">Gana la guía. Base +20,1 % y +17,1 %, bajista la mitad y alcista ×1,2. Los múltiplos, el margen implícito (25 %), las acciones y la caja son los mismos: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(+10 % y +8,5 %)</w:t>
            </w:r>
          </w:p>
        </w:tc>
        <w:tc>
          <w:tcPr/>
          <w:p>
            <w:pPr>
              <w:pStyle w:val="Compact"/>
              <w:jc w:val="left"/>
            </w:pPr>
            <w:r>
              <w:t xml:space="preserve">3.647</w:t>
            </w:r>
          </w:p>
        </w:tc>
        <w:tc>
          <w:tcPr/>
          <w:p>
            <w:pPr>
              <w:pStyle w:val="Compact"/>
              <w:jc w:val="left"/>
            </w:pPr>
            <w:r>
              <w:t xml:space="preserve">6,3x</w:t>
            </w:r>
          </w:p>
        </w:tc>
        <w:tc>
          <w:tcPr/>
          <w:p>
            <w:pPr>
              <w:pStyle w:val="Compact"/>
              <w:jc w:val="left"/>
            </w:pPr>
            <w:r>
              <w:t xml:space="preserve">78,1</w:t>
            </w:r>
          </w:p>
        </w:tc>
        <w:tc>
          <w:tcPr/>
          <w:p>
            <w:pPr>
              <w:pStyle w:val="Compact"/>
              <w:jc w:val="left"/>
            </w:pPr>
            <w:r>
              <w:t xml:space="preserve">−43,5 %</w:t>
            </w:r>
          </w:p>
        </w:tc>
      </w:tr>
      <w:tr>
        <w:tc>
          <w:tcPr/>
          <w:p>
            <w:pPr>
              <w:pStyle w:val="Compact"/>
              <w:jc w:val="left"/>
            </w:pPr>
            <w:r>
              <w:t xml:space="preserve">Base (+20,1 % y +17,1 %)</w:t>
            </w:r>
          </w:p>
        </w:tc>
        <w:tc>
          <w:tcPr/>
          <w:p>
            <w:pPr>
              <w:pStyle w:val="Compact"/>
              <w:jc w:val="left"/>
            </w:pPr>
            <w:r>
              <w:t xml:space="preserve">4.294</w:t>
            </w:r>
          </w:p>
        </w:tc>
        <w:tc>
          <w:tcPr/>
          <w:p>
            <w:pPr>
              <w:pStyle w:val="Compact"/>
              <w:jc w:val="left"/>
            </w:pPr>
            <w:r>
              <w:t xml:space="preserve">10,6x</w:t>
            </w:r>
          </w:p>
        </w:tc>
        <w:tc>
          <w:tcPr/>
          <w:p>
            <w:pPr>
              <w:pStyle w:val="Compact"/>
              <w:jc w:val="left"/>
            </w:pPr>
            <w:r>
              <w:t xml:space="preserve">160,8</w:t>
            </w:r>
          </w:p>
        </w:tc>
        <w:tc>
          <w:tcPr/>
          <w:p>
            <w:pPr>
              <w:pStyle w:val="Compact"/>
              <w:jc w:val="left"/>
            </w:pPr>
            <w:r>
              <w:t xml:space="preserve">+16,4 %</w:t>
            </w:r>
          </w:p>
        </w:tc>
      </w:tr>
      <w:tr>
        <w:tc>
          <w:tcPr/>
          <w:p>
            <w:pPr>
              <w:pStyle w:val="Compact"/>
              <w:jc w:val="left"/>
            </w:pPr>
            <w:r>
              <w:t xml:space="preserve">Alcista (+24,1 % y +20,5 %)</w:t>
            </w:r>
          </w:p>
        </w:tc>
        <w:tc>
          <w:tcPr/>
          <w:p>
            <w:pPr>
              <w:pStyle w:val="Compact"/>
              <w:jc w:val="left"/>
            </w:pPr>
            <w:r>
              <w:t xml:space="preserve">4.566</w:t>
            </w:r>
          </w:p>
        </w:tc>
        <w:tc>
          <w:tcPr/>
          <w:p>
            <w:pPr>
              <w:pStyle w:val="Compact"/>
              <w:jc w:val="left"/>
            </w:pPr>
            <w:r>
              <w:t xml:space="preserve">16,9x</w:t>
            </w:r>
          </w:p>
        </w:tc>
        <w:tc>
          <w:tcPr/>
          <w:p>
            <w:pPr>
              <w:pStyle w:val="Compact"/>
              <w:jc w:val="left"/>
            </w:pPr>
            <w:r>
              <w:t xml:space="preserve">277,0</w:t>
            </w:r>
          </w:p>
        </w:tc>
        <w:tc>
          <w:tcPr/>
          <w:p>
            <w:pPr>
              <w:pStyle w:val="Compact"/>
              <w:jc w:val="left"/>
            </w:pPr>
            <w:r>
              <w:t xml:space="preserve">+100,5 %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169,2</w:t>
            </w:r>
          </w:p>
        </w:tc>
        <w:tc>
          <w:tcPr/>
          <w:p>
            <w:pPr>
              <w:pStyle w:val="Compact"/>
              <w:jc w:val="left"/>
            </w:pPr>
            <w:r>
              <w:rPr>
                <w:bCs/>
                <w:b/>
              </w:rPr>
              <w:t xml:space="preserve">+22,5 %</w:t>
            </w:r>
          </w:p>
        </w:tc>
      </w:tr>
    </w:tbl>
    <w:p>
      <w:pPr>
        <w:numPr>
          <w:ilvl w:val="0"/>
          <w:numId w:val="1009"/>
        </w:numPr>
        <w:pStyle w:val="Compact"/>
      </w:pPr>
      <w:r>
        <w:rPr>
          <w:bCs/>
          <w:b/>
        </w:rPr>
        <w:t xml:space="preserve">Con la guía la señal no cambia: Mantener.</w:t>
      </w:r>
      <w:r>
        <w:t xml:space="preserve"> </w:t>
      </w:r>
      <w:r>
        <w:t xml:space="preserve">La valoración cumple (base ≥ 0, ponderada ≥ 5 %, bajista mejor que −50 %, 4,0x beneficio bruto ≤ 35), pero la puntuación no llega (54,5 &lt; 60). Si llegara a 60,</w:t>
      </w:r>
      <w:r>
        <w:t xml:space="preserve"> </w:t>
      </w:r>
      <w:r>
        <w:rPr>
          <w:bCs/>
          <w:b/>
        </w:rPr>
        <w:t xml:space="preserve">compraría hasta ~160,8 USD</w:t>
      </w:r>
      <w:r>
        <w:t xml:space="preserve"> </w:t>
      </w:r>
      <w:r>
        <w:t xml:space="preserve">(base 0 %).</w:t>
      </w:r>
    </w:p>
    <w:p>
      <w:pPr>
        <w:numPr>
          <w:ilvl w:val="0"/>
          <w:numId w:val="1009"/>
        </w:numPr>
        <w:pStyle w:val="Compact"/>
      </w:pPr>
      <w:r>
        <w:rPr>
          <w:bCs/>
          <w:b/>
        </w:rPr>
        <w:t xml:space="preserve">Prudencia</w:t>
      </w:r>
      <w:r>
        <w:t xml:space="preserve">: con la guía pura, sin exceso (+16,8 % y +14,3 %), el base sería de ~152 USD (+10 %). Con probabilidades de 35/50/15 (un solo producto y una ejecución reciente dudosa), la ponderada con la guía baja a</w:t>
      </w:r>
      <w:r>
        <w:t xml:space="preserve"> </w:t>
      </w:r>
      <w:r>
        <w:rPr>
          <w:bCs/>
          <w:b/>
        </w:rPr>
        <w:t xml:space="preserve">+8,1 %</w:t>
      </w:r>
      <w:r>
        <w:t xml:space="preserve"> </w:t>
      </w:r>
      <w:r>
        <w:t xml:space="preserve">(compra hasta ~142 USD), y la mecánica a +20,1 %. En todos los casos el valor esperado es positivo. El problema no es el precio, sino la falta de giro.</w:t>
      </w:r>
    </w:p>
    <w:p>
      <w:pPr>
        <w:numPr>
          <w:ilvl w:val="0"/>
          <w:numId w:val="1009"/>
        </w:numPr>
        <w:pStyle w:val="Compact"/>
      </w:pPr>
      <w:r>
        <w:rPr>
          <w:bCs/>
          <w:b/>
        </w:rPr>
        <w:t xml:space="preserve">Consenso</w:t>
      </w:r>
      <w:r>
        <w:t xml:space="preserve">: objetivo medio de</w:t>
      </w:r>
      <w:r>
        <w:t xml:space="preserve"> </w:t>
      </w:r>
      <w:r>
        <w:rPr>
          <w:bCs/>
          <w:b/>
        </w:rPr>
        <w:t xml:space="preserve">167,17 USD</w:t>
      </w:r>
      <w:r>
        <w:t xml:space="preserve"> </w:t>
      </w:r>
      <w:r>
        <w:t xml:space="preserve">(StockAnalysis, 26 analistas, Compra) y ~172 en Investing (22 analistas). Va de 144 (Wells Fargo) a 275 [9][14]. Consenso de ventas de 2028: no encontrado (null).</w:t>
      </w:r>
    </w:p>
    <w:p>
      <w:pPr>
        <w:numPr>
          <w:ilvl w:val="0"/>
          <w:numId w:val="1009"/>
        </w:numPr>
        <w:pStyle w:val="Compact"/>
      </w:pPr>
      <w:r>
        <w:rPr>
          <w:bCs/>
          <w:b/>
        </w:rPr>
        <w:t xml:space="preserve">DCF inverso</w:t>
      </w:r>
      <w:r>
        <w:t xml:space="preserve">: con WACC del 10 %, margen FCF del 15 % y crecimiento terminal del 3 %, el precio descuenta</w:t>
      </w:r>
      <w:r>
        <w:t xml:space="preserve"> </w:t>
      </w:r>
      <w:r>
        <w:rPr>
          <w:bCs/>
          <w:b/>
        </w:rPr>
        <w:t xml:space="preserve">~8,3 % anual durante 10 años</w:t>
      </w:r>
      <w:r>
        <w:t xml:space="preserve"> </w:t>
      </w:r>
      <w:r>
        <w:t xml:space="preserve">(11 % con un margen del 12 %, 6 % con uno del 18 %).</w:t>
      </w:r>
      <w:r>
        <w:t xml:space="preserve"> </w:t>
      </w:r>
      <w:r>
        <w:rPr>
          <w:bCs/>
          <w:b/>
        </w:rPr>
        <w:t xml:space="preserve">El precio descuenta menos de la mitad del crecimiento guiado</w:t>
      </w:r>
      <w:r>
        <w:t xml:space="preserve">, con un margen de seguridad amplio si EE. UU. no se hunde.</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relato pasó de «calidad y crecimiento» (noviembre de 2025, máximo de 346 USD) a «fábrica con fallos y tipo 2 que no se queda». La secuencia fue la corrección de marzo (−6,9 %), la rebaja de Redburn por «foso competitivo que se erosiona» (abril), la segunda corrección de mayo (−5,1 %) y el recorte de agosto (−20 %, tres rebajas de recomendación). Aun así, el consenso sigue en Compra (26 analistas) con un objetivo del +21 %: el lado vendedor no ha capitulado del todo [8][9][14][15].</w:t>
      </w:r>
    </w:p>
    <w:p>
      <w:pPr>
        <w:numPr>
          <w:ilvl w:val="0"/>
          <w:numId w:val="1010"/>
        </w:numPr>
        <w:pStyle w:val="Compact"/>
      </w:pPr>
      <w:r>
        <w:rPr>
          <w:bCs/>
          <w:b/>
        </w:rPr>
        <w:t xml:space="preserve">StockTwits</w:t>
      </w:r>
      <w:r>
        <w:t xml:space="preserve"> </w:t>
      </w:r>
      <w:r>
        <w:t xml:space="preserve">(14-oct, 30 mensajes): frustración y capitulación («de 352 a 130, 66 % de caída», «sangra despacio, la dirección mirando»), algún comprador de primera posición y debates sobre si las bombas parche rivales infringen patentes (Modular Medical, MODD). Solo hay 2 mensajes etiquetados como alcistas [16].</w:t>
      </w:r>
    </w:p>
    <w:p>
      <w:pPr>
        <w:numPr>
          <w:ilvl w:val="0"/>
          <w:numId w:val="1010"/>
        </w:numPr>
        <w:pStyle w:val="Compact"/>
      </w:pPr>
      <w:r>
        <w:rPr>
          <w:bCs/>
          <w:b/>
        </w:rPr>
        <w:t xml:space="preserve">Reddit</w:t>
      </w:r>
      <w:r>
        <w:t xml:space="preserve">: la API respondió «Blocked».</w:t>
      </w:r>
      <w:r>
        <w:t xml:space="preserve"> </w:t>
      </w:r>
      <w:r>
        <w:rPr>
          <w:bCs/>
          <w:b/>
        </w:rPr>
        <w:t xml:space="preserve">Laguna.</w:t>
      </w:r>
    </w:p>
    <w:p>
      <w:pPr>
        <w:numPr>
          <w:ilvl w:val="0"/>
          <w:numId w:val="1010"/>
        </w:numPr>
        <w:pStyle w:val="Compact"/>
      </w:pPr>
      <w:r>
        <w:rPr>
          <w:bCs/>
          <w:b/>
        </w:rPr>
        <w:t xml:space="preserve">Seeking Alpha</w:t>
      </w:r>
      <w:r>
        <w:t xml:space="preserve">: de pago, no leído.</w:t>
      </w:r>
      <w:r>
        <w:t xml:space="preserve"> </w:t>
      </w:r>
      <w:r>
        <w:rPr>
          <w:bCs/>
          <w:b/>
        </w:rPr>
        <w:t xml:space="preserve">Laguna.</w:t>
      </w:r>
    </w:p>
    <w:p>
      <w:pPr>
        <w:numPr>
          <w:ilvl w:val="0"/>
          <w:numId w:val="1010"/>
        </w:numPr>
        <w:pStyle w:val="Compact"/>
      </w:pPr>
      <w:r>
        <w:rPr>
          <w:bCs/>
          <w:b/>
        </w:rPr>
        <w:t xml:space="preserve">En castellano</w:t>
      </w:r>
      <w:r>
        <w:t xml:space="preserve">: Investing.com ES publica un DAFO, «la acción enfrenta señales mixtas», que resume las correcciones, la guía (3.250-3.300 M) y las rebajas [18]. Sin hilos activos encontrados en Rankia.</w:t>
      </w:r>
    </w:p>
    <w:p>
      <w:pPr>
        <w:numPr>
          <w:ilvl w:val="0"/>
          <w:numId w:val="1010"/>
        </w:numPr>
        <w:pStyle w:val="Compact"/>
      </w:pPr>
      <w:r>
        <w:rPr>
          <w:bCs/>
          <w:b/>
        </w:rPr>
        <w:t xml:space="preserve">Contraste con los datos</w:t>
      </w:r>
      <w:r>
        <w:t xml:space="preserve">: el pesimismo es mayor que el deterioro. Las ventas siguen creciendo ~20 %, el BPA ajustado más del 30 % y el FCF es positivo, pero el precio ya descuenta un ~8 %. Es el tipo de divergencia que a veces precede a un giro, pero el método solo compra cuando aparecen las primeras señales, no antes.</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Competencia en bombas parche desde 2027</w:t>
      </w:r>
      <w:r>
        <w:t xml:space="preserve">: Beta Bionics Mint (2T27, farmacia), Tandem sin tubo y MiniMed. Es el riesgo principal: puede quitar altas nuevas en EE. UU. y presionar el precio en farmacia [8][10].</w:t>
      </w:r>
    </w:p>
    <w:p>
      <w:pPr>
        <w:numPr>
          <w:ilvl w:val="0"/>
          <w:numId w:val="1011"/>
        </w:numPr>
        <w:pStyle w:val="Compact"/>
      </w:pPr>
      <w:r>
        <w:rPr>
          <w:bCs/>
          <w:b/>
        </w:rPr>
        <w:t xml:space="preserve">Tipo 2 menos fiel de lo previsto</w:t>
      </w:r>
      <w:r>
        <w:t xml:space="preserve">, y quizá menor a largo plazo por los GLP-1. Es la segunda pata del crecimiento y la que falló en 2026 [8][12].</w:t>
      </w:r>
    </w:p>
    <w:p>
      <w:pPr>
        <w:numPr>
          <w:ilvl w:val="0"/>
          <w:numId w:val="1011"/>
        </w:numPr>
        <w:pStyle w:val="Compact"/>
      </w:pPr>
      <w:r>
        <w:rPr>
          <w:bCs/>
          <w:b/>
        </w:rPr>
        <w:t xml:space="preserve">Calidad y fabricación</w:t>
      </w:r>
      <w:r>
        <w:t xml:space="preserve">: dos correcciones en 2026 (60-70 M de coste, inspecciones manuales hasta 2027). Una tercera, o una carta de advertencia de la FDA, dañaría la marca y el margen [3].</w:t>
      </w:r>
    </w:p>
    <w:p>
      <w:pPr>
        <w:numPr>
          <w:ilvl w:val="0"/>
          <w:numId w:val="1011"/>
        </w:numPr>
        <w:pStyle w:val="Compact"/>
      </w:pPr>
      <w:r>
        <w:rPr>
          <w:bCs/>
          <w:b/>
        </w:rPr>
        <w:t xml:space="preserve">Litigios</w:t>
      </w:r>
      <w:r>
        <w:t xml:space="preserve">: demanda colectiva de accionistas por las correcciones (sin resolver) [15].</w:t>
      </w:r>
    </w:p>
    <w:p>
      <w:pPr>
        <w:numPr>
          <w:ilvl w:val="0"/>
          <w:numId w:val="1011"/>
        </w:numPr>
        <w:pStyle w:val="Compact"/>
      </w:pPr>
      <w:r>
        <w:rPr>
          <w:bCs/>
          <w:b/>
        </w:rPr>
        <w:t xml:space="preserve">Concentración</w:t>
      </w:r>
      <w:r>
        <w:t xml:space="preserve">: todo es Omnipod. Dependiendo de los sensores de Dexcom y Abbott, que son a la vez socios y, en el caso de Medtronic/MiniMed, rivales.</w:t>
      </w:r>
    </w:p>
    <w:p>
      <w:pPr>
        <w:numPr>
          <w:ilvl w:val="0"/>
          <w:numId w:val="1011"/>
        </w:numPr>
        <w:pStyle w:val="Compact"/>
      </w:pPr>
      <w:r>
        <w:rPr>
          <w:bCs/>
          <w:b/>
        </w:rPr>
        <w:t xml:space="preserve">Reembolso</w:t>
      </w:r>
      <w:r>
        <w:t xml:space="preserve">: los CMS meten las bombas y los MCG en la subasta competitiva desde 2028. De memoria, Omnipod va sobre todo por farmacia (parte D), lo que limitaría la exposición; sin verificar [19].</w:t>
      </w:r>
    </w:p>
    <w:p>
      <w:pPr>
        <w:pStyle w:val="FirstParagraph"/>
      </w:pPr>
      <w:r>
        <w:rPr>
          <w:bCs/>
          <w:b/>
        </w:rPr>
        <w:t xml:space="preserve">Señales de venta concretas</w:t>
      </w:r>
      <w:r>
        <w:t xml:space="preserve"> </w:t>
      </w:r>
      <w:r>
        <w:t xml:space="preserve">(para quien la tenga; aquí no se tiene):</w:t>
      </w:r>
      <w:r>
        <w:t xml:space="preserve"> </w:t>
      </w:r>
      <w:r>
        <w:t xml:space="preserve">- Crecimiento de EE. UU. por debajo del 10 % dos trimestres seguidos.</w:t>
      </w:r>
      <w:r>
        <w:t xml:space="preserve"> </w:t>
      </w:r>
      <w:r>
        <w:t xml:space="preserve">- 3T26 (4-nov) por debajo de la guía de +17,5-19,5 %, o un nuevo recorte de la guía anual.</w:t>
      </w:r>
      <w:r>
        <w:t xml:space="preserve"> </w:t>
      </w:r>
      <w:r>
        <w:t xml:space="preserve">- Una tercera corrección de pods, una carta de advertencia o una retirada de clase I.</w:t>
      </w:r>
      <w:r>
        <w:t xml:space="preserve"> </w:t>
      </w:r>
      <w:r>
        <w:t xml:space="preserve">- Pérdida de altas nuevas frente a las bombas parche rivales en 2027 (cuota de altas fuera del n.º 1).</w:t>
      </w:r>
    </w:p>
    <w:p>
      <w:pPr>
        <w:pStyle w:val="BodyText"/>
      </w:pPr>
      <w:r>
        <w:t xml:space="preserve">Hoy no hay tesis rota: el negocio crece al ~20 %, pero frena.</w:t>
      </w:r>
    </w:p>
    <w:bookmarkEnd w:id="30"/>
    <w:bookmarkStart w:id="31" w:name="catalizadores-con-fecha"/>
    <w:p>
      <w:pPr>
        <w:pStyle w:val="Heading2"/>
      </w:pPr>
      <w:r>
        <w:t xml:space="preserve">12. Catalizadores con fecha</w:t>
      </w:r>
    </w:p>
    <w:p>
      <w:pPr>
        <w:numPr>
          <w:ilvl w:val="0"/>
          <w:numId w:val="1012"/>
        </w:numPr>
        <w:pStyle w:val="Compact"/>
      </w:pPr>
      <w:r>
        <w:rPr>
          <w:bCs/>
          <w:b/>
        </w:rPr>
        <w:t xml:space="preserve">4-nov-2026</w:t>
      </w:r>
      <w:r>
        <w:t xml:space="preserve">: resultados del 3T26 antes de la apertura (guía de +17,5-19,5 %; EE. UU. +14-16 %) [17].</w:t>
      </w:r>
    </w:p>
    <w:p>
      <w:pPr>
        <w:numPr>
          <w:ilvl w:val="0"/>
          <w:numId w:val="1012"/>
        </w:numPr>
        <w:pStyle w:val="Compact"/>
      </w:pPr>
      <w:r>
        <w:rPr>
          <w:bCs/>
          <w:b/>
        </w:rPr>
        <w:t xml:space="preserve">Otoño de 2026</w:t>
      </w:r>
      <w:r>
        <w:t xml:space="preserve">: MiniMed presenta su bomba parche a la FDA (riesgo) [10]. Quizá también la presentación de Omnipod 6 a la FDA [11].</w:t>
      </w:r>
    </w:p>
    <w:p>
      <w:pPr>
        <w:numPr>
          <w:ilvl w:val="0"/>
          <w:numId w:val="1012"/>
        </w:numPr>
        <w:pStyle w:val="Compact"/>
      </w:pPr>
      <w:r>
        <w:rPr>
          <w:bCs/>
          <w:b/>
        </w:rPr>
        <w:t xml:space="preserve">Febrero de 2027</w:t>
      </w:r>
      <w:r>
        <w:t xml:space="preserve">: resultados del 4T y</w:t>
      </w:r>
      <w:r>
        <w:t xml:space="preserve"> </w:t>
      </w:r>
      <w:r>
        <w:rPr>
          <w:bCs/>
          <w:b/>
        </w:rPr>
        <w:t xml:space="preserve">guía de 2027</w:t>
      </w:r>
      <w:r>
        <w:t xml:space="preserve">, la prueba de si EE. UU. se queda en el ~15 % o cae al ~10 % que teme JPMorgan [8].</w:t>
      </w:r>
    </w:p>
    <w:p>
      <w:pPr>
        <w:numPr>
          <w:ilvl w:val="0"/>
          <w:numId w:val="1012"/>
        </w:numPr>
        <w:pStyle w:val="Compact"/>
      </w:pPr>
      <w:r>
        <w:rPr>
          <w:bCs/>
          <w:b/>
        </w:rPr>
        <w:t xml:space="preserve">2T27</w:t>
      </w:r>
      <w:r>
        <w:t xml:space="preserve">: lanzamiento de Beta Bionics Mint (riesgo).</w:t>
      </w:r>
      <w:r>
        <w:t xml:space="preserve"> </w:t>
      </w:r>
      <w:r>
        <w:rPr>
          <w:bCs/>
          <w:b/>
        </w:rPr>
        <w:t xml:space="preserve">2027</w:t>
      </w:r>
      <w:r>
        <w:t xml:space="preserve">: lanzamiento de Omnipod 6 y presentación del lazo cerrado de tipo 2 [10][11].</w:t>
      </w:r>
    </w:p>
    <w:p>
      <w:pPr>
        <w:numPr>
          <w:ilvl w:val="0"/>
          <w:numId w:val="1012"/>
        </w:numPr>
        <w:pStyle w:val="Compact"/>
      </w:pPr>
      <w:r>
        <w:rPr>
          <w:bCs/>
          <w:b/>
        </w:rPr>
        <w:t xml:space="preserve">2028</w:t>
      </w:r>
      <w:r>
        <w:t xml:space="preserve">: subasta competitiva de los CMS y lanzamiento del lazo cerrado de tipo 2.</w:t>
      </w:r>
    </w:p>
    <w:bookmarkEnd w:id="31"/>
    <w:bookmarkStart w:id="32" w:name="encaje-en-cartera"/>
    <w:p>
      <w:pPr>
        <w:pStyle w:val="Heading2"/>
      </w:pPr>
      <w:r>
        <w:t xml:space="preserve">13. Encaje en cartera</w:t>
      </w:r>
    </w:p>
    <w:p>
      <w:pPr>
        <w:numPr>
          <w:ilvl w:val="0"/>
          <w:numId w:val="1013"/>
        </w:numPr>
        <w:pStyle w:val="Compact"/>
      </w:pPr>
      <w:r>
        <w:rPr>
          <w:bCs/>
          <w:b/>
        </w:rPr>
        <w:t xml:space="preserve">Frente a la cartera value</w:t>
      </w:r>
      <w:r>
        <w:t xml:space="preserve"> </w:t>
      </w:r>
      <w:r>
        <w:t xml:space="preserve">(</w:t>
      </w:r>
      <w:r>
        <w:rPr>
          <w:rStyle w:val="VerbatimChar"/>
        </w:rPr>
        <w:t xml:space="preserve">MEMORIA.md</w:t>
      </w:r>
      <w:r>
        <w:t xml:space="preserve">,</w:t>
      </w:r>
      <w:r>
        <w:t xml:space="preserve"> </w:t>
      </w:r>
      <w:r>
        <w:rPr>
          <w:rStyle w:val="VerbatimChar"/>
        </w:rPr>
        <w:t xml:space="preserve">informes/cartera-2026-10-14-15h.md</w:t>
      </w:r>
      <w:r>
        <w:t xml:space="preserve">): no se solapa con nada. Para la regla value tampoco entraría (PER adelantado de ~20x, pero no se ha medido ROIC − WACC). Aquí se mira solo como growth.</w:t>
      </w:r>
    </w:p>
    <w:p>
      <w:pPr>
        <w:numPr>
          <w:ilvl w:val="0"/>
          <w:numId w:val="1013"/>
        </w:numPr>
        <w:pStyle w:val="Compact"/>
      </w:pPr>
      <w:r>
        <w:rPr>
          <w:bCs/>
          <w:b/>
        </w:rPr>
        <w:t xml:space="preserve">Frente al bolsillo growth</w:t>
      </w:r>
      <w:r>
        <w:t xml:space="preserve"> </w:t>
      </w:r>
      <w:r>
        <w:t xml:space="preserve">(</w:t>
      </w:r>
      <w:r>
        <w:rPr>
          <w:rStyle w:val="VerbatimChar"/>
        </w:rPr>
        <w:t xml:space="preserve">informes-growth/cartera-growth.md</w:t>
      </w:r>
      <w:r>
        <w:t xml:space="preserve">): está</w:t>
      </w:r>
      <w:r>
        <w:t xml:space="preserve"> </w:t>
      </w:r>
      <w:r>
        <w:rPr>
          <w:bCs/>
          <w:b/>
        </w:rPr>
        <w:t xml:space="preserve">lleno (~20 %)</w:t>
      </w:r>
      <w:r>
        <w:t xml:space="preserve"> </w:t>
      </w:r>
      <w:r>
        <w:t xml:space="preserve">con Nu, argenx, Shopify, Axon y Snowflake, y</w:t>
      </w:r>
      <w:r>
        <w:t xml:space="preserve"> </w:t>
      </w:r>
      <w:r>
        <w:rPr>
          <w:bCs/>
          <w:b/>
        </w:rPr>
        <w:t xml:space="preserve">no hay liquidez</w:t>
      </w:r>
      <w:r>
        <w:t xml:space="preserve">. Las suplentes, por orden, son Dexcom, Datadog, Samsara, Zscaler y Wise.</w:t>
      </w:r>
      <w:r>
        <w:t xml:space="preserve"> </w:t>
      </w:r>
      <w:r>
        <w:rPr>
          <w:bCs/>
          <w:b/>
        </w:rPr>
        <w:t xml:space="preserve">Insulet sale Mantener, así que no sustituye a ninguna growth ni entra en la lista de suplentes.</w:t>
      </w:r>
    </w:p>
    <w:p>
      <w:pPr>
        <w:pStyle w:val="FirstParagraph"/>
      </w:pPr>
      <w:r>
        <w:rPr>
          <w:bCs/>
          <w:b/>
        </w:rPr>
        <w:t xml:space="preserve">Comparación directa con Dexcom (primera suplente):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Insulet</w:t>
            </w:r>
          </w:p>
        </w:tc>
        <w:tc>
          <w:tcPr/>
          <w:p>
            <w:pPr>
              <w:pStyle w:val="Compact"/>
              <w:jc w:val="left"/>
            </w:pPr>
            <w:r>
              <w:t xml:space="preserve">Dexcom</w:t>
            </w:r>
          </w:p>
        </w:tc>
      </w:tr>
      <w:tr>
        <w:tc>
          <w:tcPr/>
          <w:p>
            <w:pPr>
              <w:pStyle w:val="Compact"/>
              <w:jc w:val="left"/>
            </w:pPr>
            <w:r>
              <w:t xml:space="preserve">Señal (v7)</w:t>
            </w:r>
          </w:p>
        </w:tc>
        <w:tc>
          <w:tcPr/>
          <w:p>
            <w:pPr>
              <w:pStyle w:val="Compact"/>
              <w:jc w:val="left"/>
            </w:pPr>
            <w:r>
              <w:rPr>
                <w:bCs/>
                <w:b/>
              </w:rPr>
              <w:t xml:space="preserve">Mantener</w:t>
            </w:r>
            <w:r>
              <w:t xml:space="preserve"> </w:t>
            </w:r>
            <w:r>
              <w:t xml:space="preserve">(puntuación &lt; 60)</w:t>
            </w:r>
          </w:p>
        </w:tc>
        <w:tc>
          <w:tcPr/>
          <w:p>
            <w:pPr>
              <w:pStyle w:val="Compact"/>
              <w:jc w:val="left"/>
            </w:pPr>
            <w:r>
              <w:rPr>
                <w:bCs/>
                <w:b/>
              </w:rPr>
              <w:t xml:space="preserve">Comprar (baja)</w:t>
            </w:r>
          </w:p>
        </w:tc>
      </w:tr>
      <w:tr>
        <w:tc>
          <w:tcPr/>
          <w:p>
            <w:pPr>
              <w:pStyle w:val="Compact"/>
              <w:jc w:val="left"/>
            </w:pPr>
            <w:r>
              <w:t xml:space="preserve">Puntuación</w:t>
            </w:r>
          </w:p>
        </w:tc>
        <w:tc>
          <w:tcPr/>
          <w:p>
            <w:pPr>
              <w:pStyle w:val="Compact"/>
              <w:jc w:val="left"/>
            </w:pPr>
            <w:r>
              <w:t xml:space="preserve">54,5</w:t>
            </w:r>
          </w:p>
        </w:tc>
        <w:tc>
          <w:tcPr/>
          <w:p>
            <w:pPr>
              <w:pStyle w:val="Compact"/>
              <w:jc w:val="left"/>
            </w:pPr>
            <w:r>
              <w:t xml:space="preserve">68,2</w:t>
            </w:r>
          </w:p>
        </w:tc>
      </w:tr>
      <w:tr>
        <w:tc>
          <w:tcPr/>
          <w:p>
            <w:pPr>
              <w:pStyle w:val="Compact"/>
              <w:jc w:val="left"/>
            </w:pPr>
            <w:r>
              <w:t xml:space="preserve">Señales de tendencia</w:t>
            </w:r>
          </w:p>
        </w:tc>
        <w:tc>
          <w:tcPr/>
          <w:p>
            <w:pPr>
              <w:pStyle w:val="Compact"/>
              <w:jc w:val="left"/>
            </w:pPr>
            <w:r>
              <w:t xml:space="preserve">1/8</w:t>
            </w:r>
          </w:p>
        </w:tc>
        <w:tc>
          <w:tcPr/>
          <w:p>
            <w:pPr>
              <w:pStyle w:val="Compact"/>
              <w:jc w:val="left"/>
            </w:pPr>
            <w:r>
              <w:t xml:space="preserve">7/8</w:t>
            </w:r>
          </w:p>
        </w:tc>
      </w:tr>
      <w:tr>
        <w:tc>
          <w:tcPr/>
          <w:p>
            <w:pPr>
              <w:pStyle w:val="Compact"/>
              <w:jc w:val="left"/>
            </w:pPr>
            <w:r>
              <w:t xml:space="preserve">Crecimiento de 12 meses / guía</w:t>
            </w:r>
          </w:p>
        </w:tc>
        <w:tc>
          <w:tcPr/>
          <w:p>
            <w:pPr>
              <w:pStyle w:val="Compact"/>
              <w:jc w:val="left"/>
            </w:pPr>
            <w:r>
              <w:t xml:space="preserve">+29,4 % / ~+17 % en el 2S26</w:t>
            </w:r>
          </w:p>
        </w:tc>
        <w:tc>
          <w:tcPr/>
          <w:p>
            <w:pPr>
              <w:pStyle w:val="Compact"/>
              <w:jc w:val="left"/>
            </w:pPr>
            <w:r>
              <w:t xml:space="preserve">+15,5 % / ~+10 %</w:t>
            </w:r>
          </w:p>
        </w:tc>
      </w:tr>
      <w:tr>
        <w:tc>
          <w:tcPr/>
          <w:p>
            <w:pPr>
              <w:pStyle w:val="Compact"/>
              <w:jc w:val="left"/>
            </w:pPr>
            <w:r>
              <w:t xml:space="preserve">Ponderada: regla / con la guía</w:t>
            </w:r>
          </w:p>
        </w:tc>
        <w:tc>
          <w:tcPr/>
          <w:p>
            <w:pPr>
              <w:pStyle w:val="Compact"/>
              <w:jc w:val="left"/>
            </w:pPr>
            <w:r>
              <w:t xml:space="preserve">+36,8 % / +22,5 %</w:t>
            </w:r>
          </w:p>
        </w:tc>
        <w:tc>
          <w:tcPr/>
          <w:p>
            <w:pPr>
              <w:pStyle w:val="Compact"/>
              <w:jc w:val="left"/>
            </w:pPr>
            <w:r>
              <w:t xml:space="preserve">+16,7 % / +12,0 %</w:t>
            </w:r>
          </w:p>
        </w:tc>
      </w:tr>
      <w:tr>
        <w:tc>
          <w:tcPr/>
          <w:p>
            <w:pPr>
              <w:pStyle w:val="Compact"/>
              <w:jc w:val="left"/>
            </w:pPr>
            <w:r>
              <w:t xml:space="preserve">Base con la guía</w:t>
            </w:r>
          </w:p>
        </w:tc>
        <w:tc>
          <w:tcPr/>
          <w:p>
            <w:pPr>
              <w:pStyle w:val="Compact"/>
              <w:jc w:val="left"/>
            </w:pPr>
            <w:r>
              <w:t xml:space="preserve">+16,4 %</w:t>
            </w:r>
          </w:p>
        </w:tc>
        <w:tc>
          <w:tcPr/>
          <w:p>
            <w:pPr>
              <w:pStyle w:val="Compact"/>
              <w:jc w:val="left"/>
            </w:pPr>
            <w:r>
              <w:t xml:space="preserve">+15,0 %</w:t>
            </w:r>
          </w:p>
        </w:tc>
      </w:tr>
      <w:tr>
        <w:tc>
          <w:tcPr/>
          <w:p>
            <w:pPr>
              <w:pStyle w:val="Compact"/>
              <w:jc w:val="left"/>
            </w:pPr>
            <w:r>
              <w:t xml:space="preserve">Bajista (regla / con la guía)</w:t>
            </w:r>
          </w:p>
        </w:tc>
        <w:tc>
          <w:tcPr/>
          <w:p>
            <w:pPr>
              <w:pStyle w:val="Compact"/>
              <w:jc w:val="left"/>
            </w:pPr>
            <w:r>
              <w:t xml:space="preserve">−39,4 % / −43,5 %</w:t>
            </w:r>
          </w:p>
        </w:tc>
        <w:tc>
          <w:tcPr/>
          <w:p>
            <w:pPr>
              <w:pStyle w:val="Compact"/>
              <w:jc w:val="left"/>
            </w:pPr>
            <w:r>
              <w:t xml:space="preserve">−34,8 % / −36,1 %</w:t>
            </w:r>
          </w:p>
        </w:tc>
      </w:tr>
      <w:tr>
        <w:tc>
          <w:tcPr/>
          <w:p>
            <w:pPr>
              <w:pStyle w:val="Compact"/>
              <w:jc w:val="left"/>
            </w:pPr>
            <w:r>
              <w:t xml:space="preserve">EV/EBITDA NTM (y mediana de 3 años)</w:t>
            </w:r>
          </w:p>
        </w:tc>
        <w:tc>
          <w:tcPr/>
          <w:p>
            <w:pPr>
              <w:pStyle w:val="Compact"/>
              <w:jc w:val="left"/>
            </w:pPr>
            <w:r>
              <w:t xml:space="preserve">11,3x (26,8x)</w:t>
            </w:r>
          </w:p>
        </w:tc>
        <w:tc>
          <w:tcPr/>
          <w:p>
            <w:pPr>
              <w:pStyle w:val="Compact"/>
              <w:jc w:val="left"/>
            </w:pPr>
            <w:r>
              <w:t xml:space="preserve">17,8x (21,6x)</w:t>
            </w:r>
          </w:p>
        </w:tc>
      </w:tr>
      <w:tr>
        <w:tc>
          <w:tcPr/>
          <w:p>
            <w:pPr>
              <w:pStyle w:val="Compact"/>
              <w:jc w:val="left"/>
            </w:pPr>
            <w:r>
              <w:t xml:space="preserve">EV/beneficio bruto NTM</w:t>
            </w:r>
          </w:p>
        </w:tc>
        <w:tc>
          <w:tcPr/>
          <w:p>
            <w:pPr>
              <w:pStyle w:val="Compact"/>
              <w:jc w:val="left"/>
            </w:pPr>
            <w:r>
              <w:t xml:space="preserve">4,0x</w:t>
            </w:r>
          </w:p>
        </w:tc>
        <w:tc>
          <w:tcPr/>
          <w:p>
            <w:pPr>
              <w:pStyle w:val="Compact"/>
              <w:jc w:val="left"/>
            </w:pPr>
            <w:r>
              <w:t xml:space="preserve">9,3x</w:t>
            </w:r>
          </w:p>
        </w:tc>
      </w:tr>
      <w:tr>
        <w:tc>
          <w:tcPr/>
          <w:p>
            <w:pPr>
              <w:pStyle w:val="Compact"/>
              <w:jc w:val="left"/>
            </w:pPr>
            <w:r>
              <w:t xml:space="preserve">Subida a 12 meses</w:t>
            </w:r>
          </w:p>
        </w:tc>
        <w:tc>
          <w:tcPr/>
          <w:p>
            <w:pPr>
              <w:pStyle w:val="Compact"/>
              <w:jc w:val="left"/>
            </w:pPr>
            <w:r>
              <w:t xml:space="preserve">−56 %</w:t>
            </w:r>
          </w:p>
        </w:tc>
        <w:tc>
          <w:tcPr/>
          <w:p>
            <w:pPr>
              <w:pStyle w:val="Compact"/>
              <w:jc w:val="left"/>
            </w:pPr>
            <w:r>
              <w:t xml:space="preserve">+31 %</w:t>
            </w:r>
          </w:p>
        </w:tc>
      </w:tr>
      <w:tr>
        <w:tc>
          <w:tcPr/>
          <w:p>
            <w:pPr>
              <w:pStyle w:val="Compact"/>
              <w:jc w:val="left"/>
            </w:pPr>
            <w:r>
              <w:t xml:space="preserve">Riesgo principal</w:t>
            </w:r>
          </w:p>
        </w:tc>
        <w:tc>
          <w:tcPr/>
          <w:p>
            <w:pPr>
              <w:pStyle w:val="Compact"/>
              <w:jc w:val="left"/>
            </w:pPr>
            <w:r>
              <w:t xml:space="preserve">Bombas parche rivales en 2027 y tipo 2</w:t>
            </w:r>
          </w:p>
        </w:tc>
        <w:tc>
          <w:tcPr/>
          <w:p>
            <w:pPr>
              <w:pStyle w:val="Compact"/>
              <w:jc w:val="left"/>
            </w:pPr>
            <w:r>
              <w:t xml:space="preserve">Subasta de Medicare y Abbott</w:t>
            </w:r>
          </w:p>
        </w:tc>
      </w:tr>
    </w:tbl>
    <w:p>
      <w:pPr>
        <w:numPr>
          <w:ilvl w:val="0"/>
          <w:numId w:val="1014"/>
        </w:numPr>
        <w:pStyle w:val="Compact"/>
      </w:pPr>
      <w:r>
        <w:rPr>
          <w:bCs/>
          <w:b/>
        </w:rPr>
        <w:t xml:space="preserve">Lectura</w:t>
      </w:r>
      <w:r>
        <w:t xml:space="preserve">: Insulet es</w:t>
      </w:r>
      <w:r>
        <w:t xml:space="preserve"> </w:t>
      </w:r>
      <w:r>
        <w:rPr>
          <w:bCs/>
          <w:b/>
        </w:rPr>
        <w:t xml:space="preserve">más barata y crece más</w:t>
      </w:r>
      <w:r>
        <w:t xml:space="preserve">, con el doble de rentabilidad esperada. Dexcom tiene</w:t>
      </w:r>
      <w:r>
        <w:t xml:space="preserve"> </w:t>
      </w:r>
      <w:r>
        <w:rPr>
          <w:bCs/>
          <w:b/>
        </w:rPr>
        <w:t xml:space="preserve">la tendencia a favor</w:t>
      </w:r>
      <w:r>
        <w:t xml:space="preserve">: márgenes subiendo, revisiones al alza y una recuperación del precio ya en marcha. Insulet está donde estaba Dexcom en noviembre de 2025, en plena caída, pero sin la inflexión de márgenes que tuvo Dexcom. El método, validado en el backtest, prefiere comprar el giro confirmado que el suelo adivinado.</w:t>
      </w:r>
      <w:r>
        <w:t xml:space="preserve"> </w:t>
      </w:r>
      <w:r>
        <w:rPr>
          <w:bCs/>
          <w:b/>
        </w:rPr>
        <w:t xml:space="preserve">Dexcom sigue como primera suplente.</w:t>
      </w:r>
    </w:p>
    <w:p>
      <w:pPr>
        <w:numPr>
          <w:ilvl w:val="0"/>
          <w:numId w:val="1014"/>
        </w:numPr>
        <w:pStyle w:val="Compact"/>
      </w:pPr>
      <w:r>
        <w:rPr>
          <w:bCs/>
          <w:b/>
        </w:rPr>
        <w:t xml:space="preserve">Solapamiento</w:t>
      </w:r>
      <w:r>
        <w:t xml:space="preserve">: las dos dependen de la diabetes y son socias (Omnipod 5 funciona con el G7). Tener las dos concentraría el riesgo de los GLP-1 y del reembolso. Si un día entra una, la otra sobra.</w:t>
      </w:r>
    </w:p>
    <w:p>
      <w:pPr>
        <w:numPr>
          <w:ilvl w:val="0"/>
          <w:numId w:val="1014"/>
        </w:numPr>
        <w:pStyle w:val="Compact"/>
      </w:pPr>
      <w:r>
        <w:rPr>
          <w:bCs/>
          <w:b/>
        </w:rPr>
        <w:t xml:space="preserve">Qué la haría Comprar</w:t>
      </w:r>
      <w:r>
        <w:t xml:space="preserve">: llegar a 60 puntos (le faltan 5,5), lo que exige 2-3 señales más. Por ejemplo, un 3T (4-nov) por encima de la guía con EE. UU. estable (revisiones), el precio por encima de una media de 200 sesiones que deje de caer, y el múltiplo un 20 % sobre el mínimo (≥ ~157 USD). Si eso pasa por debajo de ~160 USD (el límite con la guía),</w:t>
      </w:r>
      <w:r>
        <w:t xml:space="preserve"> </w:t>
      </w:r>
      <w:r>
        <w:rPr>
          <w:bCs/>
          <w:b/>
        </w:rPr>
        <w:t xml:space="preserve">entraría como segunda suplente, detrás de Dexcom y delante de Datadog</w:t>
      </w:r>
      <w:r>
        <w:t xml:space="preserve">, con 3,5 % y en dos tramos. Se recalcula con el precio del día, según la regla de</w:t>
      </w:r>
      <w:r>
        <w:t xml:space="preserve"> </w:t>
      </w:r>
      <w:r>
        <w:rPr>
          <w:rStyle w:val="VerbatimChar"/>
        </w:rPr>
        <w:t xml:space="preserve">MEMORIA.md</w:t>
      </w:r>
      <w:r>
        <w:t xml:space="preserve">. Hoy (14-oct, 135,68 USD a las 16:19 UTC) no hay orden que proponer.</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c>
          <w:tcPr/>
          <w:p>
            <w:pPr>
              <w:pStyle w:val="Compact"/>
              <w:jc w:val="left"/>
            </w:pPr>
            <w:r>
              <w:t xml:space="preserve">Ventas 12 m +29,4 % (3/5), CAGR 2 años 27,7 % (3/5), aceleración −8,5 pp (1/5)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15,3 % (2/5), tecnología 4/5, posición 4/5</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señales (compras de directivos), sin euforia</w:t>
            </w:r>
          </w:p>
        </w:tc>
      </w:tr>
      <w:tr>
        <w:tc>
          <w:tcPr/>
          <w:p>
            <w:pPr>
              <w:pStyle w:val="Compact"/>
              <w:jc w:val="left"/>
            </w:pPr>
            <w:r>
              <w:t xml:space="preserve">D. Economía unitaria</w:t>
            </w:r>
          </w:p>
        </w:tc>
        <w:tc>
          <w:tcPr/>
          <w:p>
            <w:pPr>
              <w:pStyle w:val="Compact"/>
              <w:jc w:val="left"/>
            </w:pPr>
            <w:r>
              <w:t xml:space="preserve">10,0</w:t>
            </w:r>
          </w:p>
        </w:tc>
        <w:tc>
          <w:tcPr/>
          <w:p>
            <w:pPr>
              <w:pStyle w:val="Compact"/>
              <w:jc w:val="left"/>
            </w:pPr>
            <w:r>
              <w:t xml:space="preserve">15</w:t>
            </w:r>
          </w:p>
        </w:tc>
        <w:tc>
          <w:tcPr/>
          <w:p>
            <w:pPr>
              <w:pStyle w:val="Compact"/>
              <w:jc w:val="left"/>
            </w:pPr>
            <w:r>
              <w:t xml:space="preserve">Margen bruto 71,1 % (4/5), regla del 40 = 39,0 (2/5), FCF positivo pero menor (4/5)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(5/5), dilución −1,8 % (5/5)</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4/5, dirección 3/5</w:t>
            </w:r>
          </w:p>
        </w:tc>
      </w:tr>
      <w:tr>
        <w:tc>
          <w:tcPr/>
          <w:p>
            <w:pPr>
              <w:pStyle w:val="Compact"/>
              <w:jc w:val="left"/>
            </w:pPr>
            <w:r>
              <w:rPr>
                <w:bCs/>
                <w:b/>
              </w:rPr>
              <w:t xml:space="preserve">Total</w:t>
            </w:r>
          </w:p>
        </w:tc>
        <w:tc>
          <w:tcPr/>
          <w:p>
            <w:pPr>
              <w:pStyle w:val="Compact"/>
              <w:jc w:val="left"/>
            </w:pPr>
            <w:r>
              <w:rPr>
                <w:bCs/>
                <w:b/>
              </w:rPr>
              <w:t xml:space="preserve">54,5</w:t>
            </w:r>
          </w:p>
        </w:tc>
        <w:tc>
          <w:tcPr/>
          <w:p>
            <w:pPr>
              <w:pStyle w:val="Compact"/>
              <w:jc w:val="left"/>
            </w:pPr>
            <w:r>
              <w:rPr>
                <w:bCs/>
                <w:b/>
              </w:rPr>
              <w:t xml:space="preserve">100</w:t>
            </w:r>
          </w:p>
        </w:tc>
        <w:tc>
          <w:tcPr/>
          <w:p>
            <w:pPr>
              <w:pStyle w:val="Compact"/>
              <w:jc w:val="left"/>
            </w:pPr>
            <w:r>
              <w:t xml:space="preserve">Mantener: no compra porque la puntuación es &lt; 60</w:t>
            </w:r>
          </w:p>
        </w:tc>
      </w:tr>
    </w:tbl>
    <w:p>
      <w:pPr>
        <w:pStyle w:val="BodyText"/>
      </w:pPr>
      <w:r>
        <w:rPr>
          <w:bCs/>
          <w:b/>
        </w:rPr>
        <w:t xml:space="preserve">Mejoras de método detectadas</w:t>
      </w:r>
      <w:r>
        <w:t xml:space="preserve"> </w:t>
      </w:r>
      <w:r>
        <w:t xml:space="preserve">(para la candidata v9, sin tocar el código):</w:t>
      </w:r>
      <w:r>
        <w:t xml:space="preserve"> </w:t>
      </w:r>
      <w:r>
        <w:t xml:space="preserve">1.</w:t>
      </w:r>
      <w:r>
        <w:t xml:space="preserve"> </w:t>
      </w:r>
      <w:r>
        <w:rPr>
          <w:rStyle w:val="VerbatimChar"/>
          <w:bCs/>
          <w:b/>
        </w:rPr>
        <w:t xml:space="preserve">guia_12m_pct</w:t>
      </w:r>
      <w:r>
        <w:rPr>
          <w:bCs/>
          <w:b/>
        </w:rPr>
        <w:t xml:space="preserve"> </w:t>
      </w:r>
      <w:r>
        <w:rPr>
          <w:bCs/>
          <w:b/>
        </w:rPr>
        <w:t xml:space="preserve">necesita una definición precisa.</w:t>
      </w:r>
      <w:r>
        <w:t xml:space="preserve"> </w:t>
      </w:r>
      <w:r>
        <w:t xml:space="preserve">El punto medio del ejercicio (+21 %) y lo que la guía implica para los 12 meses siguientes (+16,8 % en el segundo semestre, +15,7 % en el 4T) difieren 4 puntos cuando la empresa frena dentro del año. Propuesta: usar lo implícito para los meses que quedan del ejercicio y, para el resto, la tasa de salida del último trimestre guiado.</w:t>
      </w:r>
      <w:r>
        <w:t xml:space="preserve"> </w:t>
      </w:r>
      <w:r>
        <w:t xml:space="preserve">2.</w:t>
      </w:r>
      <w:r>
        <w:t xml:space="preserve"> </w:t>
      </w:r>
      <w:r>
        <w:rPr>
          <w:bCs/>
          <w:b/>
        </w:rPr>
        <w:t xml:space="preserve">El exceso sobre la guía debería mirar la tendencia, no solo la media</w:t>
      </w:r>
      <w:r>
        <w:t xml:space="preserve">: aquí baja de 4,7 a 1,7 puntos. Una media de 3,3 premia un patrón que se está agotando. Propuesta: usar el último exceso, o la media de los dos últimos trimestres, si es menor.</w:t>
      </w:r>
    </w:p>
    <w:bookmarkEnd w:id="33"/>
    <w:bookmarkStart w:id="34" w:name="fuentes"/>
    <w:p>
      <w:pPr>
        <w:pStyle w:val="Heading2"/>
      </w:pPr>
      <w:r>
        <w:t xml:space="preserve">Fuentes</w:t>
      </w:r>
    </w:p>
    <w:p>
      <w:pPr>
        <w:pStyle w:val="FirstParagraph"/>
      </w:pPr>
      <w:r>
        <w:t xml:space="preserve">[1] Insulet, resultados del 2T 2026 (5-ago-2026), 8-K ex. 99.1, SEC (leído directamente).</w:t>
      </w:r>
      <w:r>
        <w:t xml:space="preserve"> </w:t>
      </w:r>
      <w:r>
        <w:t xml:space="preserve">[2] Insulet, resultados del 1T 2026, del 4T y año 2025, del 3T 2025 y del 2T 2025, 8-K ex. 99.1, SEC.</w:t>
      </w:r>
      <w:r>
        <w:t xml:space="preserve"> </w:t>
      </w:r>
      <w:r>
        <w:t xml:space="preserve">[3] Insulet, 10-Q del 2T 2026, SEC; 8-K del 26-may (corrección de pods), 25-jun, 10-sep y 21-sep-2026 (refinanciación), SEC.</w:t>
      </w:r>
      <w:r>
        <w:t xml:space="preserve"> </w:t>
      </w:r>
      <w:r>
        <w:t xml:space="preserve">[4] SEC, Formularios 4 de feb-oct 2026, leídos directamente.</w:t>
      </w:r>
      <w:r>
        <w:t xml:space="preserve"> </w:t>
      </w:r>
      <w:r>
        <w:t xml:space="preserve">[5] SEC XBRL companyfacts (CIK 1145197): ventas, márgenes, flujo de caja, inversiones, pagos en acciones, recompras y acciones diluidas de 2023 a jun-2026.</w:t>
      </w:r>
      <w:r>
        <w:t xml:space="preserve"> </w:t>
      </w:r>
      <w:r>
        <w:t xml:space="preserve">[6] Yahoo Finance chart API (PODD, QQQ, SPY, IHI, DXCM, ABT, MDT, TNDM, MMED y BBNX): cierres, mínimos, máximos y medias de 200 sesiones calculadas.</w:t>
      </w:r>
      <w:r>
        <w:t xml:space="preserve"> </w:t>
      </w:r>
      <w:r>
        <w:t xml:space="preserve">[7] Nasdaq.com, histórico de PODD: cierre del 13-oct-2026 de 138,13 USD.</w:t>
      </w:r>
      <w:r>
        <w:t xml:space="preserve"> </w:t>
      </w:r>
      <w:r>
        <w:t xml:space="preserve">[8] Reuters vía WSAU (5-ago-2026): recorte de guía, tipo 2, comentarios de la consejera delegada y de JPMorgan; MarketBeat y Sentisense (rebajas de recomendación).</w:t>
      </w:r>
      <w:r>
        <w:t xml:space="preserve"> </w:t>
      </w:r>
      <w:r>
        <w:t xml:space="preserve">[9] Benzinga, Investing.com y StreetInsider (ago-2026): objetivos de Stifel, Citi y Wells Fargo; Redburn y BTIG.</w:t>
      </w:r>
      <w:r>
        <w:t xml:space="preserve"> </w:t>
      </w:r>
      <w:r>
        <w:t xml:space="preserve">[10] MedTech Dive (26-may-2026): Beta Bionics Mint, Tandem sin tubo y bomba parche de MiniMed.</w:t>
      </w:r>
      <w:r>
        <w:t xml:space="preserve"> </w:t>
      </w:r>
      <w:r>
        <w:t xml:space="preserve">[11] Drug Delivery Business (20-nov-2025): Investor Day (Omnipod 6, tipo 2 de lazo cerrado, oportunidad de 12.000 M).</w:t>
      </w:r>
      <w:r>
        <w:t xml:space="preserve"> </w:t>
      </w:r>
      <w:r>
        <w:t xml:space="preserve">[12] MedTech Dive / BioPharma Dive: GLP-1 y bombas de insulina.</w:t>
      </w:r>
      <w:r>
        <w:t xml:space="preserve"> </w:t>
      </w:r>
      <w:r>
        <w:t xml:space="preserve">[13] Cálculo propio: EV, ventas y EBITDA NTM, EV/EBITDA histórico al cierre de cada trimestre, DCF inverso.</w:t>
      </w:r>
      <w:r>
        <w:t xml:space="preserve"> </w:t>
      </w:r>
      <w:r>
        <w:t xml:space="preserve">[14] StockAnalysis (14-oct-2026): estadísticas de PODD, TNDM y MMED; consenso de analistas.</w:t>
      </w:r>
      <w:r>
        <w:t xml:space="preserve"> </w:t>
      </w:r>
      <w:r>
        <w:t xml:space="preserve">[15] Pomerantz, BFA, Kessler Topaz y Robbins LLP (ago-2026): demanda colectiva de accionistas.</w:t>
      </w:r>
      <w:r>
        <w:t xml:space="preserve"> </w:t>
      </w:r>
      <w:r>
        <w:t xml:space="preserve">[16] StockTwits, flujo de PODD (API pública, 14-oct-2026).</w:t>
      </w:r>
      <w:r>
        <w:t xml:space="preserve"> </w:t>
      </w:r>
      <w:r>
        <w:t xml:space="preserve">[17] Insulet, aviso de resultados del 3T26 (1-oct-2026).</w:t>
      </w:r>
      <w:r>
        <w:t xml:space="preserve"> </w:t>
      </w:r>
      <w:r>
        <w:t xml:space="preserve">[18] Investing.com ES, «Análisis SWOT de Insulet: la acción enfrenta señales mixtas».</w:t>
      </w:r>
      <w:r>
        <w:t xml:space="preserve"> </w:t>
      </w:r>
      <w:r>
        <w:t xml:space="preserve">[19] DLA Piper y HME News (nov-dic 2025): subasta competitiva de los CMS para bombas y MCG. DE MEMORIA (no verificado en esta sesión): cobertura de Omnipod sobre todo por farmacia (Medicare parte 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2026-10-14T16:29:07Z</dcterms:created>
  <dcterms:modified xsi:type="dcterms:W3CDTF">2026-10-14T16:29:07Z</dcterms:modified>
</cp:coreProperties>
</file>

<file path=docProps/custom.xml><?xml version="1.0" encoding="utf-8"?>
<Properties xmlns="http://schemas.openxmlformats.org/officeDocument/2006/custom-properties" xmlns:vt="http://schemas.openxmlformats.org/officeDocument/2006/docPropsVTypes"/>
</file>