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Swisscom AG</w:t>
      </w:r>
    </w:p>
    <w:p>
      <w:pPr>
        <w:spacing w:after="60"/>
        <w:rPr>
          <w:color w:val="52514E"/>
          <w:sz w:val="22"/>
          <w:szCs w:val="22"/>
        </w:rPr>
      </w:pPr>
      <w:r>
        <w:rPr>
          <w:color w:val="52514E"/>
          <w:sz w:val="22"/>
          <w:szCs w:val="22"/>
        </w:rPr>
        <w:t xml:space="preserve">SCMN · SIX Swiss Exchange · ISIN CH0008742519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672,00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611,60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-5,1 % (base +3,3 %)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682,32 CHF · mercado 863,33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34.810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Swisscom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SCMN / CH0008742519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SMIM (SMI hasta el 18-sep-2026); 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Servicios de telecomunicaciones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Ittigen (Berna)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https://www.swisscom.ch</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545,00 – 727,00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34.810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47.389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 M CHF/día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611,60 CHF</w:t>
      </w:r>
      <w:r>
        <w:t xml:space="preserve"> frente a 672,00 · Rentabilidad a 12 meses </w:t>
      </w:r>
      <w:r>
        <w:rPr>
          <w:b/>
          <w:bCs/>
        </w:rPr>
        <w:t xml:space="preserve">-5,1 % (base +3,3 %)</w:t>
      </w:r>
      <w:r>
        <w:t xml:space="preserve"> · Valor intrínseco 682,32 CHF · con la prima implícita del mercado: 863,33 (+28,5 %) · Alcista / bajista +21,0 % / -29,7 %</w:t>
      </w:r>
    </w:p>
    <w:p>
      <w:pPr>
        <w:spacing w:after="100"/>
      </w:pPr>
      <w:r>
        <w:rPr>
          <w:b/>
        </w:rPr>
        <w:t xml:space="preserve">La recomendación y por qué.</w:t>
      </w:r>
      <w:r>
        <w:t xml:space="preserve"> Mantener, con convicción baja; no es compra. El objetivo a 12 meses es de 611,60 CHF (nuestro BPA de 2028e × el PER de la regla común), un −5,1 % de rentabilidad ponderada con el dividendo y un +3,3 % en el caso base; el valor intrínseco (682,32 CHF) está apenas un 1,5 % sobre el precio de 672,00 CHF (cierre del 19-oct-2026; a las 10:49 de Zúrich del 20-oct seguía en 672). Tampoco pasa la calidad: el ROIC (6,0 %) supera al WACC (4,31 %) en solo 1,7 puntos, frente a los 5 que pide el método. La convicción es baja porque el valor depende casi solo de la tasa de descuento: con la prima implícita del mercado (WACC del 3,6 %) el valor sube a 863,33 CHF y la regla relativa diría Comprar, mientras que con medio punto más de WACC el DCF cae a 624,77. Subiría con dos semestres de ventas italianas estables y sinergias en plan; bajaría con una subida de los tipos suizos o un recorte de la guía.</w:t>
      </w:r>
    </w:p>
    <w:p>
      <w:pPr>
        <w:spacing w:after="100"/>
      </w:pPr>
      <w:r>
        <w:rPr>
          <w:b/>
        </w:rPr>
        <w:t xml:space="preserve">El negocio.</w:t>
      </w:r>
      <w:r>
        <w:t xml:space="preserve"> Primer operador de Suiza (51 % de los contratos móviles, 46 % de la banda ancha) y, desde 2025, con Fastweb + Vodafone, primero en móvil en Italia [1, 12]. Ventas de 15.048 M CHF y EBITDAaL de 4.984 M en 2025; Suiza gana el 43 % de margen e Italia el 23 % [1].</w:t>
      </w:r>
    </w:p>
    <w:p>
      <w:pPr>
        <w:spacing w:after="100"/>
      </w:pPr>
      <w:r>
        <w:rPr>
          <w:b/>
        </w:rPr>
        <w:t xml:space="preserve">Finanzas.</w:t>
      </w:r>
      <w:r>
        <w:t xml:space="preserve"> Ventas planas en Suiza desde hace años; la compra de Vodafone Italia (7.454 M CHF) subió las ventas un 37 % pero bajó el BPA de 33,03 CHF (2023) a 24,54 (2025) por la amortización de lo comprado, los intereses y la integración [1]. En el 1S26 el EBITDAaL sube un 3,4 % con las sinergias aunque las ventas bajen un 3,0 % [4]. Deuda financiera de 13.021 M (2,4 veces el EBITDA con arrendamientos, el tope que fija el Consejo Federal), con un coste medio del 1,85 % y rating A [1, 4]. El dividendo (26 CHF; 27 por 2026) se lleva casi todo el flujo libre.</w:t>
      </w:r>
    </w:p>
    <w:p>
      <w:pPr>
        <w:spacing w:after="100"/>
      </w:pPr>
      <w:r>
        <w:rPr>
          <w:b/>
        </w:rPr>
        <w:t xml:space="preserve">Equipo y gobierno.</w:t>
      </w:r>
      <w:r>
        <w:t xml:space="preserve"> La Confederación tiene el 50,95 % por ley: no puede haber oferta, el voto del resto está limitado al 5 % y el Consejo Federal fija deuda máxima y prohíbe compras grandes fuera [1, 14]. Equipo prudente que cumple su guía; el variable no mira el ROIC.</w:t>
      </w:r>
    </w:p>
    <w:p>
      <w:pPr>
        <w:spacing w:after="100"/>
      </w:pPr>
      <w:r>
        <w:rPr>
          <w:b/>
        </w:rPr>
        <w:t xml:space="preserve">Valoración.</w:t>
      </w:r>
      <w:r>
        <w:t xml:space="preserve"> El DCF da 737,65 CHF (+9,8 %) con un WACC del 4,31 % y un valor terminal del 79 %; medio punto más de WACC lo baja a 624,77. El DCF inverso descuenta un −1,1 % de crecimiento anual frente al +0,2 % del base. La regla a 12 meses lleva el PER de 24,8 a 22,5 veces (la mediana de cinco años es de 17,0 y la de las telecos europeas de 13,3) y nuestro BPA de 2028e (29,69 CHF) queda un 5 % bajo el consenso.</w:t>
      </w:r>
    </w:p>
    <w:p>
      <w:pPr>
        <w:spacing w:after="100"/>
      </w:pPr>
      <w:r>
        <w:rPr>
          <w:b/>
        </w:rPr>
        <w:t xml:space="preserve">Riesgos y catalizadores.</w:t>
      </w:r>
      <w:r>
        <w:t xml:space="preserve"> El mayor riesgo es el múltiplo con tipos suizos que suban; después, la competencia en Italia, la regulación de precios en Suiza y la deuda de la compra. El riesgo de IA es bajo (más ahorro de costes que amenaza). Catalizadores: 3T26 el 5-nov, guía de 2027 el 11-feb-2027 y decisión de la AGCM sobre las torres hacia abril de 2027.</w:t>
      </w:r>
    </w:p>
    <w:p>
      <w:pPr>
        <w:spacing w:after="100"/>
      </w:pPr>
      <w:r>
        <w:rPr>
          <w:b/>
        </w:rPr>
        <w:t xml:space="preserve">Qué cambiaría la decisión.</w:t>
      </w:r>
      <w:r>
        <w:t xml:space="preserve"> El precio que daría la rentabilidad de compra es 554,44 CHF, pero ni así sería compra para la cartera: falla la calidad (ROIC − WACC de 1,7 puntos). Vender por encima de 708,45 CHF.</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611,60 CHF</w:t>
      </w:r>
      <w:r>
        <w:t xml:space="preserve"> (rentabilidad -5,1 % (base +3,3 %)) · Valor intrínseco: 682,32 CHF (+1,5 % sobre 672,00) · con la prima implícita del mercado: 863,33 (+28,5 %)</w:t>
      </w:r>
    </w:p>
    <w:p>
      <w:pPr>
        <w:spacing w:after="100"/>
      </w:pPr>
      <w:r>
        <w:t xml:space="preserve">Swisscom es un bono con dividendo: un negocio suizo de red que no crece, con un margen del 43 % y una mayoría pública que garantiza estabilidad, más un negocio italiano comprado barato pero en un mercado de precios a la baja. A 672 CHF el precio paga 24,8 veces el beneficio de los próximos 12 meses porque los tipos suizos están en el 0,6 %; el DCF lo justifica a duras penas y la historia y los comparables 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25,91 = 396,42 · 22,5x × 29,69 = 668,03 · 22,5x × 31,73 = 713,93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 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575,76 (nuestro base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682,32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4,3 % y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3,6 %)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863,33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frente a 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(-0,1 %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554,44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554,44 y 708,45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708,45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554,44 CHF: la rentabilidad sería de compra, pero la calidad (ROIC − WACC ≥ 5) seguiría fallando: no apta para la cartera.</w:t>
      </w:r>
    </w:p>
    <w:p>
      <w:pPr>
        <w:pStyle w:val="ListParagraph"/>
        <w:numPr>
          <w:ilvl w:val="0"/>
          <w:numId w:val="2"/>
        </w:numPr>
        <w:spacing w:after="60"/>
      </w:pPr>
      <w:r>
        <w:t xml:space="preserve">Precio entre 554,44 y 708,45 CHF: Mantener.</w:t>
      </w:r>
    </w:p>
    <w:p>
      <w:pPr>
        <w:pStyle w:val="ListParagraph"/>
        <w:numPr>
          <w:ilvl w:val="0"/>
          <w:numId w:val="2"/>
        </w:numPr>
        <w:spacing w:after="60"/>
      </w:pPr>
      <w:r>
        <w:t xml:space="preserve">Precio por encima de 708,45 CHF: Vender.</w:t>
      </w:r>
    </w:p>
    <w:p>
      <w:pPr>
        <w:pStyle w:val="ListParagraph"/>
        <w:numPr>
          <w:ilvl w:val="0"/>
          <w:numId w:val="2"/>
        </w:numPr>
        <w:spacing w:after="60"/>
      </w:pPr>
      <w:r>
        <w:t xml:space="preserve">Sinergias y ventas italianas que suban el ROIC por encima del 8 %: revisar la calidad.</w:t>
      </w:r>
    </w:p>
    <w:p>
      <w:pPr>
        <w:pStyle w:val="ListParagraph"/>
        <w:numPr>
          <w:ilvl w:val="0"/>
          <w:numId w:val="2"/>
        </w:numPr>
        <w:spacing w:after="60"/>
      </w:pPr>
      <w:r>
        <w:t xml:space="preserve">Subida de tipos en Suiza (bono a 10 años por encima del 1,2 %): reforzar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dividendo de 27 CHF es seguro y que con tipos suizos casi nulos un 4 % de rentabilidad vale 24 veces el beneficio; los analistas, sin embargo, son vendedores (0 % comprar) con un objetivo medio de 575,76 CHF.</w:t>
      </w:r>
    </w:p>
    <w:p>
      <w:pPr>
        <w:keepNext/>
        <w:spacing w:after="100"/>
      </w:pPr>
      <w:r>
        <w:rPr>
          <w:b/>
          <w:bCs/>
        </w:rPr>
        <w:t xml:space="preserve">Lo que creemos nosotros.</w:t>
      </w:r>
    </w:p>
    <w:p>
      <w:pPr>
        <w:spacing w:after="100"/>
      </w:pPr>
      <w:r>
        <w:t xml:space="preserve">Coincidimos en que el dividendo es seguro y el negocio estable; discrepamos en el precio: con un ROIC del 6 % y crecimiento nulo, el valor depende de la tasa de descuento, no del negocio.</w:t>
      </w:r>
    </w:p>
    <w:p>
      <w:pPr>
        <w:keepNext/>
        <w:spacing w:after="100"/>
      </w:pPr>
      <w:r>
        <w:rPr>
          <w:b/>
          <w:bCs/>
        </w:rPr>
        <w:t xml:space="preserve">Por qué podemos tener razón.</w:t>
      </w:r>
    </w:p>
    <w:p>
      <w:pPr>
        <w:spacing w:after="100"/>
      </w:pPr>
      <w:r>
        <w:t xml:space="preserve">Antes de comprar Vodafone Italia, Swisscom cotizó a 13,5-17,6 veces el BPA adelantado durante una década de tipos aún más bajos; la compra subió la deuda y bajó el ROIC sin dar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67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Red líder en Suiza</w:t>
      </w:r>
      <w:r>
        <w:t xml:space="preserve">: 51 % de los contratos móviles y margen EBITDAaL del 43 %.</w:t>
      </w:r>
    </w:p>
    <w:p>
      <w:pPr>
        <w:pStyle w:val="ListParagraph"/>
        <w:numPr>
          <w:ilvl w:val="0"/>
          <w:numId w:val="2"/>
        </w:numPr>
        <w:spacing w:after="60"/>
      </w:pPr>
      <w:r>
        <w:rPr>
          <w:b/>
        </w:rPr>
        <w:t xml:space="preserve">Sinergias en Italia</w:t>
      </w:r>
      <w:r>
        <w:t xml:space="preserve">: 166 M EUR en el 1S26; ≈ 600 M anuales en 2029.</w:t>
      </w:r>
    </w:p>
    <w:p>
      <w:pPr>
        <w:pStyle w:val="ListParagraph"/>
        <w:numPr>
          <w:ilvl w:val="0"/>
          <w:numId w:val="2"/>
        </w:numPr>
        <w:spacing w:after="60"/>
      </w:pPr>
      <w:r>
        <w:rPr>
          <w:b/>
        </w:rPr>
        <w:t xml:space="preserve">Dividendo</w:t>
      </w:r>
      <w:r>
        <w:t xml:space="preserve">: 26 CHF (27 por 2026), ≈ 4 % de rentabilidad.</w:t>
      </w:r>
    </w:p>
    <w:p>
      <w:pPr>
        <w:pStyle w:val="ListParagraph"/>
        <w:numPr>
          <w:ilvl w:val="0"/>
          <w:numId w:val="2"/>
        </w:numPr>
        <w:spacing w:after="60"/>
      </w:pPr>
      <w:r>
        <w:rPr>
          <w:b/>
        </w:rPr>
        <w:t xml:space="preserve">Balance de calidad</w:t>
      </w:r>
      <w:r>
        <w:t xml:space="preserve">: rating A, deuda al 1,85 % y 94-95 % a tipo fijo.</w:t>
      </w:r>
    </w:p>
    <w:p>
      <w:pPr>
        <w:pStyle w:val="ListParagraph"/>
        <w:numPr>
          <w:ilvl w:val="0"/>
          <w:numId w:val="2"/>
        </w:numPr>
        <w:spacing w:after="60"/>
      </w:pPr>
      <w:r>
        <w:rPr>
          <w:b/>
        </w:rPr>
        <w:t xml:space="preserve">Riesgo bajo</w:t>
      </w:r>
      <w:r>
        <w:t xml:space="preserve">: beta de 0,46 y volatilidad del 18 %.</w:t>
      </w:r>
    </w:p>
    <w:p>
      <w:pPr>
        <w:pStyle w:val="Heading2"/>
      </w:pPr>
      <w:r>
        <w:t xml:space="preserve">En contra</w:t>
      </w:r>
    </w:p>
    <w:p>
      <w:pPr>
        <w:pStyle w:val="ListParagraph"/>
        <w:numPr>
          <w:ilvl w:val="0"/>
          <w:numId w:val="2"/>
        </w:numPr>
        <w:spacing w:after="60"/>
      </w:pPr>
      <w:r>
        <w:rPr>
          <w:b/>
        </w:rPr>
        <w:t xml:space="preserve">Caro</w:t>
      </w:r>
      <w:r>
        <w:t xml:space="preserve">: 24,8 veces el BPA de los próximos 12 meses frente a 17,0 de su mediana y 13,3 de las telecos europeas.</w:t>
      </w:r>
    </w:p>
    <w:p>
      <w:pPr>
        <w:pStyle w:val="ListParagraph"/>
        <w:numPr>
          <w:ilvl w:val="0"/>
          <w:numId w:val="2"/>
        </w:numPr>
        <w:spacing w:after="60"/>
      </w:pPr>
      <w:r>
        <w:rPr>
          <w:b/>
        </w:rPr>
        <w:t xml:space="preserve">Calidad insuficiente</w:t>
      </w:r>
      <w:r>
        <w:t xml:space="preserve">: ROIC del 6,0 % frente a un WACC del 4,3 %.</w:t>
      </w:r>
    </w:p>
    <w:p>
      <w:pPr>
        <w:pStyle w:val="ListParagraph"/>
        <w:numPr>
          <w:ilvl w:val="0"/>
          <w:numId w:val="2"/>
        </w:numPr>
        <w:spacing w:after="60"/>
      </w:pPr>
      <w:r>
        <w:rPr>
          <w:b/>
        </w:rPr>
        <w:t xml:space="preserve">Sin crecimiento</w:t>
      </w:r>
      <w:r>
        <w:t xml:space="preserve">: ventas planas; Italia cae un 3 %.</w:t>
      </w:r>
    </w:p>
    <w:p>
      <w:pPr>
        <w:pStyle w:val="ListParagraph"/>
        <w:numPr>
          <w:ilvl w:val="0"/>
          <w:numId w:val="2"/>
        </w:numPr>
        <w:spacing w:after="60"/>
      </w:pPr>
      <w:r>
        <w:rPr>
          <w:b/>
        </w:rPr>
        <w:t xml:space="preserve">Deuda en el tope</w:t>
      </w:r>
      <w:r>
        <w:t xml:space="preserve">: 2,4 veces el EBITDA, el límite del Consejo Federal.</w:t>
      </w:r>
    </w:p>
    <w:p>
      <w:pPr>
        <w:pStyle w:val="ListParagraph"/>
        <w:numPr>
          <w:ilvl w:val="0"/>
          <w:numId w:val="2"/>
        </w:numPr>
        <w:spacing w:after="60"/>
      </w:pPr>
      <w:r>
        <w:rPr>
          <w:b/>
        </w:rPr>
        <w:t xml:space="preserve">Analistas vendedores</w:t>
      </w:r>
      <w:r>
        <w:t xml:space="preserve">: 0 % comprar; objetivo medio de 575,76 CHF.</w:t>
      </w:r>
    </w:p>
    <w:p>
      <w:pPr>
        <w:pStyle w:val="Heading2"/>
      </w:pPr>
      <w:r>
        <w:t xml:space="preserve">Qué tiene que pasar para que la tesis funcione</w:t>
      </w:r>
    </w:p>
    <w:p>
      <w:pPr>
        <w:spacing w:after="100"/>
      </w:pPr>
      <w:r>
        <w:t xml:space="preserve">La tesis depende de que las sinergias italianas compensen la caída de precios en Italia y en Suiza y de que los tipos suizos sigan bajos. La señal en contra sería un EBITDAaL de Italia por debajo de 1.800 M EUR o una guía de 2027 que no suba el dividendo.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EBITDAaL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 M (1S26); guía 5.000-5.100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EBITDAaL de Italia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 M EUR (1S26); guía 1.800-1.900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M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las sinergias.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Italia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2,4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Tope del Consejo Federal.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 la Confederación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26,5x / 23,9x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Swisscom nace en 1998 de la separación de las antiguas PTT suizas (Telecom PTT) y sale a bolsa ese mismo año; la ley de empresas de telecomunicaciones obliga a la Confederación a conservar la mayoría [1]. En 2007 compra Fastweb, el operador de fibra italiano, que durante años da poco rendimiento y acumula deterioros [1]. En Suiza construye la red de fibra y 5G líder del país y pasa a vender TI y nube a empresas. En 2024 compra Vodafone Italia por 8.000 M EUR, la mayor operación de su historia, y la fusiona con Fastweb el 1-ene-2026; desde septiembre de 2026 ya no está en el SMI [9,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las PTT: nace Swisscom y sale a bolsa; la Confederación conserva la mayoría por ley.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Fastweb (Italia): base del negocio italiano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Rechsteiner, presidente del consejo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 Aeschlimann,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Vodafone Italia por 8.000 M EUR de valor empresa (cierre el 31-dic)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Vodafone Italia: ventas de 15.048 M CHF; dividendo de 26 CHF (22 desde 2017)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de Fastweb y Vodafone Italia; salida del SMI (21-sep); objetivos del Consejo Federal 2026-2029 [14,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Swisscom es el primer operador de telecomunicaciones de Suiza (móvil, fibra, televisión, servicios de TI y nube para empresas) y, desde 2025, con Fastweb + Vodafone, el primer operador móvil de Italia; 23.266 empleados a tiempo completo [1]. La Confederación Suiza tiene el 51 % por ley. En 2025 vendió 15.048 M CHF: 52 % Suiza y 45 % Italia [1].</w:t>
      </w:r>
    </w:p>
    <w:p>
      <w:pPr>
        <w:pStyle w:val="Heading2"/>
      </w:pPr>
      <w:r>
        <w:t xml:space="preserve">Cómo gana dinero</w:t>
      </w:r>
    </w:p>
    <w:p>
      <w:pPr>
        <w:spacing w:after="100"/>
      </w:pPr>
      <w:r>
        <w:t xml:space="preserve">Cobra cuotas mensuales por conectividad (móvil, banda ancha, televisión) a particulares y empresas, vende servicios de TI, nube y ciberseguridad a empresas suizas, y alquila su red a otros operadores (mayorista) [1]. De 15.048 M de ventas en 2025: servicios de telecomunicaciones 9.881 M, TI 2.005, mayorista 1.194, venta de equipos 1.272 y otros 696 [1]. En Suiza gana un 43 % de margen EBITDAaL (red propia y precios altos) y en Italia un 23 % [1]. La inversión en red se lleva ≈ 20 % de las ventas.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 (Swisscom Switzerland)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 (Fastweb + Vodafone)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 (Swisscom Switzerland)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 (Fastweb + Vodafone)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Millones de clientes particulares y empresas en Suiza e Italia: ninguno pesa más de un 10 % de las ventas [1]. En Suiza tiene el 51 % de los contratos móviles, el 46 % de la banda ancha y el 41 % de la televisión de pago [1]; en Italia, Fastweb + Vodafone es el primer operador móvil (25,2 % de las tarjetas «humanas») y el segundo en banda ancha fija (28,7 %) [12]. Poder de precios: alto en Suiza (subidas de tarifas aceptadas, red mejor valorada), bajo en Italia (Iliad y los operadores virtuales fijan el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EBITDAaL del grupo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 ajustado a tipo constante; guía 2026 de 5.000-5.100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de Vodafone Italia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 M en 2026 y ≈ 600 M anuales en 2029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 ancha en Suiza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1.948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clientes frente a Sunrise, Salt y las marcas baratas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móviles en Suiza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con la segunda marca (wingo)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Líneas mayoristas móviles en Italia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PosteMobile como operador virtual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FTTH en Suiza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 60 % a final de 2026 y 75-80 % en 2030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los servicios de telecomunicaciones (móvil, banda ancha fija, televisión, mayorista) de Suiza e Italia, que dan ≈ 85 % de las ventas de Swisscom; el resto son servicios de TI y nube para empresas suizas (2.005 M CHF en 2025) [1]. Suiza: ≈ 11.000 M CHF de ventas de telecomunicaciones, mercado maduro de tres redes (Swisscom, Sunrise, Salt) con precios altos y caída lenta [1]. Italia: 29.500 M EUR de comunicaciones electrónicas en 2025 (fijo 18.500, móvil algo menos de 11.000, −0,6 %), cuatro redes móviles (Fastweb+Vodafone, WindTre, TIM, Iliad) y fuerte competencia de precio [12]. El mercado de TI suizo (≈ 25.000 M CHF) es de otro tipo y Swisscom solo tiene una parte pequeña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38.300 M CHF (telecomunicaciones de Suiza ≈ 11.000 M CHF + comunicaciones electrónicas de Italia 29.500 M EUR) en 2025 [1,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Oligopolio (tres redes en Suiza; cuatro en Italia con operadores virtuales)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Suiza + Italia, 2025; un solo año comparabl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las tarifas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Suiza las marcas baratas y las ofertas convergentes de Sunrise y Salt bajan el ingreso por cliente; en Italia Iliad y los virtuales mantienen precios entre los más bajos de Europa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y fibra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crece y la fibra (58 % de cobertura FTTH en Suiza) permite vender velocidades más altas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Fastweb + Vodafone (2025) y el acuerdo de torres y red con TIM reducen costes; la AGCM lo investiga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 nube, ciberseguridad e IA para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TI de 2.005 M CHF en 2025; plataforma de IA soberana suiza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bono de la Confederación a 10 años al 0,59 % (30-sep-2026), un dividendo del 4 % hace de Swisscom un sustituto de renta fija: sube cuando bajan los tipos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Moderada en Suiza (tres redes) y alta en Italia (cuatro redes y virtuales; precios a la baja)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sin poder individual, pero portabilidad fácil y marcas baratas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de red (Ericsson, Nokia), de móviles (Apple) y de contenidos; en Italia, INWIT en torres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Espectro, licencias y redes: barreras altas; entrar como virtual es fácil pero de bajo margen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por internet (mensajería, vídeo) sustituyen voz y TV, no la conectividad [1].</w:t>
            </w:r>
          </w:p>
        </w:tc>
      </w:tr>
    </w:tbl>
    <w:p>
      <w:pPr>
        <w:spacing w:after="160" w:before="0"/>
      </w:pPr>
    </w:p>
    <w:p>
      <w:pPr>
        <w:pStyle w:val="Heading2"/>
      </w:pPr>
      <w:r>
        <w:t xml:space="preserve">Ciclo</w:t>
      </w:r>
    </w:p>
    <w:p>
      <w:pPr>
        <w:spacing w:after="100"/>
      </w:pPr>
      <w:r>
        <w:t xml:space="preserve">La demanda de conectividad no depende del ciclo económico; los precios bajan poco a poco en Suiza y más deprisa en Italia. Las empresas recortan TI en las recesiones (la parte de servicios a empresas es la más cíclica) [1].</w:t>
      </w:r>
    </w:p>
    <w:p>
      <w:pPr>
        <w:pStyle w:val="Heading2"/>
      </w:pPr>
      <w:r>
        <w:t xml:space="preserve">Regulación</w:t>
      </w:r>
    </w:p>
    <w:p>
      <w:pPr>
        <w:spacing w:after="100"/>
      </w:pPr>
      <w:r>
        <w:t xml:space="preserve">Suiza: la Confederación debe tener la mayoría de Swisscom por ley (Ley de Empresas de Telecomunicaciones) y fija objetivos estratégicos cada cuatro años (2026-2029: deuda ≤ 2,4 veces, sin compras grandes en el extranjero) [14]. Swisscom tiene la licencia de servicio universal hasta 2031 [1]. El Supervisor de Precios y la COMCO vigilan precios y acceso: el 9-oct-2026 Swisscom prorrogó dos años el tope de 24 CHF/mes para la fibra oscura [15]; la COMCO tiene varios procedimientos abiertos [1]. Italia: AGCOM regula el acceso y AGCM investiga a fondo el acuerdo de torres y red con TIM (decisión prevista hacia abril de 2027) [16].</w:t>
      </w:r>
    </w:p>
    <w:p>
      <w:pPr>
        <w:pStyle w:val="Heading2"/>
      </w:pPr>
      <w:r>
        <w:t xml:space="preserve">Tendencias y disrupción</w:t>
      </w:r>
    </w:p>
    <w:p>
      <w:pPr>
        <w:spacing w:after="100"/>
      </w:pPr>
      <w:r>
        <w:t xml:space="preserve">Convergencia fijo-móvil, fibra hasta el hogar, 5G autónomo, separación y venta de torres, consolidación en Italia (Fastweb + Vodafone, acuerdo con TIM), IA aplicada a la atención al cliente y a la operación de la red, y servicios de IA y nube «soberanos» para empresas y administración [1,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Suiza (51 % de los contratos móviles, 46 % de la banda ancha, 41 % de la televisión) y 1.º en móvil en Italia (25,2 % de las tarjetas) y 2.º en banda ancha fija (28,7 %)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Sunrise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operador suizo (móvil + cable), escindido de Liberty Global en 2024; muy endeudado [13,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Salt (privada, NJJ)</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operador móvil suizo, de Xavier Niel; agresivo en precio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monopolio; 32,6 % de la banda ancha fija; socio del acuerdo de torres y red [12,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WindTre (CK Hutchison)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móvil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Iliad Italia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2018 con precios bajos y sigue ganando cuota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PosteMobile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Operador virtual que dejó la red de Fastweb+Vodafone (−20 % de líneas mayoristas) [4,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física no crea efectos de red de usuarios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Paquetes convergentes y contratos de empresas; la portabilidad es fácil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Espectro, licencia de servicio universal y la marca mejor valorada de Suiza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red de fibra y escala en Suiza: margen EBITDAaL del 43 %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9 millones de habitantes no admite más de tres redes [1].</w:t>
            </w:r>
          </w:p>
        </w:tc>
      </w:tr>
    </w:tbl>
    <w:p>
      <w:pPr>
        <w:spacing w:after="160" w:before="0"/>
      </w:pPr>
    </w:p>
    <w:p>
      <w:pPr>
        <w:pStyle w:val="Heading2"/>
      </w:pPr>
      <w:r>
        <w:t xml:space="preserve">Amenazas</w:t>
      </w:r>
    </w:p>
    <w:p>
      <w:pPr>
        <w:spacing w:after="100"/>
      </w:pPr>
      <w:r>
        <w:t xml:space="preserve">En Suiza, la erosión lenta del precio y de las líneas fijas (−2,1 % de banda ancha al año) frente a Sunrise, Salt y las marcas baratas, y la regulación de precios de acceso a la fibra [1, 15]. En Italia, la guerra de precios (Iliad, virtuales), la pérdida de clientes mayoristas (PosteMobile) y el riesgo de que la AGCM imponga condiciones al acuerdo con TIM [12, 16]. A largo plazo, los satélites de órbita baja como sustituto parcial en zonas rurales.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7,7 %</w:t>
      </w:r>
      <w:r>
        <w:t xml:space="preserve">, EBITDA </w:t>
      </w:r>
      <w:r>
        <w:rPr>
          <w:b/>
          <w:bCs/>
        </w:rPr>
        <w:t xml:space="preserve">4,5 %</w:t>
      </w:r>
      <w:r>
        <w:t xml:space="preserve">, BPA </w:t>
      </w:r>
      <w:r>
        <w:rPr>
          <w:b/>
          <w:bCs/>
        </w:rPr>
        <w:t xml:space="preserve">-8,7 %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Hasta 2024 Swisscom era un negocio suizo maduro con Fastweb en Italia: ventas planas en ≈ 11.000-11.200 M CHF y EBITDAaL de 4.064-4.334 M (36-39 %) [1, 3]. La compra de Vodafone Italia (cerrada el 31-dic-2024) sube las ventas a 15.048 M en 2025 (+37 %) y el EBITDAaL a 4.984 M, pero baja el margen al 33,1 % (Italia gana un 23 % de margen frente al 43 % de Suiza) y el BPA a 24,54 CHF por la amortización de los activos comprados, los intereses de la deuda nueva (244 M frente a 75 M en 2023) y 126 M de costes de integración y otros ajustes [1]. En perímetro constante 2025 bajó un 2,0 % en ventas y un 1,2 % en EBITDAaL [1]. En el 1S26 las ventas caen un 3,0 % (−2,0 % a tipo de cambio constante) por la presión de precios en Suiza y la pérdida del operador virtual de PosteMobile en Italia, pero el EBITDAaL sube un 3,4 % (+3,7 % ajustado a tipo constante) por las sinergias (166 M EUR en el semestre) [4, 10]. Ningún año tiene deterioros ni plusvalías relevantes; el ajustado de la empresa en 2025 (5.110 M) solo añade 126 M de integración y otros conceptos que se repiten mientras dure la integración (hasta 2027-2028), por eso no se devuelven al EBITDAaL.</w:t>
      </w:r>
    </w:p>
    <w:p>
      <w:pPr>
        <w:pStyle w:val="Heading2"/>
      </w:pPr>
      <w:r>
        <w:t xml:space="preserve">Ajustes y partidas no recurrentes</w:t>
      </w:r>
    </w:p>
    <w:p>
      <w:pPr>
        <w:spacing w:after="100"/>
      </w:pPr>
      <w:r>
        <w:t xml:space="preserve">Base EBITDAaL (EBITDA después del gasto de arrendamientos: resta la amortización de los derechos de uso y los intereses de los arrendamientos), la que publica la empresa, guía y sigue el consenso [1, 7]. Para que todo cuadre: ebit = EBIT NIIF − intereses de arrendamientos; amortizaciones = EBITDAaL − ese EBIT (solo inmovilizado e intangibles); resultado financiero = el NIIF sin los intereses de arrendamientos y con el resultado de participadas; los arrendamientos (3.729 M a 31-dic-2025; 3.480 M a 30-jun-2026) se tratan como gasto de explotación y NO se suman a la deuda del puente, y sus pagos (1.558 M en 2025) se restan del flujo libre. Es el mismo tratamiento que el de las empresas en US GAAP con arrendamientos operativos. El BAI, el impuesto y el beneficio son los publicados. 2024 es el reexpresado en el informe de 2025: el cambio de política de arrendamientos (2025) subió la amortización de derechos de uso de 261 a 671 M y el flujo operativo de 3.977 a 4.387 M, sin cambiar el EBITDAaL [6]. Costes directos (formato por naturaleza): los de la última presentación de cada año, con la reclasificación de 2023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Seis trimestres en el perímetro actual (los de 2024 no llevan Vodafone Italia y no son comparables) [1, 4, 5]. 1S26 (6-ago-2026): ventas de 7.221 M CHF (−3,0 %; −2,0 % a tipo constante), EBITDAaL de 2.557 M (+3,4 %; +3,7 % ajustado a tipo constante), beneficio de 668 M y BPA de 12,92 CHF (12,08 un año antes), flujo libre de 717 M [4, 10]. Suiza: ventas de 3.870 M (−0,7 %) y EBITDAaL de 1.700 M; Italia: 3.474 M EUR (−3,3 %) y EBITDAaL de 913 M EUR (+11,8 % ajustado) [4]. El 2T26 batió el consenso que publica la empresa (ventas 3.615 frente a 3.588; EBITDAaL 1.269 frente a 1.218; beneficio ≈ 337 M frente a 301) [4]. Guía 2026 confirmada: ventas de 14.700-14.900 M, EBITDAaL de 5.000-5.100 M, inversión de 3.000-3.100 M, flujo de caja operativo libre (EBITDAaL − inversión) ≈ 2.000 M y dividendo de 27 CHF [7, 10]. Transcripción de la conferencia: no disponible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Primer año con Vodafone Italia (comprada el 31-dic-2024 por 7.921 M EUR; consolidada en balance al cierre de 2024 y en la cuenta desde el 1-ene-2025) [1, 2]. Ventas pro forma de 2024: 15.358 M CHF y EBITDAaL de 5.044 M: en perímetro constante 2025 bajó un 2,0 % en ventas y un 1,2 % en EBITDAaL [1].; 2024: Balance con Vodafone Italia al 31-dic-2024 (deuda neta +9.300 M CHF, de ellos 1.800 M EUR de arrendamientos); cuenta sin ella [2]. Reexpresado en 2025 por el cambio de política de arrendamientos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compra de Vodafone Italia multiplicó la deuda financiera por 2,5: de 5.665 M CHF en 2023 a 14.160 M en 2024 y 13.021 M a 30-jun-2026 [2, 3, 4]. Deuda neta con arrendamientos / EBITDA: 2,4 veces al cierre de 2025, guía de ≈ 2,3 al cierre de 2026; el Consejo Federal fija un tope de 2,4 veces en sus objetivos estratégicos para 2026-2029 [1, 7]. Sin arrendamientos (la base de este informe), la deuda neta financiera es de ≈ 12.450 M, ≈ 2,5 veces el EBITDAaL. El coste es muy bajo (1,85 % de media, 94-95 % a tipo fijo) porque la mitad es en francos; la nueva en euros cuesta un 3,1-3,6 % [4]. Fondo de comercio de 6.575 M (el 54 % del patrimonio): 4.345 M de Suiza y 1.893 M de Italia (471 de Fastweb y 1.422 de Vodafone Italia) [1]. El patrimonio sube poco porque el dividendo (1.140 M) se lleva casi todo el beneficio.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7.217</w:t>
      </w:r>
      <w:r>
        <w:t xml:space="preserve">, conversión </w:t>
      </w:r>
      <w:r>
        <w:rPr>
          <w:b/>
          <w:bCs/>
        </w:rPr>
        <w:t xml:space="preserve">91 %</w:t>
      </w:r>
      <w:r>
        <w:t xml:space="preserve"> del beneficio neto; adquisiciones 7.587, dividendos 5.703, recompras 0.</w:t>
      </w:r>
    </w:p>
    <w:p>
      <w:pPr>
        <w:spacing w:after="100"/>
      </w:pPr>
      <w:r>
        <w:t xml:space="preserve">El flujo operativo pasa de ≈ 4.000 M CHF a 6.012 M en 2025 con Vodafone Italia, pero la inversión (3.008 M) y los pagos de arrendamientos (1.558 M) se lo llevan casi todo: el flujo libre (operativo − inversión − arrendamientos) fue de 1.446 M en 2025 y de 1.671 M en los 12 meses a junio de 2026, frente a 1.433 M de la definición de la empresa en 2025 [1, 4]. El dividendo (1.140 M; 1.399 M con 27 CHF) se come casi todo el flujo libre: payout del 89 % del beneficio de 2025 y ≈ 80 % del flujo libre [1]. Los intereses pagados van en el flujo operativo. Sin recompras ni ampliaciones: 51,80 M de acciones desde 2009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sin deterioros desde los de Italia y «Otros» de hace años (1.188 M acumulados), sin plusvalías relevantes y con un ajustado que solo difiere del publicado en 126 M en 2025 [1]. Dos cosas que vigilar: el cambio de política de arrendamientos de 2025 (reexpresión de 2024, sin efecto en el EBITDAaL) [6] y el fondo de comercio de Vodafone Italia (1.422 M), probado con un WACC después de impuestos del 5,51 % y un crecimiento del 2 % en Italia: un mercado italiano que no crece ni en precios podría forzar un deterioro [1]. La prueba de Suiza usa un WACC del 3,89 % y crecimiento cero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por cambio de política de arrendamientos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amortización de derechos de uso de 2024 pasó de 261 a 671 M y el flujo operativo de 3.977 a 4.387 M; el EBITDAaL y el beneficio no cambian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Italia frente a su prueba de deterioro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1.893 M en Italia con crecimiento a perpetuidad del 2 %; Fastweb ya tuvo deterioros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integración recurrentes fuera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 M de integración en 2025 y más en 2026-2027; el informe los deja dentro del EBITDAaL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del precio de compra (PPA) de Vodafone Italia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Intangibles de 6.049 M en 2024 (1.737 M en 2023): su amortización baja el BPA sin salir caja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6.575 M en 2025 (el 27 % del capital invertido medio); ha subido más de un 5 % en 1 de 4 años: compra única grande. ROIC publicado 6,0 %; sin fondo de comercio, 8,2 %.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-3,2 % · </w:t>
      </w:r>
      <w:r>
        <w:rPr>
          <w:b/>
          <w:bCs/>
        </w:rPr>
        <w:t xml:space="preserve">WACC</w:t>
      </w:r>
      <w:r>
        <w:t xml:space="preserve">: 4,3 %.</w:t>
      </w:r>
    </w:p>
    <w:p>
      <w:pPr>
        <w:spacing w:after="100"/>
      </w:pPr>
      <w:r>
        <w:t xml:space="preserve">El ROIC (beneficio operativo después de impuestos sobre patrimonio + deuda financiera neta, en base EBITDAaL) era del 9,7-10,5 % en 2021-2023 y cae al 7,5 % en 2024 y al 6,0 % en 2025 al entrar Vodafone Italia: 7.454 M CHF de capital nuevo que hoy rinde ≈ 4-5 % [1, 9]. Sin fondo de comercio, 8,2 %. Frente a un WACC del 4,31 % (tipos suizos casi nulos), el diferencial es de solo 1,7 puntos; con la prima implícita del mercado (WACC 3,6 %), 2,4 puntos [23, 24]. Suiza sola gana mucho más (EBITDAaL de 3.362 M con un margen del 43 %); Italia (23 % de margen, inversión de ≈ 20 % de las ventas) diluye. Las sinergias (≈ 600 M EUR anuales en 2029) subirían el ROIC del grupo hacia el 7 %, todavía lejos de los 5 puntos sobre el WACC que pide el método [7]. El ROE del 10,4 % se apoya en la deuda.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215 M CHF y 351 M de otros activos financieros a 30-jun-2026; dos líneas de crédito comprometidas de 1.700 M (hasta 2029) y 1.200 M (hasta 2028), sin disponer [1, 4]. En 2026 emitió 125 M CHF al 0,915 % y dos bonos de 500 M EUR (3,125 % a tres años y 3,625 % a nueve)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(S&amp;P, estable) y A2 (Moody's, estable; confirmado en junio de 2026)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de 3.480 M CHF a 30-jun-2026 (fuera de la deuda por la base EBITDAaL; con ellos la deuda neta es de 15.935 M) [4]. Provisiones de 1.566 M (1.067 de desmantelamiento y 202 de litigios) [4]. Pensiones: déficit contable de 54 M con un grado de cobertura del 121 % [1, 4]. Pago aplazado de la compra de Vodafone Italia (hasta 125 M EUR, 21 M ya pagados) [1]. La Comisión de la Competencia (COMCO) tiene abiertos varios procedimientos; el Tribunal Administrativo Federal anuló en octubre de 2026 la multa de 18,4 M por la fibra; los pasivos contingentes no están provisionados [1].</w:t>
      </w:r>
    </w:p>
    <w:p>
      <w:pPr>
        <w:pStyle w:val="Heading1"/>
      </w:pPr>
      <w:r>
        <w:t xml:space="preserve">12. Asignación de capital</w:t>
      </w:r>
    </w:p>
    <w:p>
      <w:pPr>
        <w:pStyle w:val="Confianza"/>
        <w:spacing w:after="100"/>
      </w:pPr>
      <w:r>
        <w:t xml:space="preserve">Confianza: Alta</w:t>
      </w:r>
    </w:p>
    <w:p>
      <w:pPr>
        <w:spacing w:after="100"/>
      </w:pPr>
      <w:r>
        <w:t xml:space="preserve">Dividendo estable o creciente: 22 CHF por acción de 2017 a 2024, 26 CHF por 2025 y 27 CHF propuestos por 2026 si se cumplen los objetivos [1, 8]. Sin recompras. Deuda neta / EBITDA con arrendamientos ≤ 2,4 veces (tope del Consejo Federal, accionista con el 51 %) y rating en el rango A [1]. Los objetivos estratégicos del Consejo Federal para 2026-2029 descartan nuevas compras grandes en el extranjero y piden centrarse en la infraestructura suiza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Vodafone Italia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(bonos en CHF y EUR)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Fusionada con Fastweb el 1-ene-2026; sinergias de más de 300 M EUR en 2026 (166 M en el 1S26) y ≈ 600 M anuales en 2029; 5,1 veces el EBITDAaL con sinergias [7, 9].</w:t>
            </w:r>
          </w:p>
        </w:tc>
      </w:tr>
    </w:tbl>
    <w:p>
      <w:pPr>
        <w:spacing w:after="160" w:before="0"/>
      </w:pPr>
    </w:p>
    <w:p>
      <w:pPr>
        <w:spacing w:after="100"/>
      </w:pPr>
      <w:r>
        <w:t xml:space="preserve">La asignación de capital es de empresa pública prudente: la mayor parte del flujo libre va al dividendo, y la inversión (≈ 20 % de las ventas) mantiene redes de fibra (58 % de los hogares suizos con FTTH) y 5G líderes [1, 11]. La única gran apuesta de la década es Vodafone Italia: se pagó barato (7,8 veces el EBITDAaL antes de sinergias, frente a una media de 10,6 en compras europeas parecidas) y las sinergias van por delante del plan, pero el mercado italiano sigue bajando en precio y el ROIC del grupo cae del ≈ 9 % al ≈ 6 % [7, 9]. El Consejo Federal ya ha cerrado la puerta a más compras grandes fuera.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 Aeschlimann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dirección desde 2019 (responsable de TI, red e infraestructura); consejero delegado desde junio de 2022. Ha cerrado la compra de Vodafone Italia y su fusión con Fastweb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 Stermetz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marzo de 2021; antes en Swisscom y Fastweb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Renna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Fastweb + Vodafone (Italia)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Fastweb desde 2024 y la integración con Vodafone Italia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 Müller-Wegner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desarrollo corporativo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Klementina Pejic</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Dirk Wierzbitzki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Swisscom Suiza (desde el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en 2026 para separar la dirección del negocio suizo de la del grupo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 11.100 M CHF; EBITDA ≈ 4.300 M; inversión ≈ 2.300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11.183; 4.478; 2.286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 11.100 M (rebajada desde 11.100-11.200 por el franco); EBITDA ≈ 4.400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11.112; 4.406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 11.100 M (rebajada por el franco); EBITDA 4.600-4.700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11.072; 4.622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 11.000 M; EBITDA 4.300-4.400 M (antes 4.500-4.600, rebajada por la integración)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11.036; 4.355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15.000-15.200 M; EBITDAaL ≈ 5.000 M; inversión 3.100-3.200 M; flujo operativo libre 1.800-1.900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15.048; 4.984; 3.064; 1.920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predecible: cumple casi siempre una guía prudente, y las dos rebajas (ventas de 2022-2023 por el franco, EBITDA de 2024 por los costes de integración) tienen causa externa o contable [1, 2]. Aeschlimann (en el cargo desde 2022) hizo la mayor compra de la historia de la empresa; las sinergias van por delante del plan (166 M EUR en el 1S26 frente a más de 300 M en el año) [4]. Cambios de dirección: desde enero de 2027 el negocio suizo tendrá consejero delegado y director financiero propios (Wierzbitzki y Stettler), y el responsable de empresas (Urs Lehner) se fue en septiembre de 2026 [4].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Rechsteiner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(desde 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Esser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(no se presentó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e Inversiones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Abt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Monique Bourquin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Cioli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Guus Dekkers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Mossberg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Lathion-Zweifel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Münger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Fritz Zurbrügg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la Confederación)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Deecke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Confederación Suiza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(mayoría exigida por ley)</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2017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consejero delegado tiene 2.506 acciones y 367 restringidas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2,23 M CHF en 2025: 0,92 M de fijo, 0,79 M de variable anual (0,36 en efectivo y 0,43 en acciones bloqueadas) y 0,21 M en acciones restringidas, más pensión [1]. Muy por debajo de sus pares europeos: el Consejo Federal limita la remuneración de las empresas públicas. El variable se liga a ventas, EBITDAaL y flujo operativo libre, no a ROIC ni a rentabilidad para el accionista [1]. La dirección cobró 7,15 M en total. En la junta de 2026 el informe de remuneración tuvo un 96,44 % a favor y un 3,32 % en contra; sin el voto de la Confederación, ≈ 10 % en contra [18].</w:t>
      </w:r>
    </w:p>
    <w:p>
      <w:pPr>
        <w:pStyle w:val="Heading2"/>
      </w:pPr>
      <w:r>
        <w:t xml:space="preserve">Operaciones vinculadas, estructura de control y defensas</w:t>
      </w:r>
    </w:p>
    <w:p>
      <w:pPr>
        <w:spacing w:after="100"/>
      </w:pPr>
      <w:r>
        <w:t xml:space="preserve">La Confederación tiene el 50,95 % y por ley debe conservar la mayoría: Swisscom no se puede comprar [1, 14]. Límite estatutario de voto del 5 % para el resto de accionistas, por lo que no rige una acción un voto [1]. El Consejo Federal fija objetivos estratégicos cada cuatro años (2026-2029: deuda ≤ 2,4 veces el EBITDA, foco en la infraestructura suiza, sin compras grandes fuera) y designa un consejero [14]. Consejo mayoritariamente independiente con dos representantes de los empleados; presidente no ejecutivo [1].</w:t>
      </w:r>
    </w:p>
    <w:p>
      <w:pPr>
        <w:pStyle w:val="Heading2"/>
      </w:pPr>
      <w:r>
        <w:t xml:space="preserve">Señales de alerta</w:t>
      </w:r>
    </w:p>
    <w:p>
      <w:pPr>
        <w:pStyle w:val="ListParagraph"/>
        <w:numPr>
          <w:ilvl w:val="0"/>
          <w:numId w:val="2"/>
        </w:numPr>
        <w:spacing w:after="60"/>
      </w:pPr>
      <w:r>
        <w:t xml:space="preserve">Accionista de control público (50,95 %) con objetivos políticos: limita compras, deuda y remuneración, y garantiza el servicio universal [1, 14].</w:t>
      </w:r>
    </w:p>
    <w:p>
      <w:pPr>
        <w:pStyle w:val="ListParagraph"/>
        <w:numPr>
          <w:ilvl w:val="0"/>
          <w:numId w:val="2"/>
        </w:numPr>
        <w:spacing w:after="60"/>
      </w:pPr>
      <w:r>
        <w:t xml:space="preserve">Variable de la dirección sin ROIC ni rentabilidad para el accionista: premia el EBITDAaL y el flujo, no el rendimiento del capital invertido en Italia [1].</w:t>
      </w:r>
    </w:p>
    <w:p>
      <w:pPr>
        <w:pStyle w:val="ListParagraph"/>
        <w:numPr>
          <w:ilvl w:val="0"/>
          <w:numId w:val="2"/>
        </w:numPr>
        <w:spacing w:after="60"/>
      </w:pPr>
      <w:r>
        <w:t xml:space="preserve">Operaciones de directivos anónimas en Suiza (SIX): sin compras ni ventas nominales que leer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Guía de 2026 (12-feb-2026, confirmada el 6-ago): ventas de 14.700-14.900 M CHF, EBITDAaL de 5.000-5.100 M, inversión de 3.000-3.100 M, flujo operativo libre ≈ 2.000 M, deuda neta / EBITDA ≈ 2,3 veces (≈ +0,3 si se firma el acuerdo de torres con TIM) y dividendo de 27 CHF; Suiza EBITDAaL ≈ 3.300 M; Italia 1.800-1.900 M EUR; sinergias de más de 300 M EUR en 2026 y ≈ 600 M anuales en 2029 [1,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recopilado por Swisscom, 15 analistas, 8-oct-2026 (EBITDA = EBITDAaL; EBIT NIIF)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 7 /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460,00 – 735,00</w:t>
            </w:r>
          </w:p>
        </w:tc>
      </w:tr>
    </w:tbl>
    <w:p>
      <w:pPr>
        <w:spacing w:after="160" w:before="0"/>
      </w:pPr>
    </w:p>
    <w:p>
      <w:pPr>
        <w:pStyle w:val="Heading2"/>
      </w:pPr>
      <w:r>
        <w:t xml:space="preserve">Revisiones de estimaciones</w:t>
      </w:r>
    </w:p>
    <w:p>
      <w:pPr>
        <w:spacing w:after="100"/>
      </w:pPr>
      <w:r>
        <w:t xml:space="preserve">El consenso de la empresa sube poco: EBITDAaL de 2026 de 5.042 M (8-jul) a 5.079 M (8-oct) tras el 1S26, y beneficio de 2026 de 1.396 a 1.380 M; 2028 se mantiene (1.632 → 1.616 M) [22]. En Yahoo el BPA de 2026 está en 28,25 CHF (28,4 hace 90 días) y el de 2027 en 31,22 (30,37); el de 2027 de Yahoo (11 analistas) está un 10 % por encima del de la empresa (28,46), que se toma como referencia por ser más completo y reciente [21, 22]. Ningún analista recomienda comprar: 7 mantener y 10 vender en Yahoo, objetivo medio de 575,76 CHF (460-735), un 14 % bajo el precio [21]. Bloomberg (7-oct): 0 % comprar, 48 % mantener, 52 % vender [22]. Rebajas recientes: Morgan Stanley (infraponderar, 30-sep), Kepler (reducir, 29-sep), Oddo (peor que el mercado, 28-sep), AlphaValue (reducir, 1-oct), New Street (vender, 3-sep); UBS pasó de comprar a neutral con objetivo de 735 [22, 27].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 total del +21,3 % en lo que va de 2026 frente al +11,3 % del SPI y el +10,7 % de las telecos europeas, y del +17,8 % en 12 meses; a 3 años, +12,2 % anual frente al +15,8 % del índice [20]. La subida de enero-febrero (+25 %) vino con los resultados de 2025 y la subida del dividendo de 22 a 26 CHF; después la acción se ha movido en 610-727 CHF [1, 20]. Beta muy baja (0,46 mensual a 5 años; 0,29 semanal) y volatilidad del 18 %: se comporta como un bono con dividendo [20]. Sin registro público de posiciones cortas en Suiza.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 +7,4 % / +2,4 % / +14,0 %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 +22,3 %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a valores defensivos y de dividendo y resultados de 2025 (12-feb): guía de 2026 en línea, dividendo de 26 CHF (desde 22) y 27 propuestos para 2026; máximo de varios años de 674 CHF el 11-feb [1,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dividendo de 26 CHF (27-mar, −3,9 % ese día) y recogida de beneficios con rebajas de analistas (Morgan Stanley: valoración y riesgos de Italia); mínimo de seis meses de 628 CHF [1,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sin hecho de la empresa (mayor caída de un mes −8,0 % hasta el 18-jun); el sector y la revisión de índices de SIX (anuncio del 8-jul de la salida del SMI) pesaron después; causa concreta no encontrada en tres búsquedas (notas de la empresa, cash.ch, titulares de Seeking Alpha) [20,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SMI efectiva el 21-sep: ventas de los fondos indexados el 18-sep (−3,4 % ese día) y −2,7 % el 28-sep con rebajas de Oddo, Kepler y Morgan Stanley [22,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tras la salida del índice; anulación de la multa de la COMCO por la fibra y acuerdo con el Supervisor de Precios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Administrativo Federal anula la multa de 18,4 M CHF de la COMCO por la construcción de la fibra; otros procedimientos de la COMCO siguen abiertos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 Supervisor de Precios: tope de 24 CHF/mes de la fibra oscura prorrogado dos años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15 analistas: beneficio de 1.380 M en 2026 y 1.616 M en 2028; rebajas de Morgan Stanley, Kepler, Oddo y AlphaValue a finales de septiembre; 0 % comprar en Bloomberg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SMI y entra en el SMIM (revisión de SIX); los fondos indexados ya vendieron el 18-sep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EBITDAaL +3,4 %, BPA 12,92 CHF; guía confirmada; sinergias de 166 M EUR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AGCM abre investigación a fondo del acuerdo de torres y red con TIM; decisión prevista hacia abril de 2027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dividendo de 26 CHF aprobado; la Confederación mantiene el 50,95 %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estratégicos del Consejo Federal 2026-2029: deuda ≤ 2,4 veces, sin compras grandes en el extranjero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5-nov-2026 (consenso de EBITDAaL del trimestre: 1.291 M)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lateral: +2,2 % en un mes y un 7,6 % bajo el máximo de 52 semanas (727 CHF, 10-mar), sin avisos P de la herramienta [20]. Los movimientos fuertes tienen causa conocida: la subida de enero-febrero (dividendo y rotación defensiva), la fecha ex del dividendo, las rebajas de analistas por valoración y la salida del SMI, ya ejecutada el 18-sep [26, 27]. No hay colocación de la Confederación (no puede bajar del 50 %), ampliación ni oferta posibles; la decisión de la AGCM (hacia abril de 2027) y los procedimientos de la COMCO no tienen fecha cercana. Los resultados del 5-nov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año (Yahoo [20]). En base adelantada (precio de cierre ÷ BPA del año siguiente), Swisscom cotizó a 13,5-17,6 veces de 2016 a 2023 y a 20,6 veces a final de 2024, porque el BPA de 2025 cayó a 24,54 CHF por la amortización de los activos de Vodafone Italia, los intereses de la deuda nueva y la integración, y el precio no bajó; a final de 2025, ≈ 22 veces el BPA de 2026e. Hoy ≈ 24-25 veces nuestro BPA de los próximos 12 meses: el mercado paga por el dividendo y los tipos suizos casi nulos, no por crecimiento.</w:t>
      </w:r>
    </w:p>
    <w:p>
      <w:pPr>
        <w:pStyle w:val="Heading1"/>
      </w:pPr>
      <w:r>
        <w:t xml:space="preserve">18. Comparables cotizados</w:t>
      </w:r>
    </w:p>
    <w:p>
      <w:pPr>
        <w:pStyle w:val="Confianza"/>
        <w:spacing w:after="100"/>
      </w:pPr>
      <w:r>
        <w:t xml:space="preserve">Confianza: Media</w:t>
      </w:r>
    </w:p>
    <w:p>
      <w:pPr>
        <w:spacing w:after="100"/>
      </w:pPr>
      <w:r>
        <w:t xml:space="preserve">Operadores integrados europeos cotizados con datos completos en Yahoo [21]: Sunrise (el rival suizo), TIM (rival en Italia), Deutsche Telekom, Orange, Telefónica, Vodafone, KPN, Proximus, Telenor, Telia, Tele2 y Elisa. Se excluye INWIT (torres, otro negocio). Sunrise no entra en la mediana del PER (pérdida en 2026). El EV/EBITDA de Yahoo es en base NIIF 16 (EBITDA antes de arrendamientos) y no se puede comparar con el EBITDAaL de este informe: no se usa (ni el de los últimos ni el de los próximos 12 meses); el consenso de EBITDA de la empresa sí es EBITDAaL, la misma base que las cuentas. Capitalización en millones de CHF al tipo del BCE del 19-oct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Swisscom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Telekom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KPN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Proximus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Telecom Italia (TIM)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Telefónica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Vodafone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82"/>
        <w:gridCol w:w="1056"/>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13,3x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2,7x / 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Swisscom cotiza a ≈ 24 veces el BPA de los próximos 12 meses del consenso de la empresa (672 ÷ 28,1) frente a una mediana de 13,3 veces de las telecos europeas [21, 22]. La prima tiene parte de razón: el bono suizo a 10 años rinde un 0,59 % frente al 2,6-3 % del alemán, el riesgo de Swisscom es de calificación A y la Confederación garantiza la estabilidad [23]. Pero es muy grande: incluso los nórdicos de más calidad (Telia, Tele2, Elisa) cotizan a 14-18 veces. Su EV/EBITDA de Yahoo (11,8 en base NIIF 16) también está entre los más altos del grupo [21]. Múltiplo de referencia de los comparables: 13,3 veces, que el motor usa como suelo del alcista; pesa poco porque los tipos suizos no son los europeos.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Vodafone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Swisscom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8.000 M EUR de valor empresa; 7,8 veces el EBITDAaL antes de sinergias y 5,1 con ellas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Sunrise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Liberty Global (UPC)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EV/EBITDAaL antes de sinergias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Negocios de Liberty Global en Alemania y Europa del Este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Vodafone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 Hem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Telenet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Jazztel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Vodafone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(7,9x – 11,9x)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784,26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527,48 – 923,65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Compras de operadores convergentes en Europa a 7,7-13,4 veces el EBITDAaL antes de sinergias (media de 10,6) [9]. No sirven para valorar Swisscom: la Confederación debe tener la mayoría por ley y no puede haber una oferta de control. Sirven para ver que Vodafone Italia se compró barata (7,8 veces).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(−2,2 %, fijo) en la guía de 14.700-14.900 M y en el consenso (14.714 M): el euro más débil resta un punto, Italia pierde el operador virtual de PosteMobile y los precios bajan en Suiza [7, 22]. 2027e-2028e planos (−0,4 % y 0,0 %), como el consenso (14.640 y 14.644 M) [22]. Después, +0,2-0,5 %: Suiza estable y algo de precio en Italia tras la consolidación. Sin crecimiento real: es una empresa madura.</w:t>
      </w:r>
    </w:p>
    <w:p>
      <w:pPr>
        <w:keepNext/>
        <w:spacing w:after="100"/>
      </w:pPr>
      <w:r>
        <w:rPr>
          <w:b/>
          <w:bCs/>
        </w:rPr>
        <w:t xml:space="preserve">Márgenes.</w:t>
      </w:r>
    </w:p>
    <w:p>
      <w:pPr>
        <w:spacing w:after="100"/>
      </w:pPr>
      <w:r>
        <w:t xml:space="preserve">Margen EBITDAaL del 34,6 % en 2026e (5.092 M; guía 5.000-5.100, consenso 5.079) que sube al 35,8 % en 2029e por las sinergias de Vodafone Italia (≈ 600 M EUR anuales en 2029, más de 300 M en 2026) menos la erosión de precios [7, 22]. El consenso llega al 36,1 % en 2029: nuestro margen final queda algo por debajo, porque Suiza pierde ≈ 30 M de EBITDAaL al año [22].</w:t>
      </w:r>
    </w:p>
    <w:p>
      <w:pPr>
        <w:keepNext/>
        <w:spacing w:after="100"/>
      </w:pPr>
      <w:r>
        <w:rPr>
          <w:b/>
          <w:bCs/>
        </w:rPr>
        <w:t xml:space="preserve">Inversión y circulante.</w:t>
      </w:r>
    </w:p>
    <w:p>
      <w:pPr>
        <w:spacing w:after="100"/>
      </w:pPr>
      <w:r>
        <w:t xml:space="preserve">Inversión del 20,6 % de las ventas en 2026e (guía 3.000-3.100 M) que baja al 19,2-19,6 % cuando termina la integración y el despliegue de fibra (consenso 2.841 M en 2028) [7, 22]. Amortización sin derechos de uso del 21,8 % al 19,6 % (21,0 % en 2025 y ≈ 22 % en el 1S26), igual a la inversión al final. Circulante del 2 % de las ventas, el de 2025.</w:t>
      </w:r>
    </w:p>
    <w:p>
      <w:pPr>
        <w:keepNext/>
        <w:spacing w:after="100"/>
      </w:pPr>
      <w:r>
        <w:rPr>
          <w:b/>
          <w:bCs/>
        </w:rPr>
        <w:t xml:space="preserve">Coste del capital.</w:t>
      </w:r>
    </w:p>
    <w:p>
      <w:pPr>
        <w:spacing w:after="100"/>
      </w:pPr>
      <w:r>
        <w:t xml:space="preserve">Tasa libre del 0,6 % (bono de la Confederación a 10 años, 0,586 % el 30-sep-2026 [23]); beta de 0,70, por encima de las medidas (0,46 mensual a 5 años; 0,64 ajustada [20]) porque el negocio italiano es más arriesgado; prima del 5,5 % más 0,8 puntos por la exposición a Italia (45 % de las ventas); coste de la deuda del 2,0 % antes de impuestos (1,85 % medio hoy, 3,1-3,6 % en las emisiones en euros) [4]; peso de la deuda del 26 % (deuda financiera de 13.021 M frente a 34.811 M de capitalización). WACC del 4,31 %, cerca del 3,89 % de la prueba de deterioro de Suiza y por debajo del 5,51 % de Italia [1].</w:t>
      </w:r>
    </w:p>
    <w:p>
      <w:pPr>
        <w:keepNext/>
        <w:spacing w:after="100"/>
      </w:pPr>
      <w:r>
        <w:rPr>
          <w:b/>
          <w:bCs/>
        </w:rPr>
        <w:t xml:space="preserve">Valor terminal.</w:t>
      </w:r>
    </w:p>
    <w:p>
      <w:pPr>
        <w:spacing w:after="100"/>
      </w:pPr>
      <w:r>
        <w:t xml:space="preserve">Crecimiento a perpetuidad del 0,5 %, entre el 0 % que usa la empresa para Suiza y el 2 % de Italia en sus pruebas de deterioro, y por debajo de la inflación suiza esperada (≈ 0,5-1 %) [1]. Queda casi igual que la tasa libre (0,6 %): con tipos suizos tan bajos la regla habitual (g por debajo de la tasa libre menos medio punto) daría un 0,1 %, y con g del 0 % el DCF bajaría a 644 CHF. El múltiplo implícito de salida es de 9,8 veces el EBITDAaL, cerca de las compras europeas (media de 10,6) [9].</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694,60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980,21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(reinvierte el 162 %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(histórico: -3,2 %)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frente al -0,1 %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-954 M, con un capex bruto medio del 19,7 % de las ventas). En un negocio de activos ligeros, el crecimiento medio del -0,1 %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(PosteMobile, banda ancha suiza −2 %), precio −0,7 % (marcas baratas en Suiza, Italia) y −1,0 % de tipo de cambio (euro): guía de 14.700-14.900 M [4,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−0,2 % cada uno: Suiza sigue cediendo y Italia se estabiliza; consenso −0,5 %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Plano: igual que el consenso (14.644 M)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+0,2 % (TI y nube para empresas, 5G autónomo).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+0,3 % y precio +0,2 % (Italia más ordenada tras la consolidación).</w:t>
            </w:r>
          </w:p>
        </w:tc>
      </w:tr>
    </w:tbl>
    <w:p>
      <w:pPr>
        <w:spacing w:after="160" w:before="0"/>
      </w:pPr>
    </w:p>
    <w:p>
      <w:pPr>
        <w:spacing w:after="100"/>
      </w:pPr>
      <w:r>
        <w:t xml:space="preserve">El crecimiento proyectado es de −0,1 % anual de media (2026e-2032e), frente a un 7,7 % histórico que es todo de la compra de Vodafone Italia; en perímetro constante las ventas bajaron un 2,0 % en 2025 [1]. No hace falta capital nuevo: la inversión es la de mantenimiento y la reinversión neta acumulada es negativa (la amortización supera a la inversión mientras termina la integración). Lo que hay que creer es el margen, no el crecimiento: las sinergias ya van por delante del plan (166 M EUR en el 1S26) [7]. Riesgo a la baja: que la erosión de precios en Suiza y en Italia se coma las sinergias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(base: 0,2 %)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34,7 % (base: 35,8 %)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4,3 %)</w:t>
            </w:r>
          </w:p>
        </w:tc>
      </w:tr>
    </w:tbl>
    <w:p>
      <w:pPr>
        <w:spacing w:after="160" w:before="0"/>
      </w:pPr>
    </w:p>
    <w:p>
      <w:pPr>
        <w:spacing w:after="100"/>
      </w:pPr>
      <w:r>
        <w:t xml:space="preserve">El DCF da 737,65 CHF por acción, un 9,8 % sobre el precio, con un WACC del 4,31 % y un valor terminal que pesa el 79 %. Es muy sensible a la tasa: con medio punto más de WACC baja a 624,77 y con medio punto menos sube a 884,73; con crecimiento a perpetuidad del 0 %, 644,31. El DCF inverso dice que el precio descuenta un −1,1 % anual de crecimiento con nuestro margen, frente al +0,2 % de nuestro base: el mercado pide algo menos de lo que proyectamos. La rentabilidad implícita en el precio es del 4,6 % anual, apenas por encima del WACC: precio justo, sin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Iliad y los virtuales siguen bajando precios en Italia, la AGCM bloquea o condiciona el acuerdo con TIM, Suiza pierde un 1-2 % de ventas al año por las marcas baratas y la regulación de la fibra, y las sinergias no compensan: un punto menos de crecimiento, 1,5 puntos menos de margen y WACC 0,3 puntos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planas, margen EBITDAaL del 34,6 % al 35,8 % por las sinergias de Vodafone Italia, inversión que baja al 19,4 % de las ventas y dividendo de 27-29 CHF.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consolidación italiana ordena precios, el acuerdo de torres con TIM ahorra costes y libera caja, y la TI e IA para empresas suizas crece: medio punto más de crecimiento y 0,8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CHF) · precio actual 67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690,31 CHF (+2,7 %).</w:t>
      </w:r>
    </w:p>
    <w:p>
      <w:pPr>
        <w:spacing w:after="100"/>
      </w:pPr>
      <w:r>
        <w:t xml:space="preserve">La asimetría es desfavorable: el alcista vale 813,30 CHF (+21,0 %) y el bajista 472,62 (−29,7 %), 0,71 veces. Con un WACC del 4,3 % y el valor terminal en el 79 %, un punto y medio de margen mueve el valor un 36 %; el precio solo está cubierto en el caso base.</w:t>
      </w:r>
    </w:p>
    <w:p>
      <w:pPr>
        <w:pStyle w:val="Heading1"/>
      </w:pPr>
      <w:r>
        <w:t xml:space="preserve">22. Suma de partes</w:t>
      </w:r>
    </w:p>
    <w:p>
      <w:pPr>
        <w:pStyle w:val="Confianza"/>
        <w:spacing w:after="100"/>
      </w:pPr>
      <w:r>
        <w:t xml:space="preserve">Confianza: Media</w:t>
      </w:r>
    </w:p>
    <w:p>
      <w:pPr>
        <w:spacing w:after="100"/>
      </w:pPr>
      <w:r>
        <w:t xml:space="preserve">No se aplica: Suiza (3.362 M de EBITDAaL en 2025, margen del 43 %) e Italia (1.580 M, 23 %) se podrían valorar por separado, pero la Confederación debe conservar la mayoría del conjunto y no hay intención de vender Italia; la venta de torres en Italia (acuerdo con TIM) es la única separación de activos en marcha [1, 22].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CHF) · precio actual 67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682,32 CHF (+1,5 % sobre 672,00).</w:t>
      </w:r>
    </w:p>
    <w:p>
      <w:pPr>
        <w:spacing w:after="100"/>
      </w:pPr>
      <w:r>
        <w:t xml:space="preserve">Pesos: DCF 50 %, escenarios 40 % y comparables 10 %; transacciones 0 % (la Confederación no puede vender el control). El DCF manda porque es un negocio estable de flujos predecibles, pero con tipos suizos casi nulos el valor depende de la tasa: con la prima implícita del mercado (4,2 %, WACC 3,6 %) el valor sube a 863,33 CHF. Los comparables (PER de 13,3 veces) dan solo 373,75 CHF: las telecos europeas cotizan con tipos de interés más altos y peor calidad, y por eso pesan poco. Valor intrínseco ponderado: 682,32 CHF, un 1,5 % sobre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(24.8x) ÷ 1.1 (tope: la mediana de 5 años, 17x,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spacing w:after="100"/>
      </w:pPr>
      <w:r>
        <w:rPr>
          <w:b/>
          <w:bCs/>
        </w:rPr>
        <w:t xml:space="preserve">Objetivo a 12 meses (ponderado):</w:t>
      </w:r>
      <w:r>
        <w:t xml:space="preserve"> 611,60 CHF · rentabilidad -5,1 % (base +3,3 %) · señal Mantener.</w:t>
      </w:r>
    </w:p>
    <w:p>
      <w:pPr>
        <w:spacing w:after="100"/>
      </w:pPr>
      <w:r>
        <w:t xml:space="preserve">Para comparar, con la regla v2 (historia al cierre, mismo precio): 14,5x / 16,4x / 16,9x, -26,0 % Vender; con el tope anterior del base (×1,3, 14-oct mediodía): -11,9 %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queda un 3-5 % por debajo del consenso que recopila la empresa: 25,78 frente a 26,64 CHF en 2026e, 27,45 frente a 28,46 en 2027e y 29,69 frente a 31,20 en 2028e [22]. El EBITDAaL es casi el mismo (5.189 frente a 5.223 M en 2028e); la diferencia está debajo: mantenemos un resultado financiero de −235/−255 M (el ritmo del 1S26, con la deuda nueva en euros al 3,1-3,6 %) frente a ≈ −210 M implícitos en el consenso, y una amortización algo mayor [4]. Yahoo da 28,25 y 31,22 CHF para 2026-2027 con 11 analistas, más alto aún [21].</w:t>
      </w:r>
    </w:p>
    <w:p>
      <w:pPr>
        <w:keepNext/>
        <w:spacing w:after="100"/>
      </w:pPr>
      <w:r>
        <w:rPr>
          <w:b/>
          <w:bCs/>
        </w:rPr>
        <w:t xml:space="preserve">Del valor intrínseco al objetivo a 12 meses.</w:t>
      </w:r>
    </w:p>
    <w:p>
      <w:pPr>
        <w:spacing w:after="100"/>
      </w:pPr>
      <w:r>
        <w:t xml:space="preserve">El objetivo a 12 meses (611,60 CHF, ponderado) queda un 9,0 % bajo el precio (−5,1 % con el dividendo de 27 CHF) y el base (668,03 CHF) da un +3,3 % con dividendo. El PER de la regla para el base es de 22,5 veces: el actual (24,8) no puede bajar más de un 10 % en un año aunque la mediana de cinco años sea de 17,0. El bajista (15,3 veces × 25,91 = 396,42 CHF, −37 %) pesa mucho porque la historia adelantada de Swisscom fue de 13,5-17,6 veces antes de comprar Vodafone Italia. Los analistas esperan menos aún (575,76 CHF de media).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EBITDAaL del trimestre frente a 1.291 M del consenso; avance de sinergias y de las ventas italianas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definitivo de torres con TIM (≈ 6.000 emplazamientos)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en Italia; +0,3 veces de deuda / EBITDA según la empresa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consejero delegado y director financiero de Swisscom Suiza (Wierzbitzki, Stettler)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la gestión de Suiza y del grupo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dividendo de 27 CHF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frente al consenso (EBITDAaL 5.092 M); posible dividendo de 28 CHF por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AGCM sobre el acuerdo de torres y red con TIM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o bloqueo de las sinergias de red en Italia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contrato exclusivo con INWIT (modelo de varios proveedores)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en alquiler de torres en Italia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del Banco Nacional Suizo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se mueve como un bono: bajadas de tipos la suben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24,8 veces el BPA de los próximos 12 meses frente a una mediana adelantada de cinco años de 17,0 y a 13,3 de las telecos europeas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−35 % si el PER vuelve a 16-18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suizos del 0,6 % y dividendo del 4 % sostienen el múltiplo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tipos en Suiza o recortes del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Italia: Iliad y los virtuales bajan precios; pérdida de PosteMobile (−20 % de líneas mayoristas); ventas italianas −3,3 % en 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 600 M EUR anuales en 2029; primer operador móvil del país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EBITDAaL de Italia por debajo de 1.800 M EUR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precios en Suiza: Supervisor de Precios (fibra oscura a 24 CHF/mes), COMCO, servicio universal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octubre de 2026 por dos años; multa de la fibra anulada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decisiones de la COMCO o del Supervisor de Precios sobre tarifas mayoristas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tras Vodafone Italia: 13.021 M de deuda financiera (15.935 M con arrendamientos), 2,4 veces el EBITDA con tope de 2,4 del Consejo Federal; la nueva en euros cuesta un 3,1-3,6 %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94-95 % a tipo fijo, vida media de 5,5 años, líneas de 2.900 M sin usar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 EBITDA por encima de 2,4 veces o rebaja de rating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Italia (1.893 M; prueba con crecimiento del 2 % a perpetuidad)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caja; −1 a −2 % por la señal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por delante del plan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italianas que siguen cayendo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 de control público (Confederación, 50,95 %)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 el alcista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Estabilidad, rating y dividendo protegidos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estratégicos que pidan más inversión en Suiza o menos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automatización de los servicios de TI a empresas y competencia de los grandes de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conectividad física no se sustituye; plataforma de IA soberana suiza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las ventas de TI (2.005 M en 2025) por encima del 5 % anual</w:t>
            </w:r>
          </w:p>
        </w:tc>
      </w:tr>
    </w:tbl>
    <w:p>
      <w:pPr>
        <w:spacing w:after="160" w:before="0"/>
      </w:pPr>
    </w:p>
    <w:p>
      <w:pPr>
        <w:pStyle w:val="Heading2"/>
      </w:pPr>
      <w:r>
        <w:t xml:space="preserve">Pre-mortem</w:t>
      </w:r>
    </w:p>
    <w:p>
      <w:pPr>
        <w:spacing w:after="100"/>
      </w:pPr>
      <w:r>
        <w:t xml:space="preserve">Octubre de 2027: la acción ha perdido un 30 %. Los resultados no fueron malos (EBITDAaL en la guía), pero el Banco Nacional Suizo subió tipos con la inflación, el bono a 10 años pasó del 0,6 % al 1,5 % y los inversores de dividendo se fueron a la renta fija; a la vez, la AGCM condicionó el acuerdo con TIM, Italia volvió a caer un 3 % y el mercado dejó de pagar 24 veces por un negocio que no crece. El PER volvió a 17 veces, su media de antes de Vodafone Italia.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3-5 años</w:t>
      </w:r>
    </w:p>
    <w:p>
      <w:pPr>
        <w:spacing w:after="100"/>
      </w:pPr>
      <w:r>
        <w:t xml:space="preserve">La IA no sustituye lo que da el 85 % de las ventas: la conectividad física (fibra, móvil, red) que, al contrario, más tráfico de IA hace más necesaria. Riesgo moderado en la parte de servicios de TI a empresas suizas (2.005 M CHF en 2025): la IA automatiza integración y soporte, y los grandes de la nube compiten en IA y datos. A favor: atención al cliente y operación de red más baratas (plantilla suiza −4,6 % en un año) y venta de IA «soberana» a empresas y administración suizas que no quieren datos fuera del país [1, 11]. Conclusión: riesgo bajo, más oportunidad de coste que amenaza de ingresos.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(17,2)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Platino (86/100)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Lo material es la seguridad y disponibilidad de la red (infraestructura crítica de Suiza, servicio universal hasta 2031), la ciberseguridad y la protección de datos, el consumo eléctrico de redes y centros de datos (objetivo de cero emisiones netas en 2035), y el trato a clientes y empleados en la integración italiana (−4,6 % de plantilla en Suiza en el último año) [1, 11].</w:t>
      </w:r>
    </w:p>
    <w:p>
      <w:pPr>
        <w:pStyle w:val="Heading2"/>
      </w:pPr>
      <w:r>
        <w:t xml:space="preserve">Controversias</w:t>
      </w:r>
    </w:p>
    <w:p>
      <w:pPr>
        <w:spacing w:after="100"/>
      </w:pPr>
      <w:r>
        <w:t xml:space="preserve">Procedimientos de la COMCO sobre la construcción de la fibra (la multa de 18,4 M CHF fue anulada en octubre de 2026; quedan otros abiertos) y caídas de la red de emergencias en años anteriores [1, 15]. En Italia, investigación de la AGCM sobre el acuerdo de torres y red con TIM [16].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estabilizan las ventas italianas (−3,3 % en el 1S26) y cuánto de la caída es PosteMobile frente a precios?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sinergias solo suben el BPA si las ventas dejan de caer.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 600 M EUR de sinergias en 2029 es coste ya asegurado y cuánto depende del acuerdo con TIM y de INWIT?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margen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caja y cuánta deuda añade el acuerdo de torres con TIM, y qué pasa si la AGCM lo condiciona?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 veces de deuda con el tope del Consejo Federal en 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subir el dividendo por encima de 27 CHF con un flujo libre de ≈ 1.500-1.700 M y 1.400 M de dividendo?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sostiene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dónde llega la caída de clientes de banda ancha (−2,1 % anual) y de la TI para empresas?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es el 68 % del EBITDAaL.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baja la inversión tras 2027 (fibra al 60-80 % y 5G autónomo)?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punto de ventas son ≈ 150 M de flujo libre.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cobertura; el último artículo de opinión (25-may-2026) recomienda mantenerse fuera por la desconexión entre valoración y crecimiento; antes, uno más positivo sobre las sinergias de Vodafone Italia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suizos la ven como «perla del dividendo» y refugio; la prensa recoge las rebajas por valoración (Morgan Stanley, ZKB) y la duda sobre cuánto más puede subir tras el +25 % de enero-febrero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getquin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de dividendos que la mantienen a largo plazo; poco debate sobre Italia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seguro y creciente (26 → 27 CHF)</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pero ajustado: el dividendo se lleva ≈ 80-90 % del flujo libre y del beneficio; subirlo más exige que Italia mejore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 frente a las telecos europeas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 24 veces el BPA frente a ≈ 13 de la mediana europea; la prima solo la justifican los tipos suizos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 sinergias frente a guerra de precios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sinergias van por delante del plan (166 M EUR en el 1S26), pero las ventas italianas caen un 3,3 %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del SMI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fondos indexados ya ejecutadas el 18-sep; efecto pasado [29].</w:t>
            </w:r>
          </w:p>
        </w:tc>
      </w:tr>
    </w:tbl>
    <w:p>
      <w:pPr>
        <w:spacing w:after="160" w:before="0"/>
      </w:pPr>
    </w:p>
    <w:p>
      <w:pPr>
        <w:spacing w:after="100"/>
      </w:pPr>
      <w:r>
        <w:t xml:space="preserve">Los particulares suizos siguen viendo a Swisscom como un bono con dividendo y no la venden; los analistas, casi todos en mantener o vender, hablan solo de valoración. Ni euforia ni capitulación: no hay una oportunidad de sentimiento que aprovechar. Lo que el sentimiento no recoge y el informe sí: que el ROIC del grupo cayó al ≈ 6 % con Italia.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32 (20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2,0 %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(403 sin sesión); 2) búsqueda web de la transcripción; 3) web de relación con inversores de Swisscom (solo presentación y vídeo)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 presentación y la nota de resultados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tamaño del mercado (Suiza + Italia)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Swisscom 2021-2025 (solo tamaños aproximados); 2) AGCOM (Italia, solo 2025 en la misma base); 3) BAKOM/OFCOM (estadística suiza con dos años de retraso)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un solo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nominales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Exchange Regulation (anónimas por ley); 2) informe anual 2025 (solo tenencias al cierre);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en Suiza no se publican con nombre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concreta de la caída de junio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 empresa de junio de 2026 (ninguna); 2) cash.ch; 3) titulares de Seeking Alpha (RSS)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explica como movimiento de mercado y sector, sin causa concreta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(no hay registro público); 2) FINMA;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en Suiza no hay registro público de cortos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volumen (Stocktwits,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(sin símbolo SCMWY con actividad); 2) Reddit (no abre sin sesión); 3) búsqueda web de foros suizos (cash.ch, getquin)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cash.ch, getquin y Seeking Alpha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NIIF, segmentos, deuda, fondo de comercio, Vodafone Italia,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https://reports.swisscom.ch/download/2025/en/swisscom_geschaeftsbericht_gesamt_2025_en.pdf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(compra de Vodafone Italia al cierre de 2024, cuentas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https://reports.swisscom.ch/download/2024/en/swisscom_geschaeftsbericht_gesamt_2024_en.pdf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Reports 2021, 2022 y 2023 (cuentas, objetivos y su cumplimiento)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https://reports.swisscom.ch/download/2023/en/swisscom_geschaeftsbericht_gesamt_2023_en.pdf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Q2 2026 (1S26: cuenta, balance a 30-jun-2026, deuda, segmentos,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https://www.swisscom.ch/content/dam/assets/about/investoren/berichte/documents/2026/2026-q2-interim-report.pdf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Q1 2026 y Interim Reports Q1-Q3 2025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https://www.swisscom.ch/content/dam/assets/about/investoren/berichte/documents/2026/2026-q1-interim-report.pdf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FY Group P&amp;L and FCF restated (cambio de política de arrendamientos y reclasificación de costes directos)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https://www.swisscom.ch/content/dam/assets/about/investoren/berichte/documents/2026/2025-fy-group-p-l-and-fcf-restated.pdf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results presentation (guía 2026 confirmada, sinergias, deuda neta/EBITDA)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https://www.swisscom.ch/content/dam/assets/about/investoren/berichte/documents/2026/2026-q2-presentation.pdf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analyst presentation (guía 2026, dividendo de 27 CHF, objetivos de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https://www.swisscom.ch/content/dam/assets/about/investoren/berichte/documents/2026/swisscom-fy-2025-results-analyst-presentation.pdf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Vodafone Italia — analyst presentation (precio, múltiplos,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https://www.corrierecomunicazioni.it/wp-content/uploads/2024/03/swisscom-acquisition-vodafone-italia-analyst-presentation.pdf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nota de resultados del 1S26 («Swisscom confirms its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https://www.swisscom.ch/en/about/news/2026/08/06-report-q2-2026.html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Facts &amp; Figures (KPI operativos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https://www.swisscom.ch/content/dam/assets/about/investoren/berichte/documents/2026/2026-q2-facts-and-figures-per-march.pdf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Osservatorio sulle comunicazioni n. 2/2026 (cuotas de móvil y banda ancha fija en Italia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https://www.agcom.it/osservatorio-sulle-comunicazioni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(ventas, márgenes, deuda)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estratégicos del Consejo Federal para Swisscom 2026-2029 (tope de deuda de 2,4 veces, sin compras grandes en el extranjero)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Federal suizo / SRF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https://www.srf.ch/news/wirtschaft/strategische-ziele-swisscom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el Supervisor de Precios: tope de 24 CHF/mes para el alquiler de fibra oscura (ALO) prorrogado dos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 / Preisüberwacher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https://www.swisscom.ch/en/about/news.html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AGCM abre investigación a fondo del acuerdo de torres y red compartida TIM–Fastweb+Vodafone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AGCM (autoridad de competencia italiana) /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https://www.agcm.it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de Sunrise Communications (ventas y margen en Suiza)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Sunrise Communications AG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https://finance.yahoo.com/quote/SUNN.SW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las votaciones de la junta general del 25-mar-2026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https://www.swisscom.ch/content/dam/assets/about/governance/general-versammlung/documents/swisscom-resultate-2026.pdf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operaciones de directivos (SIX Exchange Regulation, anónimas)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https://www.ser-ag.com/en/resources/notifications-market-participants/management-transactions.html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SCMN.SW, SPI (índice) y STOXX Europe 600 Telecom (EXV2):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https://finance.yahoo.com/quote/SCMN.SW/history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Swisscom y comparables (BPA, ventas, objetivos, recomendaciones; precio a las 08:49 UTC del 20-oct):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https://finance.yahoo.com/quote/SCMN.SW/analysis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Consensus Q3 2026 (15 analistas, 8-oct-2026) y Q2 2026 (13 analistas, 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AG (recopilado de los 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https://www.swisscom.ch/content/dam/assets/about/investoren/documents/swisscom-q3-2026-results-analyst-consensus.pdf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al contado de la Confederación (10 años: 0,586 % 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 (data.snb.ch, cubo rendeiduebd)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https://data.snb.ch/api/cube/rendeiduebd/data/csv/en?fromDate=2026-01-01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del 19-oct-2026 (CHF 0,9261; NOK 10,5555; SEK 11,104; GBP 0,84205 por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ordinaria de índices de SIX: Swisscom sale del SMI y entra en el SMIM (efectiva el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https://www.six-group.com/dam/download/media/bfi/2607-index-adjustments.pdf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acciones a la baja y recomendaciones (Morgan Stanley vende; ZKB «infraponderar»; UBS neutral con 735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https://www.cash.ch/news/top-news/aktie-auf-sechs-monate-tief-smi-dividendenperle-am-donnerstag-im-anlegerfokus-946284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sobre Swisscom (SCMWY), nov-2025 a ago-2026 («Valuation Disconnect Means That I'd Stay Away», 25-may-2026)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https://seekingalpha.com/api/sa/combined/SCMWY.xml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«Swisscom und die Kurshausse — wieviel Steigerung geht noch?» y «Aktie auf Sechs-Monate-Tief: SMI-Dividendenperle im Anlegerfokus»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https://www.cash.ch/news/top-news/swisscom-und-die-kurshausse-wieviel-steigerung-geht-noch-912820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Swisscom en getquin (comunidad de inversores particulares)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https://app.getquin.com/de/aktie/CH0008742519/swisscom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theScreener en cash.ch (valoración «ligeramente infravalorada», revisiones de beneficio a la baja desde el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 theScreener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https://www.cash.ch/aktien/swisscom-n-874251/eux/chf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del analista: BPA 2026e-2028e en base EBITDAaL, historia del PER adelantado y puente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(informes/swisscom-2026-10-20/notas/propio.mjs)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informes/swisscom-2026-10-20/notas/propio.mjs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90,4 %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CHF, ejercicio natural. Línea cotizada: acción nominativa de Swisscom en SIX (SCMN, CHF); cuentas en CHF, sin conversión. Precio del informe: cierre del 19-oct-2026 (672,00 CHF); la sesión del 20-oct estaba abierta y a las 08:49 UTC (10:49 de Zúrich) cotizaba a 672,00 CHF (Yahoo; 671,50 en la herramienta de movimiento): la decisión no cambia [20, 21]. Base EBITDAaL: el EBITDA del informe es el EBITDAaL de la empresa (después de arrendamientos), el EBIT resta los intereses de arrendamientos y los arrendamientos (3.480 M a 30-jun-2026) no están en la deuda del puente ni en los múltiplos; el EV/EBITDA de los comparables de Yahoo (NIIF 16) no es comparable y no se usa [1, 21]. Swisscom no presenta en ESEF ni en la SEC: las cuentas se han tomado a mano de los informes anuales 2021-2025 (2024 reexpresado) y del informe del 1S26 [1, 4]. Italia en EUR convertida por la empresa. No hay ficha sectorial de telecomunicaciones en el repositorio (el encargo no permite crearla). Operaciones de directivos anónimas (Suiza) y sin registro público de cortos.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Swisscom AG (SCMN)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672,00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(545,00 – 727,00)</c:v>
                </c:pt>
                <c:pt idx="1">
                  <c:v>Precio objetivo de los analistas (460,00 – 735,00)</c:v>
                </c:pt>
                <c:pt idx="2">
                  <c:v>Comparables: PER NTM (313,33 – 463,67)</c:v>
                </c:pt>
                <c:pt idx="3">
                  <c:v>Transacciones precedentes (EV/EBITDA) (527,48 – 923,65)</c:v>
                </c:pt>
                <c:pt idx="4">
                  <c:v>DCF (WACC y g ± 0,5) (552,64 – 1.053,66)</c:v>
                </c:pt>
                <c:pt idx="5">
                  <c:v>Escenarios (bajista – alcista) (472,62 – 813,30)</c:v>
                </c:pt>
                <c:pt idx="6">
                  <c:v>DCF con la prima implícita del mercado (4,2 %)</c:v>
                </c:pt>
                <c:pt idx="7">
                  <c:v>Precio actual (672,00)</c:v>
                </c:pt>
              </c:strCache>
            </c:strRef>
          </c:cat>
          <c:val>
            <c:numRef>
              <c:f>Hoja1!$B$2:$B$9</c:f>
              <c:numCache>
                <c:formatCode>#,##0</c:formatCode>
                <c:ptCount val="8"/>
                <c:pt idx="0">
                  <c:v>545</c:v>
                </c:pt>
                <c:pt idx="1">
                  <c:v>460</c:v>
                </c:pt>
                <c:pt idx="2">
                  <c:v>313.33</c:v>
                </c:pt>
                <c:pt idx="3">
                  <c:v>527.48</c:v>
                </c:pt>
                <c:pt idx="4">
                  <c:v>552.64</c:v>
                </c:pt>
                <c:pt idx="5">
                  <c:v>472.62</c:v>
                </c:pt>
                <c:pt idx="6">
                  <c:v>784.07</c:v>
                </c:pt>
                <c:pt idx="7">
                  <c:v>668.64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(545,00 – 727,00)</c:v>
                </c:pt>
                <c:pt idx="1">
                  <c:v>Precio objetivo de los analistas (460,00 – 735,00)</c:v>
                </c:pt>
                <c:pt idx="2">
                  <c:v>Comparables: PER NTM (313,33 – 463,67)</c:v>
                </c:pt>
                <c:pt idx="3">
                  <c:v>Transacciones precedentes (EV/EBITDA) (527,48 – 923,65)</c:v>
                </c:pt>
                <c:pt idx="4">
                  <c:v>DCF (WACC y g ± 0,5) (552,64 – 1.053,66)</c:v>
                </c:pt>
                <c:pt idx="5">
                  <c:v>Escenarios (bajista – alcista) (472,62 – 813,30)</c:v>
                </c:pt>
                <c:pt idx="6">
                  <c:v>DCF con la prima implícita del mercado (4,2 %)</c:v>
                </c:pt>
                <c:pt idx="7">
                  <c:v>Precio actual (672,00)</c:v>
                </c:pt>
              </c:strCache>
            </c:strRef>
          </c:cat>
          <c:val>
            <c:numRef>
              <c:f>Hoja1!$C$2:$C$9</c:f>
              <c:numCache>
                <c:formatCode>#,##0</c:formatCode>
                <c:ptCount val="8"/>
                <c:pt idx="0">
                  <c:v>182</c:v>
                </c:pt>
                <c:pt idx="1">
                  <c:v>275</c:v>
                </c:pt>
                <c:pt idx="2">
                  <c:v>150.34000000000003</c:v>
                </c:pt>
                <c:pt idx="3">
                  <c:v>396.16999999999996</c:v>
                </c:pt>
                <c:pt idx="4">
                  <c:v>501.0200000000001</c:v>
                </c:pt>
                <c:pt idx="5">
                  <c:v>340.67999999999995</c:v>
                </c:pt>
                <c:pt idx="6">
                  <c:v>387.07000000000005</c:v>
                </c:pt>
                <c:pt idx="7">
                  <c:v>6.720000000000027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Suiza (Swisscom Switzerland)</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8233</c:v>
                </c:pt>
                <c:pt idx="1">
                  <c:v>8209</c:v>
                </c:pt>
                <c:pt idx="2">
                  <c:v>8147</c:v>
                </c:pt>
                <c:pt idx="3">
                  <c:v>7976</c:v>
                </c:pt>
                <c:pt idx="4">
                  <c:v>7868</c:v>
                </c:pt>
              </c:numCache>
            </c:numRef>
          </c:val>
        </c:ser>
        <c:ser>
          <c:idx val="1"/>
          <c:order val="1"/>
          <c:tx>
            <c:strRef>
              <c:f>Hoja1!$C$1</c:f>
              <c:strCache>
                <c:ptCount val="1"/>
                <c:pt idx="0">
                  <c:v>Italia (Fastweb + Vodafone)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2583</c:v>
                </c:pt>
                <c:pt idx="1">
                  <c:v>2493</c:v>
                </c:pt>
                <c:pt idx="2">
                  <c:v>2561</c:v>
                </c:pt>
                <c:pt idx="3">
                  <c:v>2672</c:v>
                </c:pt>
                <c:pt idx="4">
                  <c:v>6831</c:v>
                </c:pt>
              </c:numCache>
            </c:numRef>
          </c:val>
        </c:ser>
        <c:ser>
          <c:idx val="2"/>
          <c:order val="2"/>
          <c:tx>
            <c:strRef>
              <c:f>Hoja1!$D$1</c:f>
              <c:strCache>
                <c:ptCount val="1"/>
                <c:pt idx="0">
                  <c:v>Otros y eliminaciones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367</c:v>
                </c:pt>
                <c:pt idx="1">
                  <c:v>349</c:v>
                </c:pt>
                <c:pt idx="2">
                  <c:v>364</c:v>
                </c:pt>
                <c:pt idx="3">
                  <c:v>369</c:v>
                </c:pt>
                <c:pt idx="4">
                  <c:v>349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Suiza (Swisscom Switzerland)</c:v>
                </c:pt>
                <c:pt idx="1">
                  <c:v>Italia (Fastweb + Vodafone)</c:v>
                </c:pt>
                <c:pt idx="2">
                  <c:v>Otros y eliminaciones</c:v>
                </c:pt>
              </c:strCache>
            </c:strRef>
          </c:cat>
          <c:val>
            <c:numRef>
              <c:f>Hoja1!$B$2:$B$4</c:f>
              <c:numCache>
                <c:formatCode>General</c:formatCode>
                <c:ptCount val="3"/>
                <c:pt idx="0">
                  <c:v>52.3</c:v>
                </c:pt>
                <c:pt idx="1">
                  <c:v>45.4</c:v>
                </c:pt>
                <c:pt idx="2">
                  <c:v>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Suiza</c:v>
                </c:pt>
                <c:pt idx="1">
                  <c:v>Italia</c:v>
                </c:pt>
                <c:pt idx="2">
                  <c:v>Otros</c:v>
                </c:pt>
              </c:strCache>
            </c:strRef>
          </c:cat>
          <c:val>
            <c:numRef>
              <c:f>Hoja1!$B$2:$B$4</c:f>
              <c:numCache>
                <c:formatCode>0"%"</c:formatCode>
                <c:ptCount val="3"/>
                <c:pt idx="0">
                  <c:v>54.5</c:v>
                </c:pt>
                <c:pt idx="1">
                  <c:v>45.4</c:v>
                </c:pt>
                <c:pt idx="2">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(Suiza + Italia, 2025; un solo año comparable))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38300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Swisscom</c:v>
                </c:pt>
                <c:pt idx="1">
                  <c:v>Sunrise</c:v>
                </c:pt>
                <c:pt idx="2">
                  <c:v>Salt (privada, NJJ)</c:v>
                </c:pt>
                <c:pt idx="3">
                  <c:v>TIM</c:v>
                </c:pt>
                <c:pt idx="4">
                  <c:v>WindTre (CK Hutchison)</c:v>
                </c:pt>
                <c:pt idx="5">
                  <c:v>Iliad Italia</c:v>
                </c:pt>
                <c:pt idx="6">
                  <c:v>PosteMobile</c:v>
                </c:pt>
              </c:strCache>
            </c:strRef>
          </c:cat>
          <c:val>
            <c:numRef>
              <c:f>Hoja1!$B$2:$B$8</c:f>
              <c:numCache>
                <c:formatCode>0.0"%"</c:formatCode>
                <c:ptCount val="7"/>
                <c:pt idx="0">
                  <c:v>12.1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11183</c:v>
                </c:pt>
                <c:pt idx="1">
                  <c:v>11051</c:v>
                </c:pt>
                <c:pt idx="2">
                  <c:v>11072</c:v>
                </c:pt>
                <c:pt idx="3">
                  <c:v>11017</c:v>
                </c:pt>
                <c:pt idx="4">
                  <c:v>15048</c:v>
                </c:pt>
                <c:pt idx="5">
                  <c:v>14717</c:v>
                </c:pt>
                <c:pt idx="6">
                  <c:v>14658</c:v>
                </c:pt>
                <c:pt idx="7">
                  <c:v>14658</c:v>
                </c:pt>
                <c:pt idx="8">
                  <c:v>14687</c:v>
                </c:pt>
                <c:pt idx="9">
                  <c:v>14761</c:v>
                </c:pt>
                <c:pt idx="10">
                  <c:v>14835</c:v>
                </c:pt>
                <c:pt idx="11">
                  <c:v>14909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4177</c:v>
                </c:pt>
                <c:pt idx="1">
                  <c:v>4120</c:v>
                </c:pt>
                <c:pt idx="2">
                  <c:v>4334</c:v>
                </c:pt>
                <c:pt idx="3">
                  <c:v>4064</c:v>
                </c:pt>
                <c:pt idx="4">
                  <c:v>4984</c:v>
                </c:pt>
                <c:pt idx="5">
                  <c:v>5092</c:v>
                </c:pt>
                <c:pt idx="6">
                  <c:v>5116</c:v>
                </c:pt>
                <c:pt idx="7">
                  <c:v>5189</c:v>
                </c:pt>
                <c:pt idx="8">
                  <c:v>5258</c:v>
                </c:pt>
                <c:pt idx="9">
                  <c:v>5284</c:v>
                </c:pt>
                <c:pt idx="10">
                  <c:v>5311</c:v>
                </c:pt>
                <c:pt idx="11">
                  <c:v>5337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75.1</c:v>
                </c:pt>
                <c:pt idx="1">
                  <c:v>76.2</c:v>
                </c:pt>
                <c:pt idx="2">
                  <c:v>73.8</c:v>
                </c:pt>
                <c:pt idx="3">
                  <c:v>76.5</c:v>
                </c:pt>
                <c:pt idx="4">
                  <c:v>73.7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37.4</c:v>
                </c:pt>
                <c:pt idx="1">
                  <c:v>37.3</c:v>
                </c:pt>
                <c:pt idx="2">
                  <c:v>39.1</c:v>
                </c:pt>
                <c:pt idx="3">
                  <c:v>36.9</c:v>
                </c:pt>
                <c:pt idx="4">
                  <c:v>33.1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18.1</c:v>
                </c:pt>
                <c:pt idx="1">
                  <c:v>18.1</c:v>
                </c:pt>
                <c:pt idx="2">
                  <c:v>19.5</c:v>
                </c:pt>
                <c:pt idx="3">
                  <c:v>17.3</c:v>
                </c:pt>
                <c:pt idx="4">
                  <c:v>12.1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16.4</c:v>
                </c:pt>
                <c:pt idx="1">
                  <c:v>14.5</c:v>
                </c:pt>
                <c:pt idx="2">
                  <c:v>15.5</c:v>
                </c:pt>
                <c:pt idx="3">
                  <c:v>14</c:v>
                </c:pt>
                <c:pt idx="4">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-4.1</c:v>
                </c:pt>
                <c:pt idx="5">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76</c:v>
                </c:pt>
                <c:pt idx="1">
                  <c:v>74</c:v>
                </c:pt>
                <c:pt idx="2">
                  <c:v>71</c:v>
                </c:pt>
                <c:pt idx="3">
                  <c:v>96</c:v>
                </c:pt>
                <c:pt idx="4">
                  <c:v>60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c:v>
                </c:pt>
                <c:pt idx="1">
                  <c:v>9</c:v>
                </c:pt>
                <c:pt idx="2">
                  <c:v>9</c:v>
                </c:pt>
                <c:pt idx="3">
                  <c:v>14</c:v>
                </c:pt>
                <c:pt idx="4">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88</c:v>
                </c:pt>
                <c:pt idx="2">
                  <c:v>87</c:v>
                </c:pt>
                <c:pt idx="3">
                  <c:v>139</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1515</c:v>
                </c:pt>
                <c:pt idx="1">
                  <c:v>1347</c:v>
                </c:pt>
                <c:pt idx="2">
                  <c:v>1487</c:v>
                </c:pt>
                <c:pt idx="3">
                  <c:v>1422</c:v>
                </c:pt>
                <c:pt idx="4">
                  <c:v>1446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1832</c:v>
                </c:pt>
                <c:pt idx="1">
                  <c:v>1602</c:v>
                </c:pt>
                <c:pt idx="2">
                  <c:v>1711</c:v>
                </c:pt>
                <c:pt idx="3">
                  <c:v>1542</c:v>
                </c:pt>
                <c:pt idx="4">
                  <c:v>1271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10.3</c:v>
                </c:pt>
                <c:pt idx="1">
                  <c:v>9.7</c:v>
                </c:pt>
                <c:pt idx="2">
                  <c:v>10.5</c:v>
                </c:pt>
                <c:pt idx="3">
                  <c:v>7.5</c:v>
                </c:pt>
                <c:pt idx="4">
                  <c:v>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4.3</c:v>
                </c:pt>
                <c:pt idx="1">
                  <c:v>4.3</c:v>
                </c:pt>
                <c:pt idx="2">
                  <c:v>4.3</c:v>
                </c:pt>
                <c:pt idx="3">
                  <c:v>4.3</c:v>
                </c:pt>
                <c:pt idx="4">
                  <c:v>4.3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16.9</c:v>
                </c:pt>
                <c:pt idx="1">
                  <c:v>14.6</c:v>
                </c:pt>
                <c:pt idx="2">
                  <c:v>15</c:v>
                </c:pt>
                <c:pt idx="3">
                  <c:v>13</c:v>
                </c:pt>
                <c:pt idx="4">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1.42</c:v>
                </c:pt>
                <c:pt idx="1">
                  <c:v>1.41</c:v>
                </c:pt>
                <c:pt idx="2">
                  <c:v>1.26</c:v>
                </c:pt>
                <c:pt idx="3">
                  <c:v>3.09</c:v>
                </c:pt>
                <c:pt idx="4">
                  <c:v>2.43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2028-2030</c:v>
                </c:pt>
                <c:pt idx="3">
                  <c:v>2031+</c:v>
                </c:pt>
              </c:strCache>
            </c:strRef>
          </c:cat>
          <c:val>
            <c:numRef>
              <c:f>Hoja1!$B$2:$B$5</c:f>
              <c:numCache>
                <c:formatCode>#,##0</c:formatCode>
                <c:ptCount val="4"/>
                <c:pt idx="0">
                  <c:v>1431</c:v>
                </c:pt>
                <c:pt idx="1">
                  <c:v>1844</c:v>
                </c:pt>
                <c:pt idx="2">
                  <c:v>3463</c:v>
                </c:pt>
                <c:pt idx="3">
                  <c:v>8247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45</c:v>
                </c:pt>
                <c:pt idx="1">
                  <c:v>69</c:v>
                </c:pt>
                <c:pt idx="2">
                  <c:v>65</c:v>
                </c:pt>
                <c:pt idx="3">
                  <c:v>7374</c:v>
                </c:pt>
                <c:pt idx="4">
                  <c:v>34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1141</c:v>
                </c:pt>
                <c:pt idx="1">
                  <c:v>1141</c:v>
                </c:pt>
                <c:pt idx="2">
                  <c:v>1141</c:v>
                </c:pt>
                <c:pt idx="3">
                  <c:v>1140</c:v>
                </c:pt>
                <c:pt idx="4">
                  <c:v>1140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8</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Confederación Suiza</c:v>
                </c:pt>
                <c:pt idx="1">
                  <c:v>UBS Fund Management</c:v>
                </c:pt>
                <c:pt idx="2">
                  <c:v>BlackRock</c:v>
                </c:pt>
                <c:pt idx="3">
                  <c:v>Consejeros y directivos</c:v>
                </c:pt>
              </c:strCache>
            </c:strRef>
          </c:cat>
          <c:val>
            <c:numRef>
              <c:f>Hoja1!$B$2:$B$5</c:f>
              <c:numCache>
                <c:formatCode>0.0"%"</c:formatCode>
                <c:ptCount val="4"/>
                <c:pt idx="0">
                  <c:v>50.95</c:v>
                </c:pt>
                <c:pt idx="1">
                  <c:v>3.46</c:v>
                </c:pt>
                <c:pt idx="2">
                  <c:v>3.44</c:v>
                </c:pt>
                <c:pt idx="3">
                  <c:v>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-5.3</c:v>
                </c:pt>
                <c:pt idx="1">
                  <c:v>19.4</c:v>
                </c:pt>
                <c:pt idx="2">
                  <c:v>-5</c:v>
                </c:pt>
                <c:pt idx="3">
                  <c:v>14.3</c:v>
                </c:pt>
                <c:pt idx="4">
                  <c:v>-3</c:v>
                </c:pt>
                <c:pt idx="5">
                  <c:v>12.7</c:v>
                </c:pt>
                <c:pt idx="6">
                  <c:v>2.5</c:v>
                </c:pt>
                <c:pt idx="7">
                  <c:v>3.7</c:v>
                </c:pt>
                <c:pt idx="8">
                  <c:v>3.8</c:v>
                </c:pt>
                <c:pt idx="9">
                  <c:v>19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19</c:v>
                </c:pt>
                <c:pt idx="2">
                  <c:v>-8.3</c:v>
                </c:pt>
                <c:pt idx="3">
                  <c:v>30.4</c:v>
                </c:pt>
                <c:pt idx="4">
                  <c:v>7.1</c:v>
                </c:pt>
                <c:pt idx="5">
                  <c:v>26.2</c:v>
                </c:pt>
                <c:pt idx="6">
                  <c:v>-15.1</c:v>
                </c:pt>
                <c:pt idx="7">
                  <c:v>7</c:v>
                </c:pt>
                <c:pt idx="8">
                  <c:v>7.8</c:v>
                </c:pt>
                <c:pt idx="9">
                  <c:v>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7.8</c:v>
                </c:pt>
                <c:pt idx="1">
                  <c:v>7.8</c:v>
                </c:pt>
                <c:pt idx="2">
                  <c:v>7.3</c:v>
                </c:pt>
                <c:pt idx="3">
                  <c:v>9.5</c:v>
                </c:pt>
                <c:pt idx="4">
                  <c:v>8.4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7.8</c:v>
                </c:pt>
                <c:pt idx="1">
                  <c:v>7.8</c:v>
                </c:pt>
                <c:pt idx="2">
                  <c:v>7.8</c:v>
                </c:pt>
                <c:pt idx="3">
                  <c:v>7.8</c:v>
                </c:pt>
                <c:pt idx="4">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Pt>
            <c:idx val="12"/>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Swisscom</c:v>
                </c:pt>
                <c:pt idx="1">
                  <c:v>Sunrise</c:v>
                </c:pt>
                <c:pt idx="2">
                  <c:v>Deutsche Telekom</c:v>
                </c:pt>
                <c:pt idx="3">
                  <c:v>Orange</c:v>
                </c:pt>
                <c:pt idx="4">
                  <c:v>KPN</c:v>
                </c:pt>
                <c:pt idx="5">
                  <c:v>Telenor</c:v>
                </c:pt>
                <c:pt idx="6">
                  <c:v>Telia</c:v>
                </c:pt>
                <c:pt idx="7">
                  <c:v>Proximus</c:v>
                </c:pt>
                <c:pt idx="8">
                  <c:v>Elisa</c:v>
                </c:pt>
                <c:pt idx="9">
                  <c:v>Tele2</c:v>
                </c:pt>
                <c:pt idx="10">
                  <c:v>Telecom Italia (TIM)</c:v>
                </c:pt>
                <c:pt idx="11">
                  <c:v>Telefónica</c:v>
                </c:pt>
                <c:pt idx="12">
                  <c:v>Vodafone</c:v>
                </c:pt>
              </c:strCache>
            </c:strRef>
          </c:cat>
          <c:val>
            <c:numRef>
              <c:f>Hoja1!$B$2:$B$14</c:f>
              <c:numCache>
                <c:formatCode>0.0"x"</c:formatCode>
                <c:ptCount val="13"/>
                <c:pt idx="0">
                  <c:v>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Vodafone Italia</c:v>
                </c:pt>
                <c:pt idx="1">
                  <c:v>Sunrise</c:v>
                </c:pt>
                <c:pt idx="2">
                  <c:v>Negocios de Liberty Global en Alemania y Europa del Este</c:v>
                </c:pt>
                <c:pt idx="3">
                  <c:v>Com Hem</c:v>
                </c:pt>
                <c:pt idx="4">
                  <c:v>BASE</c:v>
                </c:pt>
                <c:pt idx="5">
                  <c:v>EE</c:v>
                </c:pt>
                <c:pt idx="6">
                  <c:v>Jazztel</c:v>
                </c:pt>
                <c:pt idx="7">
                  <c:v>Ono</c:v>
                </c:pt>
              </c:strCache>
            </c:strRef>
          </c:cat>
          <c:val>
            <c:numRef>
              <c:f>Hoja1!$B$2:$B$9</c:f>
              <c:numCache>
                <c:formatCode>0.0"x"</c:formatCode>
                <c:ptCount val="8"/>
                <c:pt idx="0">
                  <c:v>7.8</c:v>
                </c:pt>
                <c:pt idx="1">
                  <c:v>10.4</c:v>
                </c:pt>
                <c:pt idx="2">
                  <c:v>11.7</c:v>
                </c:pt>
                <c:pt idx="3">
                  <c:v>12.6</c:v>
                </c:pt>
                <c:pt idx="4">
                  <c:v>7.7</c:v>
                </c:pt>
                <c:pt idx="5">
                  <c:v>7.9</c:v>
                </c:pt>
                <c:pt idx="6">
                  <c:v>13.4</c:v>
                </c:pt>
                <c:pt idx="7">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1724</c:v>
                </c:pt>
                <c:pt idx="1">
                  <c:v>1800</c:v>
                </c:pt>
                <c:pt idx="2">
                  <c:v>1965</c:v>
                </c:pt>
                <c:pt idx="3">
                  <c:v>2036</c:v>
                </c:pt>
                <c:pt idx="4">
                  <c:v>2005</c:v>
                </c:pt>
                <c:pt idx="5">
                  <c:v>1977</c:v>
                </c:pt>
                <c:pt idx="6">
                  <c:v>1979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10620</c:v>
                </c:pt>
                <c:pt idx="1">
                  <c:v>40170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672,00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472.62</c:v>
                </c:pt>
                <c:pt idx="1">
                  <c:v>737.65</c:v>
                </c:pt>
                <c:pt idx="2">
                  <c:v>813.3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672,00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(545,00 – 727,00)</c:v>
                </c:pt>
                <c:pt idx="1">
                  <c:v>Precio objetivo de los analistas (460,00 – 735,00)</c:v>
                </c:pt>
                <c:pt idx="2">
                  <c:v>Comparables: PER NTM (313,33 – 463,67)</c:v>
                </c:pt>
                <c:pt idx="3">
                  <c:v>Transacciones precedentes (EV/EBITDA) (527,48 – 923,65)</c:v>
                </c:pt>
                <c:pt idx="4">
                  <c:v>DCF (WACC y g ± 0,5) (552,64 – 1.053,66)</c:v>
                </c:pt>
                <c:pt idx="5">
                  <c:v>Escenarios (bajista – alcista) (472,62 – 813,30)</c:v>
                </c:pt>
                <c:pt idx="6">
                  <c:v>DCF con la prima implícita del mercado (4,2 %)</c:v>
                </c:pt>
                <c:pt idx="7">
                  <c:v>Precio actual (672,00)</c:v>
                </c:pt>
              </c:strCache>
            </c:strRef>
          </c:cat>
          <c:val>
            <c:numRef>
              <c:f>Hoja1!$B$2:$B$9</c:f>
              <c:numCache>
                <c:formatCode>#,##0</c:formatCode>
                <c:ptCount val="8"/>
                <c:pt idx="0">
                  <c:v>545</c:v>
                </c:pt>
                <c:pt idx="1">
                  <c:v>460</c:v>
                </c:pt>
                <c:pt idx="2">
                  <c:v>313.33</c:v>
                </c:pt>
                <c:pt idx="3">
                  <c:v>527.48</c:v>
                </c:pt>
                <c:pt idx="4">
                  <c:v>552.64</c:v>
                </c:pt>
                <c:pt idx="5">
                  <c:v>472.62</c:v>
                </c:pt>
                <c:pt idx="6">
                  <c:v>784.07</c:v>
                </c:pt>
                <c:pt idx="7">
                  <c:v>668.64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(545,00 – 727,00)</c:v>
                </c:pt>
                <c:pt idx="1">
                  <c:v>Precio objetivo de los analistas (460,00 – 735,00)</c:v>
                </c:pt>
                <c:pt idx="2">
                  <c:v>Comparables: PER NTM (313,33 – 463,67)</c:v>
                </c:pt>
                <c:pt idx="3">
                  <c:v>Transacciones precedentes (EV/EBITDA) (527,48 – 923,65)</c:v>
                </c:pt>
                <c:pt idx="4">
                  <c:v>DCF (WACC y g ± 0,5) (552,64 – 1.053,66)</c:v>
                </c:pt>
                <c:pt idx="5">
                  <c:v>Escenarios (bajista – alcista) (472,62 – 813,30)</c:v>
                </c:pt>
                <c:pt idx="6">
                  <c:v>DCF con la prima implícita del mercado (4,2 %)</c:v>
                </c:pt>
                <c:pt idx="7">
                  <c:v>Precio actual (672,00)</c:v>
                </c:pt>
              </c:strCache>
            </c:strRef>
          </c:cat>
          <c:val>
            <c:numRef>
              <c:f>Hoja1!$C$2:$C$9</c:f>
              <c:numCache>
                <c:formatCode>#,##0</c:formatCode>
                <c:ptCount val="8"/>
                <c:pt idx="0">
                  <c:v>182</c:v>
                </c:pt>
                <c:pt idx="1">
                  <c:v>275</c:v>
                </c:pt>
                <c:pt idx="2">
                  <c:v>150.34000000000003</c:v>
                </c:pt>
                <c:pt idx="3">
                  <c:v>396.16999999999996</c:v>
                </c:pt>
                <c:pt idx="4">
                  <c:v>501.0200000000001</c:v>
                </c:pt>
                <c:pt idx="5">
                  <c:v>340.67999999999995</c:v>
                </c:pt>
                <c:pt idx="6">
                  <c:v>387.07000000000005</c:v>
                </c:pt>
                <c:pt idx="7">
                  <c:v>6.720000000000027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