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ResMed Inc.</w:t>
      </w:r>
    </w:p>
    <w:p>
      <w:pPr>
        <w:spacing w:after="60"/>
        <w:rPr>
          <w:color w:val="52514E"/>
          <w:sz w:val="22"/>
          <w:szCs w:val="22"/>
        </w:rPr>
      </w:pPr>
      <w:r>
        <w:rPr>
          <w:color w:val="52514E"/>
          <w:sz w:val="22"/>
          <w:szCs w:val="22"/>
        </w:rPr>
        <w:t xml:space="preserve">RMD · New York Stock Exchange (también ASX mediante CDI) · ISIN US7611521078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235,04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282,46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+21,2 % (base +18,2 %)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197,29 USD · mercado 217,34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33.117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ResMed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RMD / US7611521078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 (también ASX mediante CDI)</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Equipos y suministros sanitarios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 Diego (California) · 1989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11.370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https://investor.resmed.com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235,04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180,27 – 277,67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33.117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32.754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286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282,46 USD</w:t>
      </w:r>
      <w:r>
        <w:t xml:space="preserve"> frente a 235,04 · Rentabilidad a 12 meses </w:t>
      </w:r>
      <w:r>
        <w:rPr>
          <w:b/>
          <w:bCs/>
        </w:rPr>
        <w:t xml:space="preserve">+21,2 % (base +18,2 %)</w:t>
      </w:r>
      <w:r>
        <w:t xml:space="preserve"> · Valor intrínseco 197,29 USD · con la prima implícita del mercado: 217,34 (-7,5 %) · Alcista / bajista -6,7 % / -37,9 %</w:t>
      </w:r>
    </w:p>
    <w:p>
      <w:pPr>
        <w:spacing w:after="100"/>
      </w:pPr>
      <w:r>
        <w:rPr>
          <w:b/>
        </w:rPr>
        <w:t xml:space="preserve">La recomendación y por qué.</w:t>
      </w:r>
      <w:r>
        <w:t xml:space="preserve"> Mantener con convicción media. La regla a 12 meses da un objetivo de 282,46 USD (+21,2 % ponderada y +18,2 % en el base con el dividendo), pero el valor intrínseco es de 197,29 USD, un 16,1 % por debajo del precio de 235,04 (cierre del 13-oct), así que no pasa el filtro de valor real y no es Comprar. El objetivo medio de los analistas (250,52) queda entre los dos. La razón en una frase: ResMed es barata frente a su historia (20,4 veces nuestro BPA de FY2027, mínimo de diez años), pero no frente a su caja descontada, porque el precio ya pide un crecimiento del 8 % anual que los GLP-1 y Philips ponen en duda. La convicción es media porque las dos lecturas apuntan en sentidos opuestos; subiría si el 1T27 (29-oct) muestra equipos creciendo más del 6 % a divisa constante, y bajaría si Philips anuncia su vuelta a EE. UU.</w:t>
      </w:r>
    </w:p>
    <w:p>
      <w:pPr>
        <w:spacing w:after="100"/>
      </w:pPr>
      <w:r>
        <w:rPr>
          <w:b/>
        </w:rPr>
        <w:t xml:space="preserve">El negocio.</w:t>
      </w:r>
      <w:r>
        <w:t xml:space="preserve"> Calidad: Sí. ResMed es el número uno mundial en CPAP y mascarillas para la apnea del sueño, con margen bruto del 62 %, margen operativo no GAAP del 36 % y un ROIC del 27,8 % frente a un WACC del 9,37 % (18,4 puntos de diferencia), sin necesidad de capital [2]. La sostenibilidad del crecimiento es «Sí»: proyectamos un 4,4 % anual, por debajo del mercado (7,2 %) y de su guía comparable (5-7 %), con poder de precios demostrado.</w:t>
      </w:r>
    </w:p>
    <w:p>
      <w:pPr>
        <w:spacing w:after="100"/>
      </w:pPr>
      <w:r>
        <w:rPr>
          <w:b/>
        </w:rPr>
        <w:t xml:space="preserve">Sector y riesgos de demanda.</w:t>
      </w:r>
      <w:r>
        <w:t xml:space="preserve"> Tres amenazas pesan. Los GLP-1: la tirzepatida está aprobada para la apnea desde diciembre de 2024 y Lilly vende un GLP-1 oral desde abril de 2026 [13, 16]; hoy llevan más pacientes a la consulta (inicios de terapia +11 %) y las ventas de equipos crecieron un 9 % en FY2026, pero a 3-5 años una pérdida de peso sostenida reduce la gravedad de la apnea. Philips: el consentimiento judicial le impide vender equipos nuevos en EE. UU. hasta que certifique sus fábricas, sin fecha [14]; su vuelta restaría cuota y precio. Aranceles: la exención del Protocolo de Nairobi se reconfirmó en agosto de 2026, con la investigación de la Sección 232 abierta [9, 19]. El riesgo de que la IA se coma el negocio es bajo: afecta al software de gestión (8 % de las ventas tras vender MatrixCare), no a los equipos ni a las mascarillas.</w:t>
      </w:r>
    </w:p>
    <w:p>
      <w:pPr>
        <w:spacing w:after="100"/>
      </w:pPr>
      <w:r>
        <w:rPr>
          <w:b/>
        </w:rPr>
        <w:t xml:space="preserve">Finanzas.</w:t>
      </w:r>
      <w:r>
        <w:t xml:space="preserve"> Ventas de 5.653 M (+10 %), beneficio de 1.523 M y caja libre de 1.650 M en FY2026; caja neta de 810 M antes de recompras posteriores [2]. Contabilidad limpia: cambio de auditor a PwC sin desacuerdos [8]. La guía de FY2027 (BPA no GAAP de 12,00-12,25) incluye 1.500 M de recompras.</w:t>
      </w:r>
    </w:p>
    <w:p>
      <w:pPr>
        <w:spacing w:after="100"/>
      </w:pPr>
      <w:r>
        <w:rPr>
          <w:b/>
        </w:rPr>
        <w:t xml:space="preserve">Equipo y gobierno.</w:t>
      </w:r>
      <w:r>
        <w:t xml:space="preserve"> Resta algo: presidente y consejero delegado en la misma persona, el fundador en el consejo, ventas de directivos de 22,3 M en 12 meses y un director financiero nuevo [10, 22, 24]; suma un variable ligado al rendimiento para el accionista que no ha pagado en los años malos.</w:t>
      </w:r>
    </w:p>
    <w:p>
      <w:pPr>
        <w:spacing w:after="100"/>
      </w:pPr>
      <w:r>
        <w:rPr>
          <w:b/>
        </w:rPr>
        <w:t xml:space="preserve">Valoración.</w:t>
      </w:r>
      <w:r>
        <w:t xml:space="preserve"> El DCF da 198,71 USD (221,50 con la prima del mercado). El DCF inverso pide un 8,0 % de crecimiento anual frente a nuestro 4,4 %. El bajista del DCF pierde un 37,9 %; la regla de múltiplos, un 21 %.</w:t>
      </w:r>
    </w:p>
    <w:p>
      <w:pPr>
        <w:spacing w:after="100"/>
      </w:pPr>
      <w:r>
        <w:rPr>
          <w:b/>
        </w:rPr>
        <w:t xml:space="preserve">Riesgos y catalizadores.</w:t>
      </w:r>
      <w:r>
        <w:t xml:space="preserve"> El mayor es un frenazo de los equipos en EE. UU. por GLP-1 y Philips a la vez (−26 % en el valor). Catalizadores: resultados del 29-oct, decisión de la FDA sobre el fármaco AD109 el 28-feb-2027 y cualquier noticia de Philips.</w:t>
      </w:r>
    </w:p>
    <w:p>
      <w:pPr>
        <w:spacing w:after="100"/>
      </w:pPr>
      <w:r>
        <w:rPr>
          <w:b/>
        </w:rPr>
        <w:t xml:space="preserve">Qué cambiaría la decisión.</w:t>
      </w:r>
      <w:r>
        <w:t xml:space="preserve"> Compraríamos por debajo de 197,29 USD (donde coinciden valor intrínseco y precio) y venderíamos por encima de 316,51. Pasaríamos a Vender si el crecimiento de equipos en EE. UU. baja del 4 % a divisa constante dos trimestres o el margen bruto no GAAP cae por debajo del 61 %.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282,46 USD</w:t>
      </w:r>
      <w:r>
        <w:t xml:space="preserve"> (rentabilidad +21,2 % (base +18,2 %)) · Valor intrínseco: 197,29 USD (-16,1 % sobre 235,04) · con la prima implícita del mercado: 217,34 (-7,5 %)</w:t>
      </w:r>
    </w:p>
    <w:p>
      <w:pPr>
        <w:spacing w:after="100"/>
      </w:pPr>
      <w:r>
        <w:t xml:space="preserve">ResMed es el líder mundial de la terapia de la apnea del sueño: 4.978 M USD de ventas de equipos y mascarillas en FY2026, con un modelo de reposición (la mascarilla se cambia varias veces al año) y más de 20 millones de equipos conectados [1]. Gana un 36 % operativo no GAAP y un ROIC del 27,8 % sin necesitar capital, y devuelve al accionista más de 1.850 M en FY2027 [2].</w:t>
      </w:r>
    </w:p>
    <w:p>
      <w:pPr>
        <w:spacing w:after="100"/>
      </w:pPr>
      <w:r>
        <w:t xml:space="preserve">El precio (235,04 USD, 20,4 veces nuestro BPA de FY2027) es el más bajo en diez años frente a su beneficio, porque el mercado teme que los GLP-1 y el regreso de Philips acaben con el crecimiento. Aun así, el DCF inverso pide un 8,0 % de crecimiento anual hasta FY2033 a un WACC del 9,37 %, casi el ritmo de la última década, y nuestro DCF vale 198,71.</w:t>
      </w:r>
    </w:p>
    <w:p>
      <w:pPr>
        <w:spacing w:after="100"/>
      </w:pPr>
      <w:r>
        <w:t xml:space="preserve">Para invertir hay que creer que los GLP-1 seguirán siendo un aliado (más diagnósticos) y que Philips tardará en volver o volverá débil. Los datos de hoy le dan la razón a ResMed (equipos +9 %, inicios +11 % con GLP-1 [9]), pero son de corto plazo. A este precio el riesgo y el potencial se compensan: la regla de múltiplos da +21 % y el DCF −16 %.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282,46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 × 10,99 = 185,73 · 22,0x × 12,52 = 275,44 · 29,7x × 13,24 = 393,23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21,2 % / 18,2 %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250,52 (nuestro base +9,9 %)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197,29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 / -37,9 %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 frente a 9,4 % y 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217,34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 frente a 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197,29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197,29 y 316,51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316,51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197,29 USD sin cambio en las cifras, pasaríamos a Comprar (valor intrínseco ≥ precio y la regla a 12 meses ya da más del 15 %).</w:t>
      </w:r>
    </w:p>
    <w:p>
      <w:pPr>
        <w:pStyle w:val="ListParagraph"/>
        <w:numPr>
          <w:ilvl w:val="0"/>
          <w:numId w:val="2"/>
        </w:numPr>
        <w:spacing w:after="60"/>
      </w:pPr>
      <w:r>
        <w:t xml:space="preserve">Si el crecimiento de equipos en las Américas baja del 4 % a divisa constante dos trimestres seguidos, pasaríamos a Vender.</w:t>
      </w:r>
    </w:p>
    <w:p>
      <w:pPr>
        <w:pStyle w:val="ListParagraph"/>
        <w:numPr>
          <w:ilvl w:val="0"/>
          <w:numId w:val="2"/>
        </w:numPr>
        <w:spacing w:after="60"/>
      </w:pPr>
      <w:r>
        <w:t xml:space="preserve">Si Philips anuncia la vuelta a la venta de equipos nuevos en EE. UU., rebajaríamos el BPA de FY2028 un 10 % y revisaríamos.</w:t>
      </w:r>
    </w:p>
    <w:p>
      <w:pPr>
        <w:pStyle w:val="ListParagraph"/>
        <w:numPr>
          <w:ilvl w:val="0"/>
          <w:numId w:val="2"/>
        </w:numPr>
        <w:spacing w:after="60"/>
      </w:pPr>
      <w:r>
        <w:t xml:space="preserve">Si el margen bruto no GAAP cae por debajo del 61 %, revisaríamos el margen del caso base.</w:t>
      </w:r>
    </w:p>
    <w:p>
      <w:pPr>
        <w:pStyle w:val="ListParagraph"/>
        <w:numPr>
          <w:ilvl w:val="0"/>
          <w:numId w:val="2"/>
        </w:numPr>
        <w:spacing w:after="60"/>
      </w:pPr>
      <w:r>
        <w:t xml:space="preserve">Si el precio supera 316,51 USD,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Con un PER de 20 veces, el mercado descuenta que el crecimiento de ResMed se frena y que la empresa pasa de ser un compuesto de calidad a un fabricante maduro: los GLP-1 reducirán los pacientes y Philips recuperará cuota. A la vez, en el DCF a nuestro WACC, el precio todavía pide un 8 % de crecimiento anual.</w:t>
      </w:r>
    </w:p>
    <w:p>
      <w:pPr>
        <w:keepNext/>
        <w:spacing w:after="100"/>
      </w:pPr>
      <w:r>
        <w:rPr>
          <w:b/>
          <w:bCs/>
        </w:rPr>
        <w:t xml:space="preserve">Lo que creemos nosotros.</w:t>
      </w:r>
    </w:p>
    <w:p>
      <w:pPr>
        <w:spacing w:after="100"/>
      </w:pPr>
      <w:r>
        <w:t xml:space="preserve">Vemos un negocio de altísima calidad cuyo crecimiento razonable (4-6 %) vale algo menos que el precio a nuestro coste de capital, pero cuyo múltiplo ha caído más de lo que han caído las cifras: el BPA sigue creciendo un 10-15 % al año con recompras.</w:t>
      </w:r>
    </w:p>
    <w:p>
      <w:pPr>
        <w:keepNext/>
        <w:spacing w:after="100"/>
      </w:pPr>
      <w:r>
        <w:rPr>
          <w:b/>
          <w:bCs/>
        </w:rPr>
        <w:t xml:space="preserve">Por qué podemos tener razón.</w:t>
      </w:r>
    </w:p>
    <w:p>
      <w:pPr>
        <w:spacing w:after="100"/>
      </w:pPr>
      <w:r>
        <w:t xml:space="preserve">Los datos de FY2026 no muestran daño de los GLP-1 y Philips lleva cinco años fuera de los equipos de EE. UU. Si el 1T27 confirma el 6-7 % comparable, el múltiplo puede volver hacia las 22-24 veces; si no, el DCF marca el suelo razonable en torno a 200 USD.</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35,0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Calidad excepcional</w:t>
      </w:r>
      <w:r>
        <w:t xml:space="preserve">: ROIC del 27,8 % frente a un WACC del 9,37 % y margen bruto del 62 %.</w:t>
      </w:r>
    </w:p>
    <w:p>
      <w:pPr>
        <w:pStyle w:val="ListParagraph"/>
        <w:numPr>
          <w:ilvl w:val="0"/>
          <w:numId w:val="2"/>
        </w:numPr>
        <w:spacing w:after="60"/>
      </w:pPr>
      <w:r>
        <w:rPr>
          <w:b/>
        </w:rPr>
        <w:t xml:space="preserve">Múltiplo en mínimos de diez años</w:t>
      </w:r>
      <w:r>
        <w:t xml:space="preserve">: 20,4 veces nuestro BPA de FY2027 frente a una mediana de 23,8 veces.</w:t>
      </w:r>
    </w:p>
    <w:p>
      <w:pPr>
        <w:pStyle w:val="ListParagraph"/>
        <w:numPr>
          <w:ilvl w:val="0"/>
          <w:numId w:val="2"/>
        </w:numPr>
        <w:spacing w:after="60"/>
      </w:pPr>
      <w:r>
        <w:rPr>
          <w:b/>
        </w:rPr>
        <w:t xml:space="preserve">Recompras grandes</w:t>
      </w:r>
      <w:r>
        <w:t xml:space="preserve">: 1.500 M en FY2027, el 4,5 % de la capitalización.</w:t>
      </w:r>
    </w:p>
    <w:p>
      <w:pPr>
        <w:pStyle w:val="ListParagraph"/>
        <w:numPr>
          <w:ilvl w:val="0"/>
          <w:numId w:val="2"/>
        </w:numPr>
        <w:spacing w:after="60"/>
      </w:pPr>
      <w:r>
        <w:rPr>
          <w:b/>
        </w:rPr>
        <w:t xml:space="preserve">Los GLP-1, por ahora, ayudan</w:t>
      </w:r>
      <w:r>
        <w:t xml:space="preserve">: inicios de terapia un 11 % mayores en pacientes con GLP-1 y equipos +9 % en FY2026.</w:t>
      </w:r>
    </w:p>
    <w:p>
      <w:pPr>
        <w:pStyle w:val="ListParagraph"/>
        <w:numPr>
          <w:ilvl w:val="0"/>
          <w:numId w:val="2"/>
        </w:numPr>
        <w:spacing w:after="60"/>
      </w:pPr>
      <w:r>
        <w:rPr>
          <w:b/>
        </w:rPr>
        <w:t xml:space="preserve">Balance con caja neta</w:t>
      </w:r>
      <w:r>
        <w:t xml:space="preserve"> de 810 M y caja libre de 1.650 M al año.</w:t>
      </w:r>
    </w:p>
    <w:p>
      <w:pPr>
        <w:pStyle w:val="Heading2"/>
      </w:pPr>
      <w:r>
        <w:t xml:space="preserve">En contra</w:t>
      </w:r>
    </w:p>
    <w:p>
      <w:pPr>
        <w:pStyle w:val="ListParagraph"/>
        <w:numPr>
          <w:ilvl w:val="0"/>
          <w:numId w:val="2"/>
        </w:numPr>
        <w:spacing w:after="60"/>
      </w:pPr>
      <w:r>
        <w:rPr>
          <w:b/>
        </w:rPr>
        <w:t xml:space="preserve">Valor intrínseco por debajo del precio</w:t>
      </w:r>
      <w:r>
        <w:t xml:space="preserve">: 197,29 USD, un 16,1 % menos.</w:t>
      </w:r>
    </w:p>
    <w:p>
      <w:pPr>
        <w:pStyle w:val="ListParagraph"/>
        <w:numPr>
          <w:ilvl w:val="0"/>
          <w:numId w:val="2"/>
        </w:numPr>
        <w:spacing w:after="60"/>
      </w:pPr>
      <w:r>
        <w:rPr>
          <w:b/>
        </w:rPr>
        <w:t xml:space="preserve">Sustitutos con fecha</w:t>
      </w:r>
      <w:r>
        <w:t xml:space="preserve">: GLP-1 orales desde abril de 2026 y decisión de la FDA sobre AD109 el 28-feb-2027.</w:t>
      </w:r>
    </w:p>
    <w:p>
      <w:pPr>
        <w:pStyle w:val="ListParagraph"/>
        <w:numPr>
          <w:ilvl w:val="0"/>
          <w:numId w:val="2"/>
        </w:numPr>
        <w:spacing w:after="60"/>
      </w:pPr>
      <w:r>
        <w:rPr>
          <w:b/>
        </w:rPr>
        <w:t xml:space="preserve">Regreso de Philips</w:t>
      </w:r>
      <w:r>
        <w:t xml:space="preserve"> a EE. UU. sin fecha, con un 10-20 % del mercado de equipos en juego.</w:t>
      </w:r>
    </w:p>
    <w:p>
      <w:pPr>
        <w:pStyle w:val="ListParagraph"/>
        <w:numPr>
          <w:ilvl w:val="0"/>
          <w:numId w:val="2"/>
        </w:numPr>
        <w:spacing w:after="60"/>
      </w:pPr>
      <w:r>
        <w:rPr>
          <w:b/>
        </w:rPr>
        <w:t xml:space="preserve">Inflación que ya no compensa la productividad</w:t>
      </w:r>
      <w:r>
        <w:t xml:space="preserve"> y el Astral suspendido (75 M de ventas menos).</w:t>
      </w:r>
    </w:p>
    <w:p>
      <w:pPr>
        <w:pStyle w:val="ListParagraph"/>
        <w:numPr>
          <w:ilvl w:val="0"/>
          <w:numId w:val="2"/>
        </w:numPr>
        <w:spacing w:after="60"/>
      </w:pPr>
      <w:r>
        <w:rPr>
          <w:b/>
        </w:rPr>
        <w:t xml:space="preserve">Gobierno mejorable</w:t>
      </w:r>
      <w:r>
        <w:t xml:space="preserve">: presidente ejecutivo, fundador en el consejo y 22,3 M de ventas de directivos en un año.</w:t>
      </w:r>
    </w:p>
    <w:p>
      <w:pPr>
        <w:pStyle w:val="Heading2"/>
      </w:pPr>
      <w:r>
        <w:t xml:space="preserve">Qué tiene que pasar para que la tesis funcione</w:t>
      </w:r>
    </w:p>
    <w:p>
      <w:pPr>
        <w:spacing w:after="100"/>
      </w:pPr>
      <w:r>
        <w:t xml:space="preserve">La tesis depende de que los equipos sigan creciendo en EE. UU. pese a los GLP-1 y antes de que vuelva Philips. La señal de que no se cumple sería un crecimiento de equipos en las Américas por debajo del 4 % a divisa constante dos trimestres seguidos, o un anuncio de certificación de las fábricas de Philips Respironics.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equipos en las Américas (divisa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(4T26)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señal de los GLP-1 o de Philips.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no GAAP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62,3 % (4T26)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Inflación, precio y competencia.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mascarillas y otros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 (4T26)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base instalada y la reposición sostienen la tesis.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Estado del consentimiento judicial de Philips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Sin ventas de equipos nuevos en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Certificación de fábricas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Regreso del competidor.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Inicios de terapia en pacientes con GLP-1</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 frente a sin GLP-1</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debajo de los pacientes sin GLP-1</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 el efecto se invierte, cambia la demanda.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22,5x / 18,9x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(2019-2026)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 · -0,2x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ResMed nació en 1989 cuando Peter Farrell compró a Baxter la tecnología de CPAP desarrollada en la Universidad de Sídney por Colin Sullivan. Salió a bolsa en el Nasdaq en 1995 y pasó a la Bolsa de Nueva York en 1999, con cotización también en Australia. Su hijo Mick Farrell es consejero delegado desde 2013 y presidente desde 2022. La historia reciente la marcan la apuesta por los equipos conectados (AirSense 10 en 2014, AirSense 11 en 2021), las compras de software para la atención fuera del hospital (Brightree 2016, MatrixCare 2018, MEDIFOX DAN 2022), la retirada de los equipos de Philips en junio de 2021, que le dejó el mercado de EE. UU. casi para ella, y el miedo a los fármacos GLP-1 desde 2023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Peter Farrell compra a Baxter la tecnología de CPAP de la Universidad de Sídney y funda ResMed.</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 en 1999 pasa a la NYSE y cotiza también en la ASX.</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AirSense 10: el primer CPAP con conexión móvil integrada de serie.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Brightree (800 M USD), software para proveedores de equipos médicos domiciliarios.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MatrixCare (750 M USD), software para cuidados a largo plazo.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Philips retira millones de CPAP por la espuma insonorizante; ResMed lanza AirSense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MEDIFOX DAN en Alemania (unos 1.000 M USD).</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aprueba la tirzepatida (Zepbound) para la apnea obstructiva con obesidad [13]; Philips firma el consentimiento judicial que le impide vender equipos nuevos en EE. UU.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Noctrix (piernas inquietas), venta de MatrixCare por 490 M, relevo del director financiero y suspensión de ventas del Astral.</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ResMed diseña, fabrica y vende equipos para tratar la apnea obstructiva del sueño y otras enfermedades respiratorias crónicas en casa: generadores de presión positiva (CPAP y APAP AirSense 11, binivel AirCurve), ventiladores domiciliarios (Astral, Stellar), mascarillas (AirFit, AirTouch) y accesorios, con más de 20 millones de equipos conectados a la nube que transmiten los datos de uso al médico y al proveedor [1]. Vende en más de 140 países, sobre todo a proveedores de equipos médicos domiciliarios (en EE. UU., distribuidores que cobran de Medicare y de las aseguradoras) y a sistemas públicos de salud fuera de EE. UU. [1]. Fabrica en Singapur, Australia, Malasia y EE. UU. Tiene además un segmento de software de gestión (Brightree, MEDIFOX DAN) para proveedores fuera del hospital, del que vende MatrixCare en 2026 [1].</w:t>
      </w:r>
    </w:p>
    <w:p>
      <w:pPr>
        <w:pStyle w:val="Heading2"/>
      </w:pPr>
      <w:r>
        <w:t xml:space="preserve">Cómo gana dinero</w:t>
      </w:r>
    </w:p>
    <w:p>
      <w:pPr>
        <w:spacing w:after="100"/>
      </w:pPr>
      <w:r>
        <w:t xml:space="preserve">El 88 % de los ingresos de FY2026 es Sleep and Breathing Health: 2.892 M USD de equipos y 2.085 M de mascarillas y accesorios [1]. El modelo es de «cuchilla y recambio»: el equipo se vende una vez cada cinco años y la mascarilla, los cojines y los filtros se reponen varias veces al año, con reembolso de Medicare y de las aseguradoras; las mascarillas crecen más (+13 % en FY2026) y tienen más margen que los equipos [1]. El margen bruto (62 % no GAAP) depende de la mezcla, del coste de componentes (chips, imanes de tierras raras) y de los fletes, y el operativo del apalancamiento de una estructura con I+D del 7 % y gastos comerciales del 20 % de las ventas [1]. No hay estacionalidad relevante.</w:t>
      </w:r>
    </w:p>
    <w:p>
      <w:pPr>
        <w:pStyle w:val="Heading2"/>
      </w:pPr>
      <w:r>
        <w:t xml:space="preserve">Segmentos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Sleep and Breathing Health</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Residential Care Software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Sleep and Breathing Health</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Residential Care Software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un cliente que pase del 10 % de las ventas, pero en EE. UU. la cadena está concentrada en grandes proveedores domiciliarios (AdaptHealth, Lincare, Apria) que compran por contrato con volumen y precio pactados, y que cobran del reembolso de Medicare y de las aseguradoras [1, 9]. El poder de precios es moderado: tras la retirada de Philips en 2021 ResMed subió precios en EE. UU., y en agosto de 2026 anunció «subidas moderadas» porque la productividad ya no compensa la inflación, respetando los contratos mientras los clientes cumplan sus volúmenes [9]. La recurrencia está en la reposición de mascarillas, que ResMed impulsa con programas de reabastecimiento y con los datos de uso de sus equipos conectados.</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equipos (dispositivos)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2.665 M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2.892 M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(+7 % a divisa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Americas +7 %, resto del mundo +6 % a divisa constante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mascarillas y otros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2.085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 (+12 %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negocio recurrente de reposición crece más que los equipos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no GAAP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Productividad de fabricación y logística; en el 4T26, 62,3 %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no GAAP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FY2027: «ligera subida» del margen operativo [2,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 (flujo operativo − inversión material)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1.662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inversión (156 M frente a 90 M)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Retribución al accionista (dividendos + recompras)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611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1.050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FY2027: más de 1.850 M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dispositivos para la apnea del sueño y la ventilación domiciliaria: generadores de presión positiva, mascarillas y accesorios, con los equipos de diagnóstico al lado. Las dos fuentes de pago lo cifran muy por debajo de lo que facturan los fabricantes (Global Market Insights, 9,3 mil M USD en 2025, de los que un 66 % es terapia; Market Research Future, 7,1 mil M) [11, 12], porque solo ResMed factura ya 4.978 M en Sleep and Breathing Health [1]. Usamos la cifra de Global Market Insights para el crecimiento (7 % anual) y no para la cuota, que estimamos con las ventas de los fabricantes (ficha sectorial).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9.300 M USD en 2025 (Global Market Insights) [11]; ≈ 7.100 M USD según Market Research Future [12]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Global Market Insights; 2026e-2030e con su TCAC del 7,2 %))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Prevalencia sin diagnosticar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936 M de adultos de 30-69 años con apnea obstructiva, la mayoría sin diagnóstico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Fármacos GLP-1 (tirzepatida aprobada para la apnea desde dic-2024; orforglipron oral aprobado para obesidad en abr-2026)</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ResMed: los pacientes con receta de PAP y de GLP-1 empiezan la terapia un 11 % más; a largo plazo, menos gravedad de la apnea en quien pierde peso y mantiene la pérdida [9, 13,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Ausencia de Philips en los equipos nuevos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Consentimiento judicial: Philips solo vuelve a vender cuando un experto certifique sus fábricas; sin fecha a mayo de 2026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Terapias alternativas (estimulación del hipogloso, fármaco AD109)</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AD109 de Apnimed: reducción del índice de apneas del 44-47 % y decisión de la FDA el 28-feb-2027; un 21 % de abandonos por efectos adversos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Reembolso y aranceles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Exención arancelaria del Protocolo de Nairobi reconfirmada en agosto de 2026; investigación de la Sección 232 sobre dispositivos médicos abierta desde septiembre de 2025 [9, 18, 19].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Duopolio mundial con Philips, hoy fuera de los equipos nuevos de EE. UU.; Fisher &amp; Paykel fuerte en mascarillas; fabricantes chinos (BMC, Yuyue) y React Health en precio [1,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Grandes proveedores domiciliarios en EE. UU. y licitaciones públicas fuera; el reembolso de Medicare fija el techo del precio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Chips y motores de pocos proveedores (escasez de 2021-2022) e imanes de tierras raras con licencias de exportación chinas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 la FDA, escala de fabricación, red de distribución y plataforma de datos con más de 20 M de equipos conectados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GLP-1 (tirzepatida aprobada para la apnea), estimulación del hipogloso (Inspire) y, si se aprueba en 2027, el fármaco AD109 [13, 15].</w:t>
            </w:r>
          </w:p>
        </w:tc>
      </w:tr>
    </w:tbl>
    <w:p>
      <w:pPr>
        <w:spacing w:after="160" w:before="0"/>
      </w:pPr>
    </w:p>
    <w:p>
      <w:pPr>
        <w:pStyle w:val="Heading2"/>
      </w:pPr>
      <w:r>
        <w:t xml:space="preserve">Ciclo</w:t>
      </w:r>
    </w:p>
    <w:p>
      <w:pPr>
        <w:spacing w:after="100"/>
      </w:pPr>
      <w:r>
        <w:t xml:space="preserve">La demanda depende del diagnóstico y del reembolso, no del PIB: en 2008-09 ResMed siguió creciendo a doble dígito; en 2020 la COVID frenó los diagnósticos y disparó los ventiladores; en 2021-22 la retirada de Philips y la escasez de chips llevaron los equipos a máximos. Hoy el crecimiento ha vuelto a un 8-9 % a divisa constante y el riesgo de ciclo es de competencia (regreso de Philips) y de sustitutos, no de demanda [1, 9].</w:t>
      </w:r>
    </w:p>
    <w:p>
      <w:pPr>
        <w:pStyle w:val="Heading2"/>
      </w:pPr>
      <w:r>
        <w:t xml:space="preserve">Regulación</w:t>
      </w:r>
    </w:p>
    <w:p>
      <w:pPr>
        <w:spacing w:after="100"/>
      </w:pPr>
      <w:r>
        <w:t xml:space="preserve">En EE. UU. los equipos son de clase II (FDA) y se pagan con el reembolso de Medicare (licitación competitiva de equipos médicos domiciliarios que CMS quiere reactivar) y de aseguradoras que exigen cumplimiento de uso. El consentimiento judicial de Philips Respironics (2024) le prohíbe vender equipos nuevos de sueño y respiración en EE. UU. hasta que un experto independiente certifique sus fábricas; puede vender mascarillas y recambios [14]. La tirzepatida está aprobada para la apnea moderada o grave con obesidad desde el 20-dic-2024 [13]. Los equipos de ResMed entran en EE. UU. sin arancel por el Protocolo de Nairobi, reconfirmado en agosto de 2026 [9].</w:t>
      </w:r>
    </w:p>
    <w:p>
      <w:pPr>
        <w:pStyle w:val="Heading2"/>
      </w:pPr>
      <w:r>
        <w:t xml:space="preserve">Tendencias y disrupción</w:t>
      </w:r>
    </w:p>
    <w:p>
      <w:pPr>
        <w:spacing w:after="100"/>
      </w:pPr>
      <w:r>
        <w:t xml:space="preserve">Tres tendencias. Los fármacos contra la obesidad: hasta ahora han aumentado los diagnósticos y los inicios de terapia (más pacientes en consulta), pero una pérdida de peso sostenida reduce la gravedad de la apnea y, con versiones orales más baratas, puede limitar la demanda de equipos dentro de 3-5 años [9, 13, 16]. La competencia: Philips prepara su regreso y los fabricantes asiáticos han ganado presencia en su ausencia [1, 21]. Y la digitalización: equipos conectados, diagnóstico en casa y sensores de consumo (acuerdo con ŌURA) que llevan pacientes al embudo de ResMed; la IA generativa amenaza más al software de gestión que a los equipos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equipos de presión positiva y mascarillas para la apnea del sueño; estimación propia: ≈ 55 % de las ventas de los fabricantes de terapia (ResMed 4.978 M frente a ≈ 9.000 M del total), muy por encima en los equipos de EE. UU. desde la retirada de Philips. Global Market Insights le da un 30,6 % de su mercado, que incluye diagnóstico y otras terapias [1, 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Philips (Sleep &amp; Respiratory Care)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PHIA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19.970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de 17.834 M EUR (2025); fuera de los equipos nuevos de EE. UU. por el consentimiento judicial; vende mascarillas y fuera de EE. UU. [14,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Fisher &amp; Paykel Healthcare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Zelanda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FPH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Mascarillas de sueño y humidificación hospitalaria; compite en mascarillas, no en generadores en EE. UU.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Inspire Medical Systems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Estimulación del nervio hipogloso para quien no tolera la CPAP; ventas en caída en 2026 (−6 % previsto)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Inogen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Concentradores de oxígeno portátiles; respiración domiciliaria, sin rentabilidad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React Health / BMC / Yuyue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 / 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Equipos de precio bajo que ganaron presencia en EE. UU. durante la ausencia de Philips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 AirView/myAir con más de 20 M de equipos conectados: médicos y proveedores trabajan con sus datos de cumplimiento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proveedores domiciliarios integran la reposición de mascarillas y el control de cumplimiento con Brightree y AirView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Aprobaciones FDA, más de 10.000 patentes y diseños registrados, y marca ante médicos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62 % y operativo del 36 % no GAAP, frente al 14 % operativo de Philips y el 29 % de Fisher &amp; Paykel [11].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dos grandes en el que un tercero no llega a la escala de I+D, fabricación y distribución [1].</w:t>
            </w:r>
          </w:p>
        </w:tc>
      </w:tr>
    </w:tbl>
    <w:p>
      <w:pPr>
        <w:spacing w:after="160" w:before="0"/>
      </w:pPr>
    </w:p>
    <w:p>
      <w:pPr>
        <w:pStyle w:val="Heading2"/>
      </w:pPr>
      <w:r>
        <w:t xml:space="preserve">Amenazas</w:t>
      </w:r>
    </w:p>
    <w:p>
      <w:pPr>
        <w:spacing w:after="100"/>
      </w:pPr>
      <w:r>
        <w:t xml:space="preserve">Tres amenazas con probabilidad creciente. El regreso de Philips a los equipos nuevos de EE. UU.: el consentimiento judicial no tiene fecha, pero el mercado ya lo descuenta (Morgan Stanley rebajó en junio de 2026) y los analistas suponen que recuperaría hasta un 20 % del mercado de equipos [14, 21]. Los GLP-1 orales y baratos, que pueden reducir el número de apneas graves a 3-5 años [16]. Y los sustitutos: Inspire en los que no toleran la CPAP y el fármaco AD109 si la FDA lo aprueba en febrero de 2027 [15]. La mascarilla y la plataforma de datos, que se reponen y se usan con cualquier causa de la demanda, son la parte más protegida.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bl>
    <w:p>
      <w:pPr>
        <w:spacing w:after="160" w:before="0"/>
      </w:pPr>
    </w:p>
    <w:p>
      <w:pPr>
        <w:spacing w:after="100"/>
      </w:pPr>
      <w:r>
        <w:t xml:space="preserve">Crecimiento anual compuesto 2019-2026: ingresos </w:t>
      </w:r>
      <w:r>
        <w:rPr>
          <w:b/>
          <w:bCs/>
        </w:rPr>
        <w:t xml:space="preserve">11,7 %</w:t>
      </w:r>
      <w:r>
        <w:t xml:space="preserve">, EBITDA </w:t>
      </w:r>
      <w:r>
        <w:rPr>
          <w:b/>
          <w:bCs/>
        </w:rPr>
        <w:t xml:space="preserve">16,6 %</w:t>
      </w:r>
      <w:r>
        <w:t xml:space="preserve">, BPA </w:t>
      </w:r>
      <w:r>
        <w:rPr>
          <w:b/>
          <w:bCs/>
        </w:rPr>
        <w:t xml:space="preserve">20,7 %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2.607 M USD en FY2019 a 5.653 M en FY2026 (TCAC del 11,7 %), con dos saltos: la retirada de Philips de junio de 2021, que dejó a ResMed casi sola en los equipos de EE. UU., y las compras de software (MatrixCare en 2018 y MEDIFOX DAN en 2022) [1, 3]. En FY2026 crecieron un 10 % (8 % a divisa constante): equipos +9 % y mascarillas +13 % [2]. El margen bruto GAAP sufrió en FY2022-2024 por la inflación de componentes y fletes (del 58,8 % en FY2021 al 55,8 % de FY2023) y se ha recuperado hasta el 61,1 % en FY2026 (62,4 % no GAAP) por productividad y mezcla [1, 2]. El margen EBIT GAAP subió del 22,2 % de FY2019 al 33,4 % de FY2026. El beneficio de FY2026 (1.523 M) lleva 75 M de gastos no recurrentes en el EBIT: 41,9 M de la acción de campo del ventilador Astral, 21,7 M de reestructuración y 11,5 M de costes de compras y venta de cartera [2].</w:t>
      </w:r>
    </w:p>
    <w:p>
      <w:pPr>
        <w:pStyle w:val="Heading2"/>
      </w:pPr>
      <w:r>
        <w:t xml:space="preserve">Ajustes y partidas no recurrentes</w:t>
      </w:r>
    </w:p>
    <w:p>
      <w:pPr>
        <w:spacing w:after="100"/>
      </w:pPr>
      <w:r>
        <w:t xml:space="preserve">Usamos las cifras GAAP. ResMed publica además un BPA «no GAAP» que suma la amortización de intangibles comprados (77,2 M en FY2026), la reestructuración, las acciones de campo y los costes de compras, y resta algunos beneficios fiscales: 11,17 USD frente a 10,43 GAAP en FY2026 y 9,55 frente a 9,51 en FY2025 [2]. Los no recurrentes dentro del EBITDA van en no_recurrentes_en_ebitda: 75,1 M en FY2026 y 78,5 M en FY2024 (reestructuración de 64,2 M y acciones de campo de mascarillas con imanes y de Astral de 14,3 M) [1, 2]. No son raros (cuatro de los ocho años tienen reestructuración), pero sí de importe variable. El impuesto de FY2021 (409 M, 46 % del beneficio antes de impuestos) incluye el acuerdo con la hacienda australiana, y el de FY2025 dos beneficios fiscales de 51,4 M; el de FY2018 (no incluido en la serie) la reforma fiscal de EE. UU. [1, 3].</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4T26 (6-ago-2026) la dirección dio la guía de FY2027: ingresos de 5.750-5.850 M USD, un crecimiento del 5-7 % en la base comparable (sin MatrixCare y sin el efecto del Astral), y BPA no GAAP de 12,00-12,25 USD, que incluye 1.500 M de recompras [9]. Suspendió las ventas del ventilador Astral mientras sustituye un componente: 75 M de ingresos menos y unos 0,15 USD de BPA en FY2027, además de la provisión de 41,9 M del 4T26 [2, 9]. Cambió el discurso sobre costes: «ya no podemos compensar la inflación solo con productividad», y anunció subidas de precio moderadas; avisó de una ligera caída interanual del margen bruto en el 1T27 [9]. Sobre los GLP-1 repitió que son un viento a favor: los pacientes con receta de PAP y de GLP-1 empiezan la terapia un 11 % más [9]. En el 3T26 (30-abr) había confirmado márgenes y anunciado la compra de Noctrix (síndrome de piernas inquietas) y el relevo del director financiero [4]. Los analistas preguntaron por el reparto entre volumen y precio de la guía y por el calendario de productos: la dirección no lo desglosó («no voy a entrar en cuánto es volumen y cuánto precio») y no habló del regreso de Philips a EE. UU. [9]. La acción cayó un 5,1 % al día siguiente.</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8.966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(2023: MEDIFOX DAN (Alemania), comprada en noviembre de 2022 por unos 1.000 M USD: entra la mayor parte del año [1, 3].; 2026: Noctrix Health (335 M USD), consolidada desde el 4T26; MatrixCare clasificada como mantenida para la venta al 30-jun-2026 (457 M de activos)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ResMed se ha desendeudado tras dos compras grandes: la deuda bruta bajó de 1.441 M en FY2023 (MEDIFOX DAN) a 660 M en FY2026, y la caja subió a 1.469 M, con lo que la caja neta es de 810 M [1, 3]. El circulante comercial (existencias + clientes − proveedores) bajó del 44 % de las ventas de FY2023, cuando la empresa acumuló componentes por la crisis de suministros, al 30 % de FY2026; las existencias de 946 M equivalen a unos 160 días de coste de ventas. Después del cierre, la empresa ha pagado unos 250 M de bonos, 450 M de la recompra acelerada y otras recompras en el mercado, y espera cobrar 490 M por MatrixCare [6, 7].</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2019-2026: FCF </w:t>
      </w:r>
      <w:r>
        <w:rPr>
          <w:b/>
          <w:bCs/>
        </w:rPr>
        <w:t xml:space="preserve">7.034</w:t>
      </w:r>
      <w:r>
        <w:t xml:space="preserve">, conversión </w:t>
      </w:r>
      <w:r>
        <w:rPr>
          <w:b/>
          <w:bCs/>
        </w:rPr>
        <w:t xml:space="preserve">99 %</w:t>
      </w:r>
      <w:r>
        <w:t xml:space="preserve"> del beneficio neto; adquisiciones 2.697, dividendos 2.110, recompras 1.173.</w:t>
      </w:r>
    </w:p>
    <w:p>
      <w:pPr>
        <w:spacing w:after="100"/>
      </w:pPr>
      <w:r>
        <w:t xml:space="preserve">La conversión de beneficio en caja es alta y estable desde FY2024: flujo operativo de 1.401, 1.752 y 1.806 M frente a beneficios de 1.021, 1.401 y 1.523 M [1, 3]. Los años malos fueron FY2022 (351 M, el 45 % del beneficio, por el acopio de existencias en plena escasez de chips) y FY2023, que lo devolvieron en FY2024 [3]. El capex (inmovilizado más patentes) es bajo, del 1,9 % de las ventas en FY2025 y del 3,1 % en FY2026, y la guía de FY2027 lo sube a 160-180 M más patentes por una nueva capacidad de fabricación [9]; estimamos que el de mantenimiento ronda la amortización material, unos 100-110 M (estimación propia con la depreciación de 103 M). La caja ha ido a dividendos (350 M en FY2026), recompras (700 M) y compras (351 M, Noctrix) [2].</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 (hasta FY2026); PricewaterhouseCoopers desde FY2027</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FY2026 y FY2025)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2026: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2026: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son limpias y sencillas: ingresos por envío de equipos y mascarillas a distribuidores y proveedores de equipos médicos domiciliarios, y software por suscripción [1]. Los puntos a vigilar son tres. Primero, el uso recurrente de partidas «no recurrentes»: reestructuración en FY2019, FY2021, FY2023, FY2024 y FY2026, y acciones de campo (mascarillas con imanes, Astral) en tres años [1, 2]; el BPA no GAAP de 11,17 USD está un 7 % por encima del GAAP. Segundo, la remuneración en acciones (104 M en FY2026, el 6,8 % del beneficio), que la empresa no resta en su BPA ajustado pero sí en el GAAP que usamos [2]. Tercero, el cambio de auditor en agosto de 2026, de KPMG a PwC, tras un concurso y sin desacuerdos ni «hechos reportables», según el 8-K y la carta de KPMG [8]. La I+D se gasta, no se capitaliza (378 M, el 6,7 % de las ventas). El impuesto efectivo (20,6 % en FY2026) es estable salvo FY2021 (acuerdo fiscal australiano).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auditor (KPMG → PwC) en agosto de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Concurso, sin desacuerdos y con carta de conformidad de KPMG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Gastos «no recurrentes» que se repiten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Reestructuración o acciones de campo en cinco de ocho años; los dejamos fuera del EBITDA pero dentro del BPA GAAP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Acciones de campo de producto (Astral, mascarillas con imanes)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Provisión de 41,9 M y suspensión de ventas del Astral en FY2027 [2, 9].</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45,7 % · </w:t>
      </w:r>
      <w:r>
        <w:rPr>
          <w:b/>
          <w:bCs/>
        </w:rPr>
        <w:t xml:space="preserve">WACC</w:t>
      </w:r>
      <w:r>
        <w:t xml:space="preserve">: 9,4 %.</w:t>
      </w:r>
    </w:p>
    <w:p>
      <w:pPr>
        <w:spacing w:after="100"/>
      </w:pPr>
      <w:r>
        <w:t xml:space="preserve">ResMed crea valor con mucha holgura: ROIC del 27,8 % en FY2026 frente a un WACC del 9,37 %, 18,4 puntos de diferencia, y por encima del 14 % todos los años desde FY2019, a pesar de 2.910 M de fondo de comercio de las compras de software (sin él, el ROIC pasaría del 50 %). El ROIC sube por margen, no por rotación: el margen EBIT pasó del 22 % al 33 % mientras la rotación del capital se quedaba en torno a 0,7 veces. El ROIC incremental histórico es del 45,7 %: el crecimiento de los últimos años apenas ha necesitado capital. Frente a los competidores, la distancia es enorme: Stryker 12,5 %, Medtronic 8,6 %, Philips 7,7 % e Inspire 10,1 % [28]. La duda no es la rentabilidad de hoy sino su duración si los GLP-1 y Philips presionan volumen y precio.</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1.469 M USD y línea de crédito no dispuesta de 1.500 M a 30-jun-2026 (2.969 M de liquidez); los bonos al 3,24 % de 250 M se pagaron el 10-jul-2026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 (deuda bancaria y colocación privada de bonos)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La deuda bruta de 660 M a 30-jun-2026 son 500 M de bonos de colocación privada (250 M al 3,24 % vencidos el 10-jul-2026 y 250 M al 3,45 % con vencimiento en julio de 2029) y 160 M de préstamo a plazo de la filial australiana al SOFR + 0,75-1,50 % (4,58 %), que vence con la línea de crédito de 1.500 M el 29-jun-2027 [1]. El covenant es un apalancamiento máximo de deuda sobre EBITDA, con holgura enorme (deuda/EBITDA de 0,3 veces) [1]. Los arrendamientos operativos (166 M de pasivo) no van en la deuda: en US GAAP su gasto ya está en el EBITDA. Hay 334 M de ingresos diferidos (garantías ampliadas y datos de pacientes) y 213 M de otros pasivos a largo plazo [2]. Litigios: la demanda de un denunciante por sobreprecios a la sanidad de veteranos se retiró contra ResMed en abril de 2026 [1]. La recompra acelerada de 450 M con Citibank puede liquidarse en diciembre de 2026 con acciones adicionales o, en algún caso, con caja [7].</w:t>
      </w:r>
    </w:p>
    <w:p>
      <w:pPr>
        <w:pStyle w:val="Heading1"/>
      </w:pPr>
      <w:r>
        <w:t xml:space="preserve">12. Asignación de capital</w:t>
      </w:r>
    </w:p>
    <w:p>
      <w:pPr>
        <w:pStyle w:val="Confianza"/>
        <w:spacing w:after="100"/>
      </w:pPr>
      <w:r>
        <w:t xml:space="preserve">Confianza: Alta</w:t>
      </w:r>
    </w:p>
    <w:p>
      <w:pPr>
        <w:spacing w:after="100"/>
      </w:pPr>
      <w:r>
        <w:t xml:space="preserve">Dividendo trimestral creciente desde 2012: 0,66 USD por acción desde septiembre de 2026 (+10 %), 2,64 USD anualizados [2]. Recompras de 700 M en FY2026 y guía de 1.500 M en FY2027, de las que 450 M son una recompra acelerada con Citibank pagada el 3-sep-2026 con el dinero de la venta de MatrixCare [7, 9]. En total, más de 1.850 M devueltos en FY2027, alrededor del 100 % de la caja libre más la venta [2]. La empresa mantiene compras pequeñas de tecnología (Noctrix, 335 M) dentro de su estrategia «2030» de sueño y respiración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MatrixCare (software para residencias y cuidados a largo plazo)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(línea de crédito)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Vendida en 2026 por 490 M a Frazier Healthcare: pérdida de valor de un tercio en ocho años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MEDIFOX DAN (software de cuidados, Alemania)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(línea de crédito), devuelta en FY2024</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queda en el grupo; el segmento de software crece un 4-5 % a divisa constante y su margen operativo subió al 32 %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Noctrix Health (dispositivo para el síndrome de piernas inquietas)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Demasiado pronto: 30 M de ingresos esperados en FY2027 y −0,20 USD de BPA no GAAP [6].</w:t>
            </w:r>
          </w:p>
        </w:tc>
      </w:tr>
    </w:tbl>
    <w:p>
      <w:pPr>
        <w:spacing w:after="160" w:before="0"/>
      </w:pPr>
    </w:p>
    <w:p>
      <w:pPr>
        <w:spacing w:after="100"/>
      </w:pPr>
      <w:r>
        <w:t xml:space="preserve">La asignación de capital del negocio principal es buena (ROIC por encima del 20 % y caja libre que cubre dividendos y recompras), pero la diversificación en software no lo ha sido: MatrixCare se compró por 750 M en 2018 y se vende por 490 M, y el segmento de software rinde un margen operativo del 32 % antes de costes centrales frente al 44 % de Sleep and Breathing Health [1, 6]. Desde FY2024 la dirección ha cambiado de prioridades: menos compras, más recompras (de 150 M en FY2024 a 1.500 M previstos en FY2027) y vuelta al foco en sueño. Las recompras se hacen con la acción en mínimos de varios años, lo que es una buena señal si el negocio aguanta. La dilución por remuneración en acciones se compensa: las acciones diluidas bajaron de 147,3 M en FY2025 a 146,1 M de media en FY2026 y a 140,6 M en circulación en septiembre de 2026 [10].</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(Mick) Farrell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ResMed desde 2000; consejero delegado desde 2013 y presidente desde 2022. Con él los ingresos pasaron de 1.500 M a 5.653 M USD y el margen operativo GAAP del 26 % al 33 % [2, 10].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Aaron Bloomer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director financiero de Exact Sciences (comprada por Abbott), antes en Baxter y 3M; sustituye en mayo de 2026 a Brett Sandercock, 20 años en el cargo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Justin Leong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producto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producto y de las regiones de Asia; uno de los posibles sucesores [10].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Rider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jurídico y secretario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cumplimiento y de los litigios de producto y competencia [10].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Peter Farrell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Fundador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1989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Fundador y antiguo presidente; padre del consejero delegado [10].</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no GAAP del 62-63 %, gastos comerciales del 19-20 %, I+D del 6-7 %, tipo impositivo del 21-23 %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62,4 %, gastos comerciales 19,6 %, I+D 6,7 %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no GAAP del 59-60 % (subida durante el año)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60,0 %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del margen bruto hacia el 58-60 %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57,9 % no GAAP</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bruto estable tras la crisis de suministros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Bajó al 55,8 % GAAP por la inflación de componentes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La dirección es estable y con credibilidad en los márgenes: ha cumplido la guía de margen bruto, gastos e impuestos en FY2025 y FY2026, después de fallar en FY2023 con la inflación de componentes [2, 10]. Hay dos cambios en 2026: un director financiero de fuera, tras 20 años de Sandercock (que se queda como asesor hasta finales de 2027), y una nueva consejera coordinadora [22, 23]. El riesgo de sucesión está en el propio Mick Farrell, consejero delegado desde hace 13 años y presidente, sin un sucesor anunciado. La dirección tiene poca participación (0,58 % entre consejeros y directivos) y vende con regularidad con planes 10b5-1 [10, 24].</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Farrell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Farrell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(fundador)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Ronald Taylor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hasta nov-2026 (no se presenta a la reelección)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Varias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Carol Burt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coordinadora desde el 15-nov-2026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(presidenta), auditoría, cumplimiento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Jan De Witte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Varias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Christopher DelOrefice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Karen Drexler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Harjit Gill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Varias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Hernandez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Nicole Mowad-Nassar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Varias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Desney Tan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Varias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Peter Farrell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84,0 % a favor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FY2026 y FY2025)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22,22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13G/A de enero de 2024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 de abril de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AustralianSuper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(fondo de pensiones australiano)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 de accionista significativo en la ASX</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Portfolio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 de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(14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Internos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con planes 10b5-1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 (50,4 M de acciones sobre 191,1 M emitidas)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 M de acciones en 15 meses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Michael Farrell (presidente y CEO), acumulado 12 meses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Peter Farrell (consejero), acumulado 12 meses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Brett Sandercock (ex director financiero), acumulado 12 meses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Jan De Witte (consejero), acumulado 12 meses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devengó 16,2 M USD en FY2026: 1,27 M de fijo, 1,74 M de variable anual y 13,0 M en acciones y opciones [10]. La mitad de las acciones con objetivos dependen del rendimiento total para el accionista: un 25 % del absoluto y un 25 % del relativo frente al S&amp;P 500 a tres años (100 % en el percentil 60, 200 % en el 95, con tope si el absoluto es negativo) [10]. El sistema ha castigado de verdad: las de FY2022 se perdieron, las de FY2023 pagaron el 60,5 % y las de FY2025 y FY2026 no pagarían nada a 30-jun-2026 [10]. Hay cláusula de recuperación desde octubre de 2023. El voto consultivo sobre la remuneración obtuvo un 84 % a favor en 2024 y un 90 % en 2025 [10]. La relación con el empleado mediano es de 199 a 1 [10].</w:t>
      </w:r>
    </w:p>
    <w:p>
      <w:pPr>
        <w:pStyle w:val="Heading2"/>
      </w:pPr>
      <w:r>
        <w:t xml:space="preserve">Operaciones vinculadas, estructura de control y defensas</w:t>
      </w:r>
    </w:p>
    <w:p>
      <w:pPr>
        <w:spacing w:after="100"/>
      </w:pPr>
      <w:r>
        <w:t xml:space="preserve">No hay accionista de control: los cuatro mayores son gestoras indexadas y un fondo de pensiones australiano, con un 29 % entre todos [10]. Una sola clase de acciones, un voto por acción; cotiza en la NYSE y en la ASX mediante CDI (diez CDI por acción) [2, 10]. El consejo tiene 8 independientes de 10 candidatos y una consejera coordinadora con funciones definidas, pero el presidente es el consejero delegado y su padre, el fundador, es consejero: una familia con dos puestos y solo un 0,5 % del capital [10, 23]. No constan operaciones vinculadas relevantes. Ron Taylor, consejero coordinador durante 13 años y 21 en el consejo, se retira en noviembre de 2026 [23].</w:t>
      </w:r>
    </w:p>
    <w:p>
      <w:pPr>
        <w:pStyle w:val="Heading2"/>
      </w:pPr>
      <w:r>
        <w:t xml:space="preserve">Señales de alerta</w:t>
      </w:r>
    </w:p>
    <w:p>
      <w:pPr>
        <w:pStyle w:val="ListParagraph"/>
        <w:numPr>
          <w:ilvl w:val="0"/>
          <w:numId w:val="2"/>
        </w:numPr>
        <w:spacing w:after="60"/>
      </w:pPr>
      <w:r>
        <w:t xml:space="preserve">Presidente y consejero delegado en la misma persona desde 2022, con el fundador (su padre) en el consejo.</w:t>
      </w:r>
    </w:p>
    <w:p>
      <w:pPr>
        <w:pStyle w:val="ListParagraph"/>
        <w:numPr>
          <w:ilvl w:val="0"/>
          <w:numId w:val="2"/>
        </w:numPr>
        <w:spacing w:after="60"/>
      </w:pPr>
      <w:r>
        <w:t xml:space="preserve">Ventas continuadas de directivos: 22,3 M USD en 12 meses, todas con planes 10b5-1 y ninguna compra [24].</w:t>
      </w:r>
    </w:p>
    <w:p>
      <w:pPr>
        <w:pStyle w:val="ListParagraph"/>
        <w:numPr>
          <w:ilvl w:val="0"/>
          <w:numId w:val="2"/>
        </w:numPr>
        <w:spacing w:after="60"/>
      </w:pPr>
      <w:r>
        <w:t xml:space="preserve">Relevo del director financiero (mayo de 2026) y cambio de auditor (agosto de 2026) en el mismo año.</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FY2027 (6-ago-2026, confirmada en la conferencia de Morgan Stanley del 15-sep): ingresos de 5.750-5.850 M USD (crecimiento comparable del 5-7 % sin MatrixCare y sin los 75 M del Astral), BPA no GAAP de 12,00-12,25 USD con 1.500 M de recompras, «ligera subida» del margen operativo, capex de 160-180 M y más de 1.850 M devueltos al accionista [9]. En el 1T27 espera una ligera caída interanual del margen bruto por inflación [9]. Noctrix aportará unos 30 M de ingresos y restará 0,20 USD de BPA no GAAP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(20 analistas de BPA) y Stock Analysis (19) [26, 27]; BPA no GAAP</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(20 analistas) [26]; BPA no GAAP</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2.245</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6.119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 10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250,52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175,00 – 320,00</w:t>
            </w:r>
          </w:p>
        </w:tc>
      </w:tr>
    </w:tbl>
    <w:p>
      <w:pPr>
        <w:spacing w:after="160" w:before="0"/>
      </w:pPr>
    </w:p>
    <w:p>
      <w:pPr>
        <w:pStyle w:val="Heading2"/>
      </w:pPr>
      <w:r>
        <w:t xml:space="preserve">Revisiones de estimaciones</w:t>
      </w:r>
    </w:p>
    <w:p>
      <w:pPr>
        <w:spacing w:after="100"/>
      </w:pPr>
      <w:r>
        <w:t xml:space="preserve">El BPA de FY2027 apenas se ha movido en 90 días (12,06 → 12,09 USD) y el de FY2028 tampoco (13,22 → 13,24) [26]. Los objetivos se recortaron en junio y julio (Morgan Stanley de 286 a 230 USD al bajar a «equal-weight» el 17-jun por Philips y los GLP-1; RBC bajó en julio por los retos de FY2027) y han subido tras el 4T26: RBC volvió a «comprar» con 262 USD el 15-sep, Mizuho subió de 235 a 240 y Citi de 235 a 240 [27]. El consenso de BPA es no GAAP (excluye unos 0,40 USD de amortización de intangibles comprados) [26].</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-49,1 %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ResMed ha ido muy por detrás del S&amp;P 500: −13,0 % en un año frente a +17,5 %, y −1,6 % anual en cinco años frente a +12,0 % [25]. La causa no son las cuentas (el BPA se ha duplicado desde FY2021) sino el múltiplo: el mercado pasó de pagar 46 veces el beneficio del año siguiente en junio de 2021, con Philips recién retirada, a unas 20 veces hoy, por el miedo a los GLP-1 desde 2023 y al regreso de Philips [25, 26]. En 2026 la acción marcó máximo de 277,67 USD en febrero y mínimo de 180,27 en junio, tras la rebaja de Morgan Stanley; las mayores caídas diarias fueron el 29-may y el 8-jul (−6,3 % cada una) y el 7-ago tras los resultados (−5,1 %) [25]. Desde el mínimo ha subido un 30 % con las recompras y la mejora de RBC. La beta mensual a cinco años es de 0,78 (0,93 semanal) [25].</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ResMed ha cotizado históricamente con prima: entre 29 y 46 veces el beneficio del año siguiente de 2019 a 2023, por un crecimiento del BPA de doble dígito y un foso de duopolio. Desde 2024 el múltiplo se ha comprimido a 21-24 veces y hoy está en unas 20 veces nuestro BPA de FY2027, el mínimo de diez años, aunque el crecimiento del beneficio ha seguido siendo del 10-15 % [25]. El cambio es de percepción de riesgo, no de cifras: el mercado descuenta que los GLP-1 y Philips acortarán la vida del crecimiento. Excluimos FY2021 (46,5 veces el BPA siguiente), año de la retirada de Philips y de la COVID, como burbuja.</w:t>
      </w:r>
    </w:p>
    <w:p>
      <w:pPr>
        <w:pStyle w:val="Heading1"/>
      </w:pPr>
      <w:r>
        <w:t xml:space="preserve">18. Comparables cotizados</w:t>
      </w:r>
    </w:p>
    <w:p>
      <w:pPr>
        <w:pStyle w:val="Confianza"/>
        <w:spacing w:after="100"/>
      </w:pPr>
      <w:r>
        <w:t xml:space="preserve">Confianza: Media</w:t>
      </w:r>
    </w:p>
    <w:p>
      <w:pPr>
        <w:spacing w:after="100"/>
      </w:pPr>
      <w:r>
        <w:t xml:space="preserve">Seis cotizadas: los competidores directos en sueño y respiración (Philips, Fisher &amp; Paykel, Inspire, Inogen) y dos grandes de tecnología médica de EE. UU. como referencia de múltiplo (Stryker, Medtronic). Fisher &amp; Paykel e Inspire cotizan a múltiplos de crecimiento (45 veces) que no reflejan su rentabilidad actual; Inogen tiene pérdidas y no aporta múltiplos. Por eso la mediana relevante para ResMed es la de las grandes con beneficios, en torno a 15-17 veces. Cifras de Yahoo Finance del 14-oct-2026 (en sesión) en USD; Fisher &amp; Paykel convertida con el BCE (0,5614 USD por NZD) [26, 30]. EV/EBITDA NTM: estimación propia con el EBITDA de los últimos 12 meses llevado al crecimiento de ventas previsto (margen constante).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ResMed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33.117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24.325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Fisher &amp; Paykel Healthcare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NZ</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16.083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Inspire Medical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Inogen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Stryker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107.611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Medtronic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119.260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 / 16,3x / 23,8x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206,77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252,82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367,97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 / 16,8x / 44,0x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180,16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208,73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546,68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 / 2,8x / 4,4x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72,69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114,72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179,92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ResMed cotiza a 15,1 veces el EV/EBITDA de los últimos 12 meses, por debajo de la mediana de los comparables (16,3 veces) pese a tener el mayor margen EBITDA (38 %) y el mayor ROIC (27,8 % frente a una mediana del 9,4 %). Por PER de los próximos 12 meses (18,9 veces en base no GAAP) está algo por encima de Stryker (16,8) y Medtronic (14,5) y muy por debajo de Fisher &amp; Paykel e Inspire (44-45), que cotizan por crecimiento esperado y no por beneficio. El mercado ya no le da prima de calidad: la valora como una gran tecnológica médica madura. El EV/ventas no sirve (los márgenes son muy distintos). Usaríamos el EV/EBITDA, que da 252,82 USD con la mediana, y el PER, que da 208,73 [26, 28].</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MatrixCare (software de cuidados a largo plazo)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Frazier Healthcare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ResMed: 220 M de ingresos y 55 M de beneficio operativo no GAAP (8,9 veces) [6].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Noctrix Health (dispositivo para piernas inquietas)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ResMed</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Empresa en lanzamiento, sin beneficio; 30 M de ingresos esperados en FY2027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Itamar Medical (diagnóstico de apnea en casa)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Zoll (Asahi Kasei)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crecimiento en diagnóstico, sin beneficio [33].</w:t>
            </w:r>
          </w:p>
        </w:tc>
      </w:tr>
    </w:tbl>
    <w:p>
      <w:pPr>
        <w:spacing w:after="160" w:before="0"/>
      </w:pPr>
    </w:p>
    <w:p>
      <w:pPr>
        <w:spacing w:after="160" w:before="0"/>
      </w:pPr>
    </w:p>
    <w:p>
      <w:pPr>
        <w:spacing w:after="100"/>
      </w:pPr>
      <w:r>
        <w:t xml:space="preserve">Hay pocas operaciones comparables con múltiplo publicado: el sector es un duopolio y las compras son de tecnología pequeña (Noctrix, Itamar) o de software (MatrixCare, vendida a 2,2 veces ventas y 8,9 veces beneficio operativo). ResMed, con 33.000 M USD de capitalización, no es un objetivo realista. No usamos las transacciones en la valoración.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+2,6 % publicado es la guía (5.750-5.850 M), que incluye la salida de MatrixCare (220 M) y la suspensión del Astral (75 M); en base comparable, un 6-7 % [6, 9]. Después, 5,5 % en FY2028-FY2029 (el consenso pide 6,4 % en FY2028 [26]) y bajada hasta el 3,5 % en FY2033e. Es menos que el 8 % a divisa constante de FY2026 y que el 7,2 % del mercado [11]: descontamos que los GLP-1 y Philips restan 2-3 puntos al crecimiento histórico.</w:t>
      </w:r>
    </w:p>
    <w:p>
      <w:pPr>
        <w:keepNext/>
        <w:spacing w:after="100"/>
      </w:pPr>
      <w:r>
        <w:rPr>
          <w:b/>
          <w:bCs/>
        </w:rPr>
        <w:t xml:space="preserve">Márgenes.</w:t>
      </w:r>
    </w:p>
    <w:p>
      <w:pPr>
        <w:spacing w:after="100"/>
      </w:pPr>
      <w:r>
        <w:t xml:space="preserve">Margen EBITDA «limpio» del 38,3 % en FY2026 (2.163 M sin 75 M de no recurrentes). Subimos a 38,7 % en FY2027e por la venta de MatrixCare (software con menos margen) y la guía de «ligera subida» del margen operativo, y a 39,5 % a partir de FY2030e, por debajo de la expansión de los últimos tres años (del 30,7 % de FY2023). La dirección avisa de que la inflación ya no se compensa con productividad [9].</w:t>
      </w:r>
    </w:p>
    <w:p>
      <w:pPr>
        <w:keepNext/>
        <w:spacing w:after="100"/>
      </w:pPr>
      <w:r>
        <w:rPr>
          <w:b/>
          <w:bCs/>
        </w:rPr>
        <w:t xml:space="preserve">Inversión y circulante.</w:t>
      </w:r>
    </w:p>
    <w:p>
      <w:pPr>
        <w:spacing w:after="100"/>
      </w:pPr>
      <w:r>
        <w:t xml:space="preserve">Capex del 3,3 % de las ventas (guía de 160-180 M de inmovilizado más unos 20 M de patentes en FY2027 [9]), igual a la amortización a largo plazo. Circulante del 29,5 % de las ventas, el de FY2026 (existencias 946 M, clientes 1.036 M, proveedores 309 M) [1]. Tipo impositivo del 21,5 %, dentro de la guía del 21-23 %.</w:t>
      </w:r>
    </w:p>
    <w:p>
      <w:pPr>
        <w:keepNext/>
        <w:spacing w:after="100"/>
      </w:pPr>
      <w:r>
        <w:rPr>
          <w:b/>
          <w:bCs/>
        </w:rPr>
        <w:t xml:space="preserve">Coste del capital.</w:t>
      </w:r>
    </w:p>
    <w:p>
      <w:pPr>
        <w:spacing w:after="100"/>
      </w:pPr>
      <w:r>
        <w:t xml:space="preserve">Tasa libre del 5,24 % (bono de EE. UU. a 10 años, FRED, 9-oct-2026) [29]; beta de 0,85 (ajustada de Blume sobre la mensual a cinco años de 0,78; la semanal a cinco años da 0,93) [25]; prima de mercado del 5,0 %, como en el resto de informes de tecnología médica de EE. UU. del repositorio. Coste de la deuda del 4,6 % (préstamo a SOFR + margen) y peso de la deuda del 2 %. WACC del 9,37 %. Con la prima implícita del mercado (4,2 % [31]), el WACC baja al 8,7 % y el DCF sube a 221,50 USD.</w:t>
      </w:r>
    </w:p>
    <w:p>
      <w:pPr>
        <w:keepNext/>
        <w:spacing w:after="100"/>
      </w:pPr>
      <w:r>
        <w:rPr>
          <w:b/>
          <w:bCs/>
        </w:rPr>
        <w:t xml:space="preserve">Valor terminal.</w:t>
      </w:r>
    </w:p>
    <w:p>
      <w:pPr>
        <w:spacing w:after="100"/>
      </w:pPr>
      <w:r>
        <w:t xml:space="preserve">Gordon con crecimiento del 3,0 %, entre la inflación esperada en EE. UU. (≈ 2,5 %) y la tasa libre menos medio punto. Implica unas 15 veces el EBITDA del último año, en línea con la mediana de los comparables (16,3 veces el EBITDA de los últimos 12 meses) y por debajo de las 15,1 veces a las que cotiza hoy ResMed.</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198,71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190,27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230,84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 M (4 % del NOPAT)</w:t>
            </w:r>
          </w:p>
        </w:tc>
      </w:tr>
    </w:tbl>
    <w:p>
      <w:pPr>
        <w:spacing w:after="160" w:before="0"/>
      </w:pPr>
    </w:p>
    <w:p>
      <w:pPr>
        <w:spacing w:after="100"/>
      </w:pPr>
      <w:r>
        <w:t xml:space="preserve">La proyección apenas necesita inversión neta de la amortización (reinversión acumulada de 570 M, el 4 % del NOPAT, con un capex bruto medio del 3,3 % de las ventas). En un negocio de activos ligeros, el crecimiento medio del 4,4 %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5.750-5.850 M: volumen de equipos y mascarillas (+5 %) y subidas moderadas de precio (+1,5 %); otros −3,9 % = salida de MatrixCare (≈ −220 M) y Astral (−75 M), más Noctrix (+30 M) [6, 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+4 % (diagnóstico y reposición de mascarillas) con algo de presión de Philips y GLP-1; precio +1 %; Noctrix +0,5 %.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FY2028; el mercado crece un 7 % según las consultoras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+4 % y precio +1 %.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crecimiento converge: volumen +3,5 %.</w:t>
            </w:r>
          </w:p>
        </w:tc>
      </w:tr>
    </w:tbl>
    <w:p>
      <w:pPr>
        <w:spacing w:after="160" w:before="0"/>
      </w:pPr>
    </w:p>
    <w:p>
      <w:pPr>
        <w:spacing w:after="100"/>
      </w:pPr>
      <w:r>
        <w:t xml:space="preserve">Sí. La proyección pide un 4,4 % anual de crecimiento medio (un 5,5 % en FY2028-FY2029 y cayendo hasta el 3,5 %), por debajo del 7,2 % que esperan las fuentes para el mercado [11], del 8-9 % a divisa constante de los últimos años y de la guía comparable del 5-7 % para FY2027 [9]: supone que ResMed pierde algo de cuota. El negocio apenas necesita capital (reinversión del 4 % del NOPAT), así que la prueba es el poder de precios y la cuota: ha subido precios después de 2021 y anuncia subidas moderadas en FY2027, con margen bruto del 62 % y ROIC del 27,8 %. La cuota se comprueba a mano (el mercado de las consultoras es incoherente con las ventas de los fabricantes): las ventas de Sleep and Breathing Health crecerían por debajo del mercado. Lo que puede fallar no es la calidad, sino la demanda (GLP-1) y la competencia (Philips): eso está en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 (base: 4,4 %)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45,9 % (base: 39,5 %)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 (WACC: 9,4 %)</w:t>
            </w:r>
          </w:p>
        </w:tc>
      </w:tr>
    </w:tbl>
    <w:p>
      <w:pPr>
        <w:spacing w:after="160" w:before="0"/>
      </w:pPr>
    </w:p>
    <w:p>
      <w:pPr>
        <w:spacing w:after="100"/>
      </w:pPr>
      <w:r>
        <w:t xml:space="preserve">El DCF da 198,71 USD por acción, un 15,5 % por debajo del precio, con el valor terminal en el 67 % del total. La lectura clave es el DCF inverso: para justificar 235,04 USD con un WACC del 9,37 % hace falta un crecimiento anual del 8,0 % en FY2027-FY2033 (nuestro base: 4,4 %) o un margen EBITDA del 45,9 % (nuestro base: 39,5 %); la rentabilidad implícita en el precio es del 8,9 %, algo por debajo de nuestro WACC y por encima del 8,7 % que pide hoy el mercado. Es decir, el precio descuenta que ResMed siga creciendo casi como en la última década, sin daño de los GLP-1 ni de Philips. No es una exigencia disparatada (el 8 % es su crecimiento a divisa constante de FY2026), pero deja poco margen. Con la prima del mercado, el valor sube a 221,50, todavía un 6 % por debajo del precio. El resultado depende mucho de la tasa libre del 5,24 %: con la beta de 0,78 en vez de 0,85 el valor sube unos 7 USD.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GLP-1 orales y baratos frenan los nuevos pacientes desde 2028 y Philips vuelve a EE. UU. con descuentos: el crecimiento cae al 1-2 % y el margen EBITDA pierde 2,5 puntos (el margen bruto ya cayó del 58,8 % al 55,8 % entre FY2021 y FY2023 por costes). Crecimiento terminal del 2 %.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198,71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comparable del 5-6 % que converge al 3,5 %, con algo de cuota perdida frente a Philips y un efecto neutro de los GLP-1; margen EBITDA del 39,5 %.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219,31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GLP-1 siguen llevando más pacientes a la prueba de sueño, Philips no vuelve antes de 2028 y la reposición de mascarillas acelera: crecimiento 1,5 puntos mayor y margen un punto más alto.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235,0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190,65 USD (-18,9 %).</w:t>
      </w:r>
    </w:p>
    <w:p>
      <w:pPr>
        <w:spacing w:after="100"/>
      </w:pPr>
      <w:r>
        <w:t xml:space="preserve">La asimetría del DCF es mala: el alcista vale 219,31 USD (−6,7 %) y el bajista 145,87 (−37,9 %), con valor ponderado de 190,65. El DCF castiga porque el precio ya descuenta un crecimiento alto. La regla de múltiplos a 12 meses cuenta otra historia, porque el PER de hoy (20,4 veces) está en mínimos de diez años: bajista de 185,73, base de 275,44 y alcista de 393,23 USD. La diferencia entre las dos lecturas es el corazón del informe: barata frente a su historia, no frente a su flujo de caja descontado al 9,4 %.</w:t>
      </w:r>
    </w:p>
    <w:p>
      <w:pPr>
        <w:pStyle w:val="Heading1"/>
      </w:pPr>
      <w:r>
        <w:t xml:space="preserve">22. Suma de partes</w:t>
      </w:r>
    </w:p>
    <w:p>
      <w:pPr>
        <w:pStyle w:val="Confianza"/>
        <w:spacing w:after="100"/>
      </w:pPr>
      <w:r>
        <w:t xml:space="preserve">Confianza: Media</w:t>
      </w:r>
    </w:p>
    <w:p>
      <w:pPr>
        <w:spacing w:after="100"/>
      </w:pPr>
      <w:r>
        <w:t xml:space="preserve">No aplica: el software (12 % de las ventas, y menos tras vender MatrixCare) no cambia la valoración; MatrixCare se valora en el puente por su precio de venta.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235,0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277,67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250,52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208,73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546,68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198,71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219,31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242,45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236,22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197,29 USD (-16,1 % sobre 235,04).</w:t>
      </w:r>
    </w:p>
    <w:p>
      <w:pPr>
        <w:spacing w:after="100"/>
      </w:pPr>
      <w:r>
        <w:t xml:space="preserve">Pesos: DCF 60 %, escenarios 30 % y comparables 10 %. El DCF es el método más fiable para un negocio estable y con caja; los comparables sirven poco: el EV/ventas compara márgenes del 37 % con los del 14 % de Philips, y Fisher &amp; Paykel e Inspire cotizan a 44 veces por crecimiento, con lo que el PER medio no dice nada. Las transacciones no se usan (pocas y sin múltiplos). La dispersión es grande: DCF 198,71, escenarios 190,65, DCF con la prima del mercado 221,50, EV/EBITDA de comparables 252,82 y objetivo medio de los analistas 250,52. El valor intrínseco de la síntesis queda en 197,29 USD, un 16,1 % por debajo del precio.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185,73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(20.4x) a mitad de camino hacia la mediana de 5 años (23.8x)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275,44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393,23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+68,3 %</w:t>
            </w:r>
          </w:p>
        </w:tc>
      </w:tr>
    </w:tbl>
    <w:p>
      <w:pPr>
        <w:spacing w:after="160" w:before="0"/>
      </w:pPr>
    </w:p>
    <w:p>
      <w:pPr>
        <w:spacing w:after="100"/>
      </w:pPr>
      <w:r>
        <w:rPr>
          <w:b/>
          <w:bCs/>
        </w:rPr>
        <w:t xml:space="preserve">Objetivo a 12 meses (ponderado):</w:t>
      </w:r>
      <w:r>
        <w:t xml:space="preserve"> 282,46 USD · rentabilidad +21,2 % (base +18,2 %) · señal Mantener.</w:t>
      </w:r>
    </w:p>
    <w:p>
      <w:pPr>
        <w:spacing w:after="100"/>
      </w:pPr>
      <w:r>
        <w:t xml:space="preserve">Para comparar, con la regla v2 (historia al cierre, mismo precio): 18,0x / 20,4x / 26,5x, 13,7 %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FY2027e (11,51 USD) está un 4,8 % por debajo del consenso (12,09) y el de FY2028e (12,52) un 5,4 % por debajo (13,24) [26]. Casi toda la diferencia es de base: el consenso es no GAAP y excluye la amortización de intangibles comprados (≈ 0,40 USD por acción); en ventas coincidimos en FY2027 (5.800 frente a 5.803 M) y vamos un 0,9 % por debajo en FY2028. Nuestro precio base (275,44) queda un 9,9 % por encima del objetivo medio de los analistas (250,52), porque la regla lleva el PER desde 20,4 hasta 22,0 veces, hacia la mediana de cinco años.</w:t>
      </w:r>
    </w:p>
    <w:p>
      <w:pPr>
        <w:keepNext/>
        <w:spacing w:after="100"/>
      </w:pPr>
      <w:r>
        <w:rPr>
          <w:b/>
          <w:bCs/>
        </w:rPr>
        <w:t xml:space="preserve">Del valor intrínseco al objetivo a 12 meses.</w:t>
      </w:r>
    </w:p>
    <w:p>
      <w:pPr>
        <w:spacing w:after="100"/>
      </w:pPr>
      <w:r>
        <w:t xml:space="preserve">El objetivo a 12 meses (282,46 USD) está un 43 % por encima del valor intrínseco (197,29). La distancia sale del múltiplo: la regla supone que el PER vuelve a mitad de camino hacia su mediana de cinco años (23,8 veces), mientras el DCF descuenta flujos a un WACC del 9,37 % con un crecimiento menor que el histórico. Para cerrar la distancia hacia arriba haría falta que los resultados del 1T27 (29-oct) y siguientes muestren equipos creciendo al 6-8 % pese a los GLP-1 y sin Philips; hacia abajo, que Philips vuelva o que los GLP-1 orales frenen los inicios. Es una tesis de múltiplo a 12 meses, no de valor.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1T27 (primeros sin MatrixCare completo y con el Astral suspendido)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comparable de equipos y margen bruto frente a la guía de «ligera caída» [32]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Diciembre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Liquidación de la recompra acelerada de 450 M con Citibank</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Entrega de las acciones restantes (≈ 0,4 M) [7]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la FDA sobre AD109 (Apnimed), primer fármaco específico para la apnea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se aprueba, alternativa oral para quien no tolera la CPAP; efecto real limitado por los abandonos (21 %) [15]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Certificación de las fábricas de Philips Respironics y vuelta a la venta de equipos nuevos en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de cuota y precio en equipos de EE. UU. [14]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inicios de terapia y de reposición de mascarillas en pacientes con GLP-1 orales (Foundayo, Wegovy en pastilla)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si los GLP-1 baratos frenan los equipos [16]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Junio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 de la línea de crédito de 1.500 M y del préstamo de 160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Refinanciación sin riesgo con caja neta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GLP-1 (tirzepatida, aprobada para la apnea en dic-2024, y orales baratos desde 2026) reducen la gravedad de la apnea y el número de nuevos pacientes de CPAP a 3-5 años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Sustitución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−26 % (escenario bajista del DCF, junto con Philips)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Hoy los GLP-1 llevan más pacientes a consulta (inicios +11 %); la pérdida de peso no se mantiene si se deja el fármaco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equipos en EE. UU. por debajo del 4 % a divisa constante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Regreso de Philips Respironics a la venta de equipos nuevos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 (pérdida de un 10 % del mercado de equipos de EE. UU. y presión de precios)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Reputación dañada por la retirada de 2021; ResMed fija a los proveedores con datos y reposición de mascarillas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Certificación del experto independiente o anuncio de Philips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fin de la exención del Protocolo de Nairobi o arancel de la Sección 232 sobre dispositivos médicos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−8 % (un arancel del 15 % sobre el coste de lo importado a EE. UU., sin repercutir)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Exención reconfirmada en agosto de 2026; fábricas en Singapur y Australia y capacidad en EE. UU.</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Resolución de la investigación de la Sección 232 o cambio de criterio de Aduanas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Inflación de costes y tierras raras (imanes con licencias chinas) que la productividad ya no compensa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cada punto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precio moderadas anunciadas en agosto de 2026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no GAAP por debajo del 61 %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de producto: nuevas acciones de campo tras la del Astral (41,9 M de provisión y ventas suspendidas)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−20 % según alcance (Philips perdió más de la mitad de su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limpio en los generadores de CPAP</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Cartas de advertencia de la FDA o ampliación de la acción del Astral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Terapias alternativas: estimulación del hipogloso (Inspire) y fármaco AD109 (decisión de la FDA el 28-feb-2027)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Sustitución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 −4 %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dirigen a quien no tolera la CPAP; AD109 con un 21 % de abandonos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 AD109 con indicación amplia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la IA generativa abarata el software de gestión (Brightree, MEDIFOX DAN) y los agentes cambian los flujos administrativos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 −3 % (el software es el 8 % de las ventas tras vender MatrixCare)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equipos y mascarillas no son sustituibles por IA; la IA mejora el diagnóstico y el cumplimiento, que llevan pacientes a la CPAP</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software por debajo del 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Reembolso: licitación competitiva de Medicare para equipos médicos domiciliarios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a −6 %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Afecta al proveedor antes que al fabricante; ResMed es el más eficiente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Calendario de CMS para la nueva ronda</w:t>
            </w:r>
          </w:p>
        </w:tc>
      </w:tr>
    </w:tbl>
    <w:p>
      <w:pPr>
        <w:spacing w:after="160" w:before="0"/>
      </w:pPr>
    </w:p>
    <w:p>
      <w:pPr>
        <w:pStyle w:val="Heading2"/>
      </w:pPr>
      <w:r>
        <w:t xml:space="preserve">Pre-mortem</w:t>
      </w:r>
    </w:p>
    <w:p>
      <w:pPr>
        <w:spacing w:after="100"/>
      </w:pPr>
      <w:r>
        <w:t xml:space="preserve">Octubre de 2029: la acción ha perdido un 40 %. La historia más probable empieza en 2027: Lilly y Novo bajan el precio de sus GLP-1 orales y las aseguradoras los cubren para la obesidad con apnea; los médicos de atención primaria tratan primero con el fármaco y retrasan la prueba de sueño. Los inicios de CPAP en EE. UU. dejan de crecer en 2028. Al mismo tiempo Philips obtiene la certificación de sus fábricas, vuelve con descuentos para recuperar a los grandes proveedores domiciliarios y se lleva un 15 % de los equipos nuevos. ResMed defiende cuota con precio: el margen bruto vuelve al 58 % de 2023 y el crecimiento de ingresos cae al 1-2 %. El mercado, que ya pagaba solo 20 veces, pasa a valorarla como Philips o Medtronic, a 14-15 veces un beneficio que ya no crece. Las señales que lo habrían anticipado: el crecimiento de equipos en EE. UU. por debajo del 4 % a divisa constante, el margen bruto no GAAP por debajo del 61 % y la certificación de las fábricas de Philips. Las mascarillas (reposición de la base instalada) habrían aguantado más, y eso es lo que impide un escenario peor.</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es la calidad y la seguridad del producto: la retirada de Philips en 2021 muestra el coste de un fallo (miles de millones en reparaciones y litigios), y ResMed ha tenido dos acciones de campo (mascarillas con imanes en 2024 y Astral en 2026, con 41,9 M de provisión y la suspensión de ventas) [9]. Le sigue la privacidad de los datos de salud de millones de pacientes conectados, regulada por HIPAA y el RGPD [1]. El suministro de imanes de tierras raras bajo licencias chinas es un riesgo de cadena [1].</w:t>
      </w:r>
    </w:p>
    <w:p>
      <w:pPr>
        <w:pStyle w:val="Heading2"/>
      </w:pPr>
      <w:r>
        <w:t xml:space="preserve">Controversias</w:t>
      </w:r>
    </w:p>
    <w:p>
      <w:pPr>
        <w:spacing w:after="100"/>
      </w:pPr>
      <w:r>
        <w:t xml:space="preserve">Demanda de un denunciante (ley de reclamaciones falsas) contra Philips, Fisher &amp; Paykel y ResMed por sobreprecios de CPAP a la sanidad de veteranos: el Gobierno no intervino y el demandante la retiró contra ResMed en abril de 2026 [1]. En 2020 ResMed pagó unos 37,5 M USD para cerrar una investigación del Departamento de Justicia sobre incentivos a proveedores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GLP-1</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tasa de inicio, cumplimiento y reposición de mascarillas tienen los pacientes con GLP-1 orales frente a los inyectables, y a 24 meses?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dato del +11 % de inicios es de inyectables y a corto plazo; la tesis bajista es a 3-5 años.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cuota de equipos en EE. UU. y qué precio supone la guía si Philips vuelve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no habló de Philips en la conferencia del 4T26; es el riesgo de mayor impacto con fecha incierta.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y volumen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crecimiento comparable del 5-7 % de FY2027 es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no lo desglosó; con más precio, el volumen sería más débil de lo que parece.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Astral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vuelven las ventas del Astral y qué cuota se pierde en ventilación mientras tanto?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75 M de ingresos menos en FY2027 y sin decisión para FY2028.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coste de los equipos vendidos en EE. UU. quedaría expuesta si cae la exención de Nairobi?</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Determina el impacto de la Sección 232.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recomprar 1.500 M en vez de comprar terapias complementarias (diagnóstico en casa, sensores)?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estrategia 2030 habla de ecosistema del sueño y la caja se va a recompras.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¿Cuál es el plan de sucesión del presidente y consejero delegado?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años en el cargo, presidente a la vez y sin sucesor anunciado.</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($RMD)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alcistas que bajistas en octubre («compro aquí»), pero con mensajes muy negativos que ven a Philips, React y los GLP-1 convertir la CPAP en «una opción más» para el paciente [34].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autores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4T26 predominan las tesis de valor: la caída por miedo deja margen de seguridad y la amenaza de los GLP-1 está exagerada [35, 36].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(enero-junio de 2026)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primera mitad del año hubo tesis de «venta fuerte» por los GLP-1 y una idea corta de un análisis independiente, junto a la rebaja de Morgan Stanley [35].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Simply Wall St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Debate sobre si la caída del 23 % en el año ya descuenta a Philips y los GLP-1 [37].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GLP-1 y fármacos orales contra la obesidad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ahora los datos de ResMed (inicios de terapia +11 % con GLP-1) y el crecimiento de equipos (+9 %) no muestran daño; el riesgo es a 3-5 años y lo recogemos en el bajista.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Regreso de Philips a EE. UU.</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fecha oficial a mayo de 2026; nuestro bajista supone que recupera cuota y presiona precios.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y valoración barata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1.500 M de recompras en FY2027 (el 4,5 % de la capitalización) y PER de unas 20 veces, mínimo de diez años.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Márgenes e inflación de costes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dirección admite que ya no compensa la inflación solo con productividad; subidas de precio moderadas.</w:t>
            </w:r>
          </w:p>
        </w:tc>
      </w:tr>
    </w:tbl>
    <w:p>
      <w:pPr>
        <w:spacing w:after="160" w:before="0"/>
      </w:pPr>
    </w:p>
    <w:p>
      <w:pPr>
        <w:spacing w:after="100"/>
      </w:pPr>
      <w:r>
        <w:t xml:space="preserve">El inversor particular está dividido y algo más optimista desde agosto: los alcistas ven una empresa de calidad a precio de saldo con recompras, y los bajistas, un negocio que perderá su monopolio de hecho con los GLP-1, Philips y las alternativas. No es euforia ni capitulación: el sentimiento sigue al del consenso de analistas (10 mantener frente a 9 comprar). No aporta un riesgo que el informe no recoja; confirma que la tesis depende de una sola pregunta, la velocidad a la que los GLP-1 y Philips erosionan los equipos.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18 controles correctos. Fuentes: 37 (15 primarias); citas distintas en el texto: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29,5 % frente a 29,6 % real: genera una variación de circulante de 38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37 fuentes (15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y 10-K de ResMed (no publican calificaciones de terceros); 2) búsqueda de MSCI y Sustainalytics para RMD (de pago); 3) prensa sectorial (sin cifra fechada)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FINRA (no accesible sin búsqueda manual); 2) Stock Analysis (9,15 % del capital libre, cifra no contrastada y muy por encima de lo habitual en RMD); 3) Yahoo (sin dato en el módulo)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estimaciones FY2029 y EBITDA de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Yahoo Finance (solo FY2027-FY2028); 2) Stock Analysis (FY2028+ de pago); 3) MarketScreener (pide registro)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cerrado el 30-jun-2026 (cuentas, notas 8 deuda, 13 segmentos y 18 compras y ventas)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ResMed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https://www.sec.gov/Archives/edgar/data/943819/000094381926000047/rmd-20260630.htm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ResMed announces results for the fourth quarter of fiscal year 2026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ResMed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https://www.sec.gov/Archives/edgar/data/943819/000119312526337962/d158732dex991.htm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Hechos XBRL de los 10-K y 10-Q (companyfacts, CIK 943819)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https://data.sec.gov/api/xbrl/companyfacts/CIK0000943819.json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ResMed announces results for the third quarter of fiscal year 2026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ResMed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https://www.sec.gov/Archives/edgar/data/943819/000119312526197192/d146862dex991.htm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ResMed announces results for the second quarter of fiscal year 2026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ResMed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https://www.sec.gov/Archives/edgar/data/943819/000119312526029326/d80310dex991.htm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acuerdo de venta de MatrixCare (220 M USD de ingresos y 55 M de beneficio operativo no GAAP en FY2026; Noctrix, 30 M de ingresos en FY2027)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ResMed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https://www.sec.gov/Archives/edgar/data/943819/000119312526297658/d88958d8k.htm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recompra acelerada (ASR) de 450 M USD con Citibank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ResMed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https://www.sec.gov/Archives/edgar/data/943819/000119312526378487/d530283d8k.htm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cambio de auditor (KPMG sustituido por PwC desde FY2027, sin desacuerdos)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ResMed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https://www.sec.gov/Archives/edgar/data/943819/000119312526354154/d292919d8k.htm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ResMed (RMD) Q4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(vía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https://www.webull.com/news/15401856615130112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acciones en circulación el 22-sep-2026 (140.639.243) y autocartera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ResMed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https://www.sec.gov/Archives/edgar/data/943819/000094381926000080/rmd-20261001.htm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Sleep Apnea Devices Market Size report (9,3 mil M USD en 2025, 18,7 mil M en 2035, TCAC 7,2 %)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https://www.gminsights.com/industry-analysis/sleep-apnea-devices-market-report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Sleep apnea devices market (7,1 mil M USD en 2025; TCAC 7,1 % hasta 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Research Future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https://www.marketresearchfuture.com/reports/sleep-apnea-devices-market-2061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FDA approves first medication for obstructive sleep apnea (Zepbound, tirzepatida)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Food and Drug Administration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https://www.fda.gov/news-events/press-announcements/fda-approves-first-medication-obstructive-sleep-apnea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Philips Respironics: Frequently Asked Questions (consentimiento judicial; ventas de equipos nuevos en EE. UU. solo cuando se cumplan los requisitos)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Koninklijke Philips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https://www.philips.com/c-dam/assets/corporate/global/investor/20260506_Respironics_FAQ.pdf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FDA accepts NDA for Apnimed AD109 in obstructive sleep apnea (PDUFA 28-feb-2027)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NeurologyLive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https://www.neurologylive.com/view/fda-accepts-nda-apnimed-ad109-treatment-obstructive-sleep-apnea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FDA approves orforglipron (Foundayo), oral GLP-1 for weight loss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Patient Care 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https://www.patientcareonline.com/view/fda-approves-orforglipron-first-oral-glp-1-receptor-agonist-for-weight-loss-with-no-food-or-water-restrictions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Benjafield et al., Estimation of the global prevalence and burden of obstructive sleep apnoea (936 M de adultos de 30-69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Lancet Respiratory Medicine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https://doi.org/10.1016/S2213-2600(19)30198-5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Trump’s tariffs: Resmed «well-positioned» with exemptions (Protocolo de Nairobi)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HME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https://www.hmenews.com/article/trump-s-tariffs-resmed-well-positioned-with-exemptions-ceo-says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Section 232 probe reignites tariff uncertainty for medtech firms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(MedTech Dive)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https://finance.yahoo.com/news/section-232-probe-reignites-tariff-092445650.html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cotización y cuentas de Philips, Fisher &amp; Paykel, Inspire, Inogen, Stryker y Medtronic (quoteSummary)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https://finance.yahoo.com/quote/PHG/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ResMed shares are falling today (rebaja de Morgan Stanley: regreso de Philips y GLP-1)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StockStory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https://stocks.observer-reporter.com/observerreporter/article/stockstory-2026-6-17-why-resmed-rmd-shares-are-falling-today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relevo del director financiero (Brett Sandercock → Aaron Bloomer)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ResMed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https://www.sec.gov/Archives/edgar/data/943819/000119312526197282/d50610dex991.htm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Carol Burt, consejera coordinadora; retiro de Ron Taylor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ResMed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https://www.sec.gov/Archives/edgar/data/943819/000119312526354154/d292919dex991.htm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directivos y consejeros (14-oct-2025 a 14-oct-2026), resumidos con herramientas/form4.mjs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https://www.sec.gov/cgi-bin/browse-edgar?action=getcompany&amp;CIK=0000943819&amp;type=4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RMD, ^GSPC e IHI (herramientas/bolsa.mjs), hasta el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https://finance.yahoo.com/quote/RMD/history/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RMD, PHG, FPH.NZ, INSP, INGN, SYK, MDT: capitalización, valor empresa, múltiplos, márgenes, deuda, caja libre y estimaciones (quoteSummary, earningsTrend)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https://finance.yahoo.com/quote/RMD/analysis/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ResMed (RMD) stock forecast: price target and analyst ratings (20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https://stockanalysis.com/stocks/rmd/forecast/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Statistics: ROIC de Stryker, Medtronic, Philips, Inspire y ResMed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https://stockanalysis.com/stocks/rmd/statistics/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 5,24 % el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1,1195; NZD 1,9941) del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Resmed to report first quarter fiscal 2027 earnings on October 29,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ResMed Inc.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https://www.globenewswire.com/news-release/2026/10/01/3373380/0/en/index.html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Zoll to acquire Itamar Medical for $538 million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MassDevice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https://www.massdevice.com/zoll-to-acquire-itamar-medical-for-538m/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mensajes sobre $RMD (agosto-octubre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https://stocktwits.com/symbol/RMD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artículos y debate sobre RMD (junio-septiembre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https://seekingalpha.com/symbol/RMD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«ResMed: A Significant Upside Despite The Perceived Risk»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https://seekingalpha.com/symbol/RMD/analysis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comunidad y narrativas de RMD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https://simplywall.st/NYSE:RMD/</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89,0 %</w:t>
      </w:r>
      <w:r>
        <w:t xml:space="preserve"> · Secciones con menos del 60 % de campos cubiertos: </w:t>
      </w:r>
      <w:r>
        <w:rPr>
          <w:b/>
          <w:bCs/>
        </w:rPr>
        <w:t xml:space="preserve">ninguna</w:t>
      </w:r>
      <w:r>
        <w:t xml:space="preserve"> · Generado el 14 oct 2026.</w:t>
      </w:r>
    </w:p>
    <w:p>
      <w:pPr>
        <w:pStyle w:val="Nota"/>
        <w:spacing w:after="100"/>
      </w:pPr>
      <w:r>
        <w:t xml:space="preserve">Línea cotizada: la acción ordinaria en la NYSE (RMD), en USD; también cotiza en la ASX mediante CDI (diez CDI por acción). Precio: cierre del 13-oct-2026 (235,04 USD), porque a la hora del corte la sesión del 14-oct no había cerrado; equivale a 209,95 EUR por acción con el BCE del 14-oct (1,1195 USD/EUR), un 0,7 % de una cartera de 30.000 EUR. Cuentas del XBRL de la SEC (FY2019-FY2026, ejercicio a 30 de junio, etiqueta del año en que termina) comprobadas contra el 10-K y las notas de resultados; la deuda total se corrigió a mano (el XBRL solo daba la de largo plazo en algunos años). Los arrendamientos son operativos (US GAAP): su gasto está en el EBITDA y su pasivo (166 M) no va al puente. El consenso de BPA es no GAAP (sin amortización de intangibles comprados, ≈ 0,40 USD por acción); nuestro BPA es GAAP sin partidas no recurrentes. Las recompras pagadas entre el balance (30-jun) y el 22-sep (≈ 904 M) son estimación propia con el aumento de la autocartera. Comparables de Yahoo Finance en sesión del 14-oct; su EV/EBITDA NTM es estimación propia.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ResMed Inc. (RMD)</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235,04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(180,27 – 277,67)</c:v>
                </c:pt>
                <c:pt idx="1">
                  <c:v>Precio objetivo de los analistas (175,00 – 320,00)</c:v>
                </c:pt>
                <c:pt idx="2">
                  <c:v>Comparables: PER NTM (180,16 – 546,68)</c:v>
                </c:pt>
                <c:pt idx="3">
                  <c:v>DCF (WACC y g ± 0,5) (175,98 – 229,80)</c:v>
                </c:pt>
                <c:pt idx="4">
                  <c:v>Escenarios (bajista – alcista) (145,87 – 219,31)</c:v>
                </c:pt>
                <c:pt idx="5">
                  <c:v>DCF con la prima implícita del mercado (4,2 %)</c:v>
                </c:pt>
                <c:pt idx="6">
                  <c:v>Precio actual (235,04)</c:v>
                </c:pt>
              </c:strCache>
            </c:strRef>
          </c:cat>
          <c:val>
            <c:numRef>
              <c:f>Hoja1!$B$2:$B$8</c:f>
              <c:numCache>
                <c:formatCode>#,##0</c:formatCode>
                <c:ptCount val="7"/>
                <c:pt idx="0">
                  <c:v>180.27</c:v>
                </c:pt>
                <c:pt idx="1">
                  <c:v>175</c:v>
                </c:pt>
                <c:pt idx="2">
                  <c:v>180.16</c:v>
                </c:pt>
                <c:pt idx="3">
                  <c:v>175.98</c:v>
                </c:pt>
                <c:pt idx="4">
                  <c:v>145.87</c:v>
                </c:pt>
                <c:pt idx="5">
                  <c:v>203.94</c:v>
                </c:pt>
                <c:pt idx="6">
                  <c:v>233.86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(180,27 – 277,67)</c:v>
                </c:pt>
                <c:pt idx="1">
                  <c:v>Precio objetivo de los analistas (175,00 – 320,00)</c:v>
                </c:pt>
                <c:pt idx="2">
                  <c:v>Comparables: PER NTM (180,16 – 546,68)</c:v>
                </c:pt>
                <c:pt idx="3">
                  <c:v>DCF (WACC y g ± 0,5) (175,98 – 229,80)</c:v>
                </c:pt>
                <c:pt idx="4">
                  <c:v>Escenarios (bajista – alcista) (145,87 – 219,31)</c:v>
                </c:pt>
                <c:pt idx="5">
                  <c:v>DCF con la prima implícita del mercado (4,2 %)</c:v>
                </c:pt>
                <c:pt idx="6">
                  <c:v>Precio actual (235,04)</c:v>
                </c:pt>
              </c:strCache>
            </c:strRef>
          </c:cat>
          <c:val>
            <c:numRef>
              <c:f>Hoja1!$C$2:$C$8</c:f>
              <c:numCache>
                <c:formatCode>#,##0</c:formatCode>
                <c:ptCount val="7"/>
                <c:pt idx="0">
                  <c:v>97.4</c:v>
                </c:pt>
                <c:pt idx="1">
                  <c:v>145</c:v>
                </c:pt>
                <c:pt idx="2">
                  <c:v>366.52</c:v>
                </c:pt>
                <c:pt idx="3">
                  <c:v>53.82000000000002</c:v>
                </c:pt>
                <c:pt idx="4">
                  <c:v>73.44</c:v>
                </c:pt>
                <c:pt idx="5">
                  <c:v>38.50999999999999</c:v>
                </c:pt>
                <c:pt idx="6">
                  <c:v>2.359999999999985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Sleep and Breathing Health</c:v>
                </c:pt>
              </c:strCache>
            </c:strRef>
          </c:tx>
          <c:spPr>
            <a:solidFill>
              <a:srgbClr val="2A78D6"/>
            </a:solidFill>
            <a:ln w="12700">
              <a:solidFill>
                <a:srgbClr val="FFFFFF"/>
              </a:solidFill>
            </a:ln>
          </c:spPr>
          <c:invertIfNegative val="0"/>
          <c:cat>
            <c:strRef>
              <c:f>Hoja1!$A$2:$A$4</c:f>
              <c:strCache>
                <c:ptCount val="3"/>
                <c:pt idx="0">
                  <c:v>2024</c:v>
                </c:pt>
                <c:pt idx="1">
                  <c:v>2025</c:v>
                </c:pt>
                <c:pt idx="2">
                  <c:v>2026</c:v>
                </c:pt>
              </c:strCache>
            </c:strRef>
          </c:cat>
          <c:val>
            <c:numRef>
              <c:f>Hoja1!$B$2:$B$4</c:f>
              <c:numCache>
                <c:formatCode>#,##0</c:formatCode>
                <c:ptCount val="3"/>
                <c:pt idx="0">
                  <c:v>4101.2</c:v>
                </c:pt>
                <c:pt idx="1">
                  <c:v>4504.9</c:v>
                </c:pt>
                <c:pt idx="2">
                  <c:v>4977.6</c:v>
                </c:pt>
              </c:numCache>
            </c:numRef>
          </c:val>
        </c:ser>
        <c:ser>
          <c:idx val="1"/>
          <c:order val="1"/>
          <c:tx>
            <c:strRef>
              <c:f>Hoja1!$C$1</c:f>
              <c:strCache>
                <c:ptCount val="1"/>
                <c:pt idx="0">
                  <c:v>Residential Care Software</c:v>
                </c:pt>
              </c:strCache>
            </c:strRef>
          </c:tx>
          <c:spPr>
            <a:solidFill>
              <a:srgbClr val="EB6834"/>
            </a:solidFill>
            <a:ln w="12700">
              <a:solidFill>
                <a:srgbClr val="FFFFFF"/>
              </a:solidFill>
            </a:ln>
          </c:spPr>
          <c:invertIfNegative val="0"/>
          <c:cat>
            <c:strRef>
              <c:f>Hoja1!$A$2:$A$4</c:f>
              <c:strCache>
                <c:ptCount val="3"/>
                <c:pt idx="0">
                  <c:v>2024</c:v>
                </c:pt>
                <c:pt idx="1">
                  <c:v>2025</c:v>
                </c:pt>
                <c:pt idx="2">
                  <c:v>2026</c:v>
                </c:pt>
              </c:strCache>
            </c:strRef>
          </c:cat>
          <c:val>
            <c:numRef>
              <c:f>Hoja1!$C$2:$C$4</c:f>
              <c:numCache>
                <c:formatCode>#,##0</c:formatCode>
                <c:ptCount val="3"/>
                <c:pt idx="0">
                  <c:v>584.1</c:v>
                </c:pt>
                <c:pt idx="1">
                  <c:v>641.4</c:v>
                </c:pt>
                <c:pt idx="2">
                  <c:v>675.8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Sleep and Breathing Health</c:v>
                </c:pt>
                <c:pt idx="1">
                  <c:v>Residential Care Software</c:v>
                </c:pt>
              </c:strCache>
            </c:strRef>
          </c:cat>
          <c:val>
            <c:numRef>
              <c:f>Hoja1!$B$2:$B$3</c:f>
              <c:numCache>
                <c:formatCode>General</c:formatCode>
                <c:ptCount val="2"/>
                <c:pt idx="0">
                  <c:v>88</c:v>
                </c:pt>
                <c:pt idx="1">
                  <c:v>12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Resto del mundo</c:v>
                </c:pt>
              </c:strCache>
            </c:strRef>
          </c:cat>
          <c:val>
            <c:numRef>
              <c:f>Hoja1!$B$2:$B$3</c:f>
              <c:numCache>
                <c:formatCode>0"%"</c:formatCode>
                <c:ptCount val="2"/>
                <c:pt idx="0">
                  <c:v>63</c:v>
                </c:pt>
                <c:pt idx="1">
                  <c:v>37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(Global Market Insights; 2026e-2030e con su TCAC del 7,2 %))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2024</c:v>
                </c:pt>
                <c:pt idx="1">
                  <c:v>2025</c:v>
                </c:pt>
                <c:pt idx="2">
                  <c:v>2026e</c:v>
                </c:pt>
                <c:pt idx="3">
                  <c:v>2027e</c:v>
                </c:pt>
                <c:pt idx="4">
                  <c:v>2028e</c:v>
                </c:pt>
                <c:pt idx="5">
                  <c:v>2030e</c:v>
                </c:pt>
              </c:strCache>
            </c:strRef>
          </c:cat>
          <c:val>
            <c:numRef>
              <c:f>Hoja1!$B$2:$B$7</c:f>
              <c:numCache>
                <c:formatCode>#,##0</c:formatCode>
                <c:ptCount val="6"/>
                <c:pt idx="0">
                  <c:v>8800</c:v>
                </c:pt>
                <c:pt idx="1">
                  <c:v>9300</c:v>
                </c:pt>
                <c:pt idx="2">
                  <c:v>9970</c:v>
                </c:pt>
                <c:pt idx="3">
                  <c:v>10688</c:v>
                </c:pt>
                <c:pt idx="4">
                  <c:v>11457</c:v>
                </c:pt>
                <c:pt idx="5">
                  <c:v>13166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3</c:v>
                </c:pt>
                <c:pt idx="3">
                  <c:v>2</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ResMed</c:v>
                </c:pt>
                <c:pt idx="1">
                  <c:v>Philips (Sleep &amp; Respiratory Care)</c:v>
                </c:pt>
                <c:pt idx="2">
                  <c:v>Fisher &amp; Paykel Healthcare</c:v>
                </c:pt>
                <c:pt idx="3">
                  <c:v>Inspire Medical Systems</c:v>
                </c:pt>
                <c:pt idx="4">
                  <c:v>Inogen</c:v>
                </c:pt>
                <c:pt idx="5">
                  <c:v>React Health / BMC / Yuyue</c:v>
                </c:pt>
              </c:strCache>
            </c:strRef>
          </c:cat>
          <c:val>
            <c:numRef>
              <c:f>Hoja1!$B$2:$B$7</c:f>
              <c:numCache>
                <c:formatCode>0.0"%"</c:formatCode>
                <c:ptCount val="6"/>
                <c:pt idx="0">
                  <c:v>34.7</c:v>
                </c:pt>
                <c:pt idx="1">
                  <c:v>14</c:v>
                </c:pt>
                <c:pt idx="2">
                  <c:v>28.7</c:v>
                </c:pt>
                <c:pt idx="3">
                  <c:v>-0.3</c:v>
                </c:pt>
                <c:pt idx="4">
                  <c:v>-5.1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3</c:v>
                </c:pt>
                <c:pt idx="2">
                  <c:v>3</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2019</c:v>
                </c:pt>
                <c:pt idx="1">
                  <c:v>2020</c:v>
                </c:pt>
                <c:pt idx="2">
                  <c:v>2021</c:v>
                </c:pt>
                <c:pt idx="3">
                  <c:v>2022</c:v>
                </c:pt>
                <c:pt idx="4">
                  <c:v>2023</c:v>
                </c:pt>
                <c:pt idx="5">
                  <c:v>2024</c:v>
                </c:pt>
                <c:pt idx="6">
                  <c:v>2025</c:v>
                </c:pt>
                <c:pt idx="7">
                  <c:v>2026</c:v>
                </c:pt>
                <c:pt idx="8">
                  <c:v>2027e</c:v>
                </c:pt>
                <c:pt idx="9">
                  <c:v>2028e</c:v>
                </c:pt>
                <c:pt idx="10">
                  <c:v>2029e</c:v>
                </c:pt>
                <c:pt idx="11">
                  <c:v>2030e</c:v>
                </c:pt>
                <c:pt idx="12">
                  <c:v>2031e</c:v>
                </c:pt>
                <c:pt idx="13">
                  <c:v>2032e</c:v>
                </c:pt>
                <c:pt idx="14">
                  <c:v>2033e</c:v>
                </c:pt>
              </c:strCache>
            </c:strRef>
          </c:cat>
          <c:val>
            <c:numRef>
              <c:f>Hoja1!$B$2:$B$16</c:f>
              <c:numCache>
                <c:formatCode>#,##0</c:formatCode>
                <c:ptCount val="15"/>
                <c:pt idx="0">
                  <c:v>2606.6</c:v>
                </c:pt>
                <c:pt idx="1">
                  <c:v>2957</c:v>
                </c:pt>
                <c:pt idx="2">
                  <c:v>3196.8</c:v>
                </c:pt>
                <c:pt idx="3">
                  <c:v>3578.1</c:v>
                </c:pt>
                <c:pt idx="4">
                  <c:v>4223</c:v>
                </c:pt>
                <c:pt idx="5">
                  <c:v>4685.3</c:v>
                </c:pt>
                <c:pt idx="6">
                  <c:v>5146.3</c:v>
                </c:pt>
                <c:pt idx="7">
                  <c:v>5653.4</c:v>
                </c:pt>
                <c:pt idx="8">
                  <c:v>5800</c:v>
                </c:pt>
                <c:pt idx="9">
                  <c:v>6119</c:v>
                </c:pt>
                <c:pt idx="10">
                  <c:v>6456</c:v>
                </c:pt>
                <c:pt idx="11">
                  <c:v>6779</c:v>
                </c:pt>
                <c:pt idx="12">
                  <c:v>7084</c:v>
                </c:pt>
                <c:pt idx="13">
                  <c:v>7367</c:v>
                </c:pt>
                <c:pt idx="14">
                  <c:v>7625</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2019</c:v>
                </c:pt>
                <c:pt idx="1">
                  <c:v>2020</c:v>
                </c:pt>
                <c:pt idx="2">
                  <c:v>2021</c:v>
                </c:pt>
                <c:pt idx="3">
                  <c:v>2022</c:v>
                </c:pt>
                <c:pt idx="4">
                  <c:v>2023</c:v>
                </c:pt>
                <c:pt idx="5">
                  <c:v>2024</c:v>
                </c:pt>
                <c:pt idx="6">
                  <c:v>2025</c:v>
                </c:pt>
                <c:pt idx="7">
                  <c:v>2026</c:v>
                </c:pt>
                <c:pt idx="8">
                  <c:v>2027e</c:v>
                </c:pt>
                <c:pt idx="9">
                  <c:v>2028e</c:v>
                </c:pt>
                <c:pt idx="10">
                  <c:v>2029e</c:v>
                </c:pt>
                <c:pt idx="11">
                  <c:v>2030e</c:v>
                </c:pt>
                <c:pt idx="12">
                  <c:v>2031e</c:v>
                </c:pt>
                <c:pt idx="13">
                  <c:v>2032e</c:v>
                </c:pt>
                <c:pt idx="14">
                  <c:v>2033e</c:v>
                </c:pt>
              </c:strCache>
            </c:strRef>
          </c:cat>
          <c:val>
            <c:numRef>
              <c:f>Hoja1!$C$2:$C$16</c:f>
              <c:numCache>
                <c:formatCode>#,##0</c:formatCode>
                <c:ptCount val="15"/>
                <c:pt idx="0">
                  <c:v>739.5</c:v>
                </c:pt>
                <c:pt idx="1">
                  <c:v>964.6</c:v>
                </c:pt>
                <c:pt idx="2">
                  <c:v>1069.2</c:v>
                </c:pt>
                <c:pt idx="3">
                  <c:v>1159.9</c:v>
                </c:pt>
                <c:pt idx="4">
                  <c:v>1306.3</c:v>
                </c:pt>
                <c:pt idx="5">
                  <c:v>1575.3</c:v>
                </c:pt>
                <c:pt idx="6">
                  <c:v>1884.4</c:v>
                </c:pt>
                <c:pt idx="7">
                  <c:v>2163.1</c:v>
                </c:pt>
                <c:pt idx="8">
                  <c:v>2245</c:v>
                </c:pt>
                <c:pt idx="9">
                  <c:v>2399</c:v>
                </c:pt>
                <c:pt idx="10">
                  <c:v>2544</c:v>
                </c:pt>
                <c:pt idx="11">
                  <c:v>2678</c:v>
                </c:pt>
                <c:pt idx="12">
                  <c:v>2798</c:v>
                </c:pt>
                <c:pt idx="13">
                  <c:v>2910</c:v>
                </c:pt>
                <c:pt idx="14">
                  <c:v>3012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2019</c:v>
                </c:pt>
                <c:pt idx="1">
                  <c:v>2020</c:v>
                </c:pt>
                <c:pt idx="2">
                  <c:v>2021</c:v>
                </c:pt>
                <c:pt idx="3">
                  <c:v>2022</c:v>
                </c:pt>
                <c:pt idx="4">
                  <c:v>2023</c:v>
                </c:pt>
                <c:pt idx="5">
                  <c:v>2024</c:v>
                </c:pt>
                <c:pt idx="6">
                  <c:v>2025</c:v>
                </c:pt>
                <c:pt idx="7">
                  <c:v>2026</c:v>
                </c:pt>
              </c:strCache>
            </c:strRef>
          </c:cat>
          <c:val>
            <c:numRef>
              <c:f>Hoja1!$B$2:$B$9</c:f>
              <c:numCache>
                <c:formatCode>0"%"</c:formatCode>
                <c:ptCount val="8"/>
                <c:pt idx="0">
                  <c:v>57.3</c:v>
                </c:pt>
                <c:pt idx="1">
                  <c:v>58.1</c:v>
                </c:pt>
                <c:pt idx="2">
                  <c:v>57.5</c:v>
                </c:pt>
                <c:pt idx="3">
                  <c:v>56.6</c:v>
                </c:pt>
                <c:pt idx="4">
                  <c:v>55.8</c:v>
                </c:pt>
                <c:pt idx="5">
                  <c:v>56.7</c:v>
                </c:pt>
                <c:pt idx="6">
                  <c:v>59.4</c:v>
                </c:pt>
                <c:pt idx="7">
                  <c:v>61.1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2019</c:v>
                </c:pt>
                <c:pt idx="1">
                  <c:v>2020</c:v>
                </c:pt>
                <c:pt idx="2">
                  <c:v>2021</c:v>
                </c:pt>
                <c:pt idx="3">
                  <c:v>2022</c:v>
                </c:pt>
                <c:pt idx="4">
                  <c:v>2023</c:v>
                </c:pt>
                <c:pt idx="5">
                  <c:v>2024</c:v>
                </c:pt>
                <c:pt idx="6">
                  <c:v>2025</c:v>
                </c:pt>
                <c:pt idx="7">
                  <c:v>2026</c:v>
                </c:pt>
              </c:strCache>
            </c:strRef>
          </c:cat>
          <c:val>
            <c:numRef>
              <c:f>Hoja1!$C$2:$C$9</c:f>
              <c:numCache>
                <c:formatCode>0"%"</c:formatCode>
                <c:ptCount val="8"/>
                <c:pt idx="0">
                  <c:v>28.4</c:v>
                </c:pt>
                <c:pt idx="1">
                  <c:v>32.6</c:v>
                </c:pt>
                <c:pt idx="2">
                  <c:v>33.4</c:v>
                </c:pt>
                <c:pt idx="3">
                  <c:v>32.4</c:v>
                </c:pt>
                <c:pt idx="4">
                  <c:v>30.9</c:v>
                </c:pt>
                <c:pt idx="5">
                  <c:v>33.6</c:v>
                </c:pt>
                <c:pt idx="6">
                  <c:v>36.6</c:v>
                </c:pt>
                <c:pt idx="7">
                  <c:v>38.3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2019</c:v>
                </c:pt>
                <c:pt idx="1">
                  <c:v>2020</c:v>
                </c:pt>
                <c:pt idx="2">
                  <c:v>2021</c:v>
                </c:pt>
                <c:pt idx="3">
                  <c:v>2022</c:v>
                </c:pt>
                <c:pt idx="4">
                  <c:v>2023</c:v>
                </c:pt>
                <c:pt idx="5">
                  <c:v>2024</c:v>
                </c:pt>
                <c:pt idx="6">
                  <c:v>2025</c:v>
                </c:pt>
                <c:pt idx="7">
                  <c:v>2026</c:v>
                </c:pt>
              </c:strCache>
            </c:strRef>
          </c:cat>
          <c:val>
            <c:numRef>
              <c:f>Hoja1!$D$2:$D$9</c:f>
              <c:numCache>
                <c:formatCode>0"%"</c:formatCode>
                <c:ptCount val="8"/>
                <c:pt idx="0">
                  <c:v>22.6</c:v>
                </c:pt>
                <c:pt idx="1">
                  <c:v>27.4</c:v>
                </c:pt>
                <c:pt idx="2">
                  <c:v>28.5</c:v>
                </c:pt>
                <c:pt idx="3">
                  <c:v>28</c:v>
                </c:pt>
                <c:pt idx="4">
                  <c:v>27</c:v>
                </c:pt>
                <c:pt idx="5">
                  <c:v>29.8</c:v>
                </c:pt>
                <c:pt idx="6">
                  <c:v>32.8</c:v>
                </c:pt>
                <c:pt idx="7">
                  <c:v>34.7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Hoja1!$A$2:$A$9</c:f>
              <c:strCache>
                <c:ptCount val="8"/>
                <c:pt idx="0">
                  <c:v>2019</c:v>
                </c:pt>
                <c:pt idx="1">
                  <c:v>2020</c:v>
                </c:pt>
                <c:pt idx="2">
                  <c:v>2021</c:v>
                </c:pt>
                <c:pt idx="3">
                  <c:v>2022</c:v>
                </c:pt>
                <c:pt idx="4">
                  <c:v>2023</c:v>
                </c:pt>
                <c:pt idx="5">
                  <c:v>2024</c:v>
                </c:pt>
                <c:pt idx="6">
                  <c:v>2025</c:v>
                </c:pt>
                <c:pt idx="7">
                  <c:v>2026</c:v>
                </c:pt>
              </c:strCache>
            </c:strRef>
          </c:cat>
          <c:val>
            <c:numRef>
              <c:f>Hoja1!$E$2:$E$9</c:f>
              <c:numCache>
                <c:formatCode>0"%"</c:formatCode>
                <c:ptCount val="8"/>
                <c:pt idx="0">
                  <c:v>15.5</c:v>
                </c:pt>
                <c:pt idx="1">
                  <c:v>21</c:v>
                </c:pt>
                <c:pt idx="2">
                  <c:v>14.8</c:v>
                </c:pt>
                <c:pt idx="3">
                  <c:v>21.8</c:v>
                </c:pt>
                <c:pt idx="4">
                  <c:v>21.3</c:v>
                </c:pt>
                <c:pt idx="5">
                  <c:v>21.8</c:v>
                </c:pt>
                <c:pt idx="6">
                  <c:v>27.2</c:v>
                </c:pt>
                <c:pt idx="7">
                  <c:v>26.9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1T25</c:v>
                </c:pt>
                <c:pt idx="1">
                  <c:v>2T25</c:v>
                </c:pt>
                <c:pt idx="2">
                  <c:v>3T25</c:v>
                </c:pt>
                <c:pt idx="3">
                  <c:v>4T25</c:v>
                </c:pt>
                <c:pt idx="4">
                  <c:v>1T26</c:v>
                </c:pt>
                <c:pt idx="5">
                  <c:v>2T26</c:v>
                </c:pt>
                <c:pt idx="6">
                  <c:v>3T26</c:v>
                </c:pt>
                <c:pt idx="7">
                  <c:v>4T26</c:v>
                </c:pt>
              </c:strCache>
            </c:strRef>
          </c:cat>
          <c:val>
            <c:numRef>
              <c:f>Hoja1!$B$2:$B$9</c:f>
              <c:numCache>
                <c:formatCode>0.0"%"</c:formatCode>
                <c:ptCount val="8"/>
                <c:pt idx="0">
                  <c:v>11.1</c:v>
                </c:pt>
                <c:pt idx="1">
                  <c:v>10.3</c:v>
                </c:pt>
                <c:pt idx="2">
                  <c:v>7.9</c:v>
                </c:pt>
                <c:pt idx="3">
                  <c:v>10.2</c:v>
                </c:pt>
                <c:pt idx="4">
                  <c:v>9.1</c:v>
                </c:pt>
                <c:pt idx="5">
                  <c:v>11</c:v>
                </c:pt>
                <c:pt idx="6">
                  <c:v>10.8</c:v>
                </c:pt>
                <c:pt idx="7">
                  <c:v>8.6</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1T25</c:v>
                </c:pt>
                <c:pt idx="1">
                  <c:v>2T25</c:v>
                </c:pt>
                <c:pt idx="2">
                  <c:v>3T25</c:v>
                </c:pt>
                <c:pt idx="3">
                  <c:v>4T25</c:v>
                </c:pt>
                <c:pt idx="4">
                  <c:v>1T26</c:v>
                </c:pt>
                <c:pt idx="5">
                  <c:v>2T26</c:v>
                </c:pt>
                <c:pt idx="6">
                  <c:v>3T26</c:v>
                </c:pt>
                <c:pt idx="7">
                  <c:v>4T26</c:v>
                </c:pt>
              </c:strCache>
            </c:strRef>
          </c:cat>
          <c:val>
            <c:numRef>
              <c:f>Hoja1!$C$2:$C$9</c:f>
              <c:numCache>
                <c:formatCode>0.0"%"</c:formatCode>
                <c:ptCount val="8"/>
                <c:pt idx="7">
                  <c:v>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2019</c:v>
                </c:pt>
                <c:pt idx="1">
                  <c:v>2020</c:v>
                </c:pt>
                <c:pt idx="2">
                  <c:v>2021</c:v>
                </c:pt>
                <c:pt idx="3">
                  <c:v>2022</c:v>
                </c:pt>
                <c:pt idx="4">
                  <c:v>2023</c:v>
                </c:pt>
                <c:pt idx="5">
                  <c:v>2024</c:v>
                </c:pt>
                <c:pt idx="6">
                  <c:v>2025</c:v>
                </c:pt>
                <c:pt idx="7">
                  <c:v>2026</c:v>
                </c:pt>
              </c:strCache>
            </c:strRef>
          </c:cat>
          <c:val>
            <c:numRef>
              <c:f>Hoja1!$B$2:$B$9</c:f>
              <c:numCache>
                <c:formatCode>0</c:formatCode>
                <c:ptCount val="8"/>
                <c:pt idx="0">
                  <c:v>74</c:v>
                </c:pt>
                <c:pt idx="1">
                  <c:v>59</c:v>
                </c:pt>
                <c:pt idx="2">
                  <c:v>70</c:v>
                </c:pt>
                <c:pt idx="3">
                  <c:v>59</c:v>
                </c:pt>
                <c:pt idx="4">
                  <c:v>61</c:v>
                </c:pt>
                <c:pt idx="5">
                  <c:v>65</c:v>
                </c:pt>
                <c:pt idx="6">
                  <c:v>67</c:v>
                </c:pt>
                <c:pt idx="7">
                  <c:v>67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2019</c:v>
                </c:pt>
                <c:pt idx="1">
                  <c:v>2020</c:v>
                </c:pt>
                <c:pt idx="2">
                  <c:v>2021</c:v>
                </c:pt>
                <c:pt idx="3">
                  <c:v>2022</c:v>
                </c:pt>
                <c:pt idx="4">
                  <c:v>2023</c:v>
                </c:pt>
                <c:pt idx="5">
                  <c:v>2024</c:v>
                </c:pt>
                <c:pt idx="6">
                  <c:v>2025</c:v>
                </c:pt>
                <c:pt idx="7">
                  <c:v>2026</c:v>
                </c:pt>
              </c:strCache>
            </c:strRef>
          </c:cat>
          <c:val>
            <c:numRef>
              <c:f>Hoja1!$C$2:$C$9</c:f>
              <c:numCache>
                <c:formatCode>0</c:formatCode>
                <c:ptCount val="8"/>
                <c:pt idx="0">
                  <c:v>115</c:v>
                </c:pt>
                <c:pt idx="1">
                  <c:v>123</c:v>
                </c:pt>
                <c:pt idx="2">
                  <c:v>123</c:v>
                </c:pt>
                <c:pt idx="3">
                  <c:v>175</c:v>
                </c:pt>
                <c:pt idx="4">
                  <c:v>195</c:v>
                </c:pt>
                <c:pt idx="5">
                  <c:v>148</c:v>
                </c:pt>
                <c:pt idx="6">
                  <c:v>162</c:v>
                </c:pt>
                <c:pt idx="7">
                  <c:v>157</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2019</c:v>
                </c:pt>
                <c:pt idx="1">
                  <c:v>2020</c:v>
                </c:pt>
                <c:pt idx="2">
                  <c:v>2021</c:v>
                </c:pt>
                <c:pt idx="3">
                  <c:v>2022</c:v>
                </c:pt>
                <c:pt idx="4">
                  <c:v>2023</c:v>
                </c:pt>
                <c:pt idx="5">
                  <c:v>2024</c:v>
                </c:pt>
                <c:pt idx="6">
                  <c:v>2025</c:v>
                </c:pt>
                <c:pt idx="7">
                  <c:v>2026</c:v>
                </c:pt>
              </c:strCache>
            </c:strRef>
          </c:cat>
          <c:val>
            <c:numRef>
              <c:f>Hoja1!$D$2:$D$9</c:f>
              <c:numCache>
                <c:formatCode>0</c:formatCode>
                <c:ptCount val="8"/>
                <c:pt idx="0">
                  <c:v>38</c:v>
                </c:pt>
                <c:pt idx="1">
                  <c:v>40</c:v>
                </c:pt>
                <c:pt idx="2">
                  <c:v>37</c:v>
                </c:pt>
                <c:pt idx="3">
                  <c:v>37</c:v>
                </c:pt>
                <c:pt idx="4">
                  <c:v>29</c:v>
                </c:pt>
                <c:pt idx="5">
                  <c:v>43</c:v>
                </c:pt>
                <c:pt idx="6">
                  <c:v>49</c:v>
                </c:pt>
                <c:pt idx="7">
                  <c:v>51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Hoja1!$A$2:$A$9</c:f>
              <c:strCache>
                <c:ptCount val="8"/>
                <c:pt idx="0">
                  <c:v>2019</c:v>
                </c:pt>
                <c:pt idx="1">
                  <c:v>2020</c:v>
                </c:pt>
                <c:pt idx="2">
                  <c:v>2021</c:v>
                </c:pt>
                <c:pt idx="3">
                  <c:v>2022</c:v>
                </c:pt>
                <c:pt idx="4">
                  <c:v>2023</c:v>
                </c:pt>
                <c:pt idx="5">
                  <c:v>2024</c:v>
                </c:pt>
                <c:pt idx="6">
                  <c:v>2025</c:v>
                </c:pt>
                <c:pt idx="7">
                  <c:v>2026</c:v>
                </c:pt>
              </c:strCache>
            </c:strRef>
          </c:cat>
          <c:val>
            <c:numRef>
              <c:f>Hoja1!$B$2:$B$9</c:f>
              <c:numCache>
                <c:formatCode>#,##0</c:formatCode>
                <c:ptCount val="8"/>
                <c:pt idx="0">
                  <c:v>381.8</c:v>
                </c:pt>
                <c:pt idx="1">
                  <c:v>696.4</c:v>
                </c:pt>
                <c:pt idx="2">
                  <c:v>619.9000000000001</c:v>
                </c:pt>
                <c:pt idx="3">
                  <c:v>195.10000000000002</c:v>
                </c:pt>
                <c:pt idx="4">
                  <c:v>559.3</c:v>
                </c:pt>
                <c:pt idx="5">
                  <c:v>1301.8</c:v>
                </c:pt>
                <c:pt idx="6">
                  <c:v>1650.8999999999999</c:v>
                </c:pt>
                <c:pt idx="7">
                  <c:v>1628.6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Hoja1!$A$2:$A$9</c:f>
              <c:strCache>
                <c:ptCount val="8"/>
                <c:pt idx="0">
                  <c:v>2019</c:v>
                </c:pt>
                <c:pt idx="1">
                  <c:v>2020</c:v>
                </c:pt>
                <c:pt idx="2">
                  <c:v>2021</c:v>
                </c:pt>
                <c:pt idx="3">
                  <c:v>2022</c:v>
                </c:pt>
                <c:pt idx="4">
                  <c:v>2023</c:v>
                </c:pt>
                <c:pt idx="5">
                  <c:v>2024</c:v>
                </c:pt>
                <c:pt idx="6">
                  <c:v>2025</c:v>
                </c:pt>
                <c:pt idx="7">
                  <c:v>2026</c:v>
                </c:pt>
              </c:strCache>
            </c:strRef>
          </c:cat>
          <c:val>
            <c:numRef>
              <c:f>Hoja1!$C$2:$C$9</c:f>
              <c:numCache>
                <c:formatCode>#,##0</c:formatCode>
                <c:ptCount val="8"/>
                <c:pt idx="0">
                  <c:v>404.6</c:v>
                </c:pt>
                <c:pt idx="1">
                  <c:v>621.7</c:v>
                </c:pt>
                <c:pt idx="2">
                  <c:v>474.5</c:v>
                </c:pt>
                <c:pt idx="3">
                  <c:v>779.4</c:v>
                </c:pt>
                <c:pt idx="4">
                  <c:v>897.6</c:v>
                </c:pt>
                <c:pt idx="5">
                  <c:v>1021</c:v>
                </c:pt>
                <c:pt idx="6">
                  <c:v>1400.7</c:v>
                </c:pt>
                <c:pt idx="7">
                  <c:v>1523.3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2019</c:v>
                </c:pt>
                <c:pt idx="1">
                  <c:v>2020</c:v>
                </c:pt>
                <c:pt idx="2">
                  <c:v>2021</c:v>
                </c:pt>
                <c:pt idx="3">
                  <c:v>2022</c:v>
                </c:pt>
                <c:pt idx="4">
                  <c:v>2023</c:v>
                </c:pt>
                <c:pt idx="5">
                  <c:v>2024</c:v>
                </c:pt>
                <c:pt idx="6">
                  <c:v>2025</c:v>
                </c:pt>
                <c:pt idx="7">
                  <c:v>2026</c:v>
                </c:pt>
              </c:strCache>
            </c:strRef>
          </c:cat>
          <c:val>
            <c:numRef>
              <c:f>Hoja1!$B$2:$B$9</c:f>
              <c:numCache>
                <c:formatCode>0"%"</c:formatCode>
                <c:ptCount val="8"/>
                <c:pt idx="0">
                  <c:v>14.4</c:v>
                </c:pt>
                <c:pt idx="1">
                  <c:v>21.4</c:v>
                </c:pt>
                <c:pt idx="2">
                  <c:v>17</c:v>
                </c:pt>
                <c:pt idx="3">
                  <c:v>22.8</c:v>
                </c:pt>
                <c:pt idx="4">
                  <c:v>20.2</c:v>
                </c:pt>
                <c:pt idx="5">
                  <c:v>21.1</c:v>
                </c:pt>
                <c:pt idx="6">
                  <c:v>26.2</c:v>
                </c:pt>
                <c:pt idx="7">
                  <c:v>27.8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2019</c:v>
                </c:pt>
                <c:pt idx="1">
                  <c:v>2020</c:v>
                </c:pt>
                <c:pt idx="2">
                  <c:v>2021</c:v>
                </c:pt>
                <c:pt idx="3">
                  <c:v>2022</c:v>
                </c:pt>
                <c:pt idx="4">
                  <c:v>2023</c:v>
                </c:pt>
                <c:pt idx="5">
                  <c:v>2024</c:v>
                </c:pt>
                <c:pt idx="6">
                  <c:v>2025</c:v>
                </c:pt>
                <c:pt idx="7">
                  <c:v>2026</c:v>
                </c:pt>
              </c:strCache>
            </c:strRef>
          </c:cat>
          <c:val>
            <c:numRef>
              <c:f>Hoja1!$C$2:$C$9</c:f>
              <c:numCache>
                <c:formatCode>0"%"</c:formatCode>
                <c:ptCount val="8"/>
                <c:pt idx="0">
                  <c:v>9.4</c:v>
                </c:pt>
                <c:pt idx="1">
                  <c:v>9.4</c:v>
                </c:pt>
                <c:pt idx="2">
                  <c:v>9.4</c:v>
                </c:pt>
                <c:pt idx="3">
                  <c:v>9.4</c:v>
                </c:pt>
                <c:pt idx="4">
                  <c:v>9.4</c:v>
                </c:pt>
                <c:pt idx="5">
                  <c:v>9.4</c:v>
                </c:pt>
                <c:pt idx="6">
                  <c:v>9.4</c:v>
                </c:pt>
                <c:pt idx="7">
                  <c:v>9.4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2019</c:v>
                </c:pt>
                <c:pt idx="1">
                  <c:v>2020</c:v>
                </c:pt>
                <c:pt idx="2">
                  <c:v>2021</c:v>
                </c:pt>
                <c:pt idx="3">
                  <c:v>2022</c:v>
                </c:pt>
                <c:pt idx="4">
                  <c:v>2023</c:v>
                </c:pt>
                <c:pt idx="5">
                  <c:v>2024</c:v>
                </c:pt>
                <c:pt idx="6">
                  <c:v>2025</c:v>
                </c:pt>
                <c:pt idx="7">
                  <c:v>2026</c:v>
                </c:pt>
              </c:strCache>
            </c:strRef>
          </c:cat>
          <c:val>
            <c:numRef>
              <c:f>Hoja1!$D$2:$D$9</c:f>
              <c:numCache>
                <c:formatCode>0"%"</c:formatCode>
                <c:ptCount val="8"/>
                <c:pt idx="0">
                  <c:v>19.5</c:v>
                </c:pt>
                <c:pt idx="1">
                  <c:v>27.2</c:v>
                </c:pt>
                <c:pt idx="2">
                  <c:v>17.6</c:v>
                </c:pt>
                <c:pt idx="3">
                  <c:v>25</c:v>
                </c:pt>
                <c:pt idx="4">
                  <c:v>24</c:v>
                </c:pt>
                <c:pt idx="5">
                  <c:v>22.7</c:v>
                </c:pt>
                <c:pt idx="6">
                  <c:v>25.9</c:v>
                </c:pt>
                <c:pt idx="7">
                  <c:v>24.3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2019</c:v>
                </c:pt>
                <c:pt idx="1">
                  <c:v>2020</c:v>
                </c:pt>
                <c:pt idx="2">
                  <c:v>2021</c:v>
                </c:pt>
                <c:pt idx="3">
                  <c:v>2022</c:v>
                </c:pt>
                <c:pt idx="4">
                  <c:v>2023</c:v>
                </c:pt>
                <c:pt idx="5">
                  <c:v>2024</c:v>
                </c:pt>
                <c:pt idx="6">
                  <c:v>2025</c:v>
                </c:pt>
                <c:pt idx="7">
                  <c:v>2026</c:v>
                </c:pt>
              </c:strCache>
            </c:strRef>
          </c:cat>
          <c:val>
            <c:numRef>
              <c:f>Hoja1!$B$2:$B$9</c:f>
              <c:numCache>
                <c:formatCode>0.0"x"</c:formatCode>
                <c:ptCount val="8"/>
                <c:pt idx="0">
                  <c:v>1.52</c:v>
                </c:pt>
                <c:pt idx="1">
                  <c:v>0.74</c:v>
                </c:pt>
                <c:pt idx="2">
                  <c:v>0.34</c:v>
                </c:pt>
                <c:pt idx="3">
                  <c:v>0.43</c:v>
                </c:pt>
                <c:pt idx="4">
                  <c:v>0.93</c:v>
                </c:pt>
                <c:pt idx="5">
                  <c:v>0.3</c:v>
                </c:pt>
                <c:pt idx="6">
                  <c:v>-0.29</c:v>
                </c:pt>
                <c:pt idx="7">
                  <c:v>-0.37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2027</c:v>
                </c:pt>
                <c:pt idx="1">
                  <c:v>2028</c:v>
                </c:pt>
                <c:pt idx="2">
                  <c:v>2029</c:v>
                </c:pt>
              </c:strCache>
            </c:strRef>
          </c:cat>
          <c:val>
            <c:numRef>
              <c:f>Hoja1!$B$2:$B$4</c:f>
              <c:numCache>
                <c:formatCode>#,##0</c:formatCode>
                <c:ptCount val="3"/>
                <c:pt idx="0">
                  <c:v>419.9</c:v>
                </c:pt>
                <c:pt idx="1">
                  <c:v>0</c:v>
                </c:pt>
                <c:pt idx="2">
                  <c:v>250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Hoja1!$A$2:$A$9</c:f>
              <c:strCache>
                <c:ptCount val="8"/>
                <c:pt idx="0">
                  <c:v>2019</c:v>
                </c:pt>
                <c:pt idx="1">
                  <c:v>2020</c:v>
                </c:pt>
                <c:pt idx="2">
                  <c:v>2021</c:v>
                </c:pt>
                <c:pt idx="3">
                  <c:v>2022</c:v>
                </c:pt>
                <c:pt idx="4">
                  <c:v>2023</c:v>
                </c:pt>
                <c:pt idx="5">
                  <c:v>2024</c:v>
                </c:pt>
                <c:pt idx="6">
                  <c:v>2025</c:v>
                </c:pt>
                <c:pt idx="7">
                  <c:v>2026</c:v>
                </c:pt>
              </c:strCache>
            </c:strRef>
          </c:cat>
          <c:val>
            <c:numRef>
              <c:f>Hoja1!$B$2:$B$9</c:f>
              <c:numCache>
                <c:formatCode>#,##0</c:formatCode>
                <c:ptCount val="8"/>
                <c:pt idx="0">
                  <c:v>951.4</c:v>
                </c:pt>
                <c:pt idx="1">
                  <c:v>27.9</c:v>
                </c:pt>
                <c:pt idx="2">
                  <c:v>39.1</c:v>
                </c:pt>
                <c:pt idx="3">
                  <c:v>42.8</c:v>
                </c:pt>
                <c:pt idx="4">
                  <c:v>1012.7</c:v>
                </c:pt>
                <c:pt idx="5">
                  <c:v>133.5</c:v>
                </c:pt>
                <c:pt idx="6">
                  <c:v>139.2</c:v>
                </c:pt>
                <c:pt idx="7">
                  <c:v>350.7</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Hoja1!$A$2:$A$9</c:f>
              <c:strCache>
                <c:ptCount val="8"/>
                <c:pt idx="0">
                  <c:v>2019</c:v>
                </c:pt>
                <c:pt idx="1">
                  <c:v>2020</c:v>
                </c:pt>
                <c:pt idx="2">
                  <c:v>2021</c:v>
                </c:pt>
                <c:pt idx="3">
                  <c:v>2022</c:v>
                </c:pt>
                <c:pt idx="4">
                  <c:v>2023</c:v>
                </c:pt>
                <c:pt idx="5">
                  <c:v>2024</c:v>
                </c:pt>
                <c:pt idx="6">
                  <c:v>2025</c:v>
                </c:pt>
                <c:pt idx="7">
                  <c:v>2026</c:v>
                </c:pt>
              </c:strCache>
            </c:strRef>
          </c:cat>
          <c:val>
            <c:numRef>
              <c:f>Hoja1!$C$2:$C$9</c:f>
              <c:numCache>
                <c:formatCode>#,##0</c:formatCode>
                <c:ptCount val="8"/>
                <c:pt idx="0">
                  <c:v>211.7</c:v>
                </c:pt>
                <c:pt idx="1">
                  <c:v>225.1</c:v>
                </c:pt>
                <c:pt idx="2">
                  <c:v>226.7</c:v>
                </c:pt>
                <c:pt idx="3">
                  <c:v>245.3</c:v>
                </c:pt>
                <c:pt idx="4">
                  <c:v>258.3</c:v>
                </c:pt>
                <c:pt idx="5">
                  <c:v>282.3</c:v>
                </c:pt>
                <c:pt idx="6">
                  <c:v>310.9</c:v>
                </c:pt>
                <c:pt idx="7">
                  <c:v>349.7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Hoja1!$A$2:$A$9</c:f>
              <c:strCache>
                <c:ptCount val="8"/>
                <c:pt idx="0">
                  <c:v>2019</c:v>
                </c:pt>
                <c:pt idx="1">
                  <c:v>2020</c:v>
                </c:pt>
                <c:pt idx="2">
                  <c:v>2021</c:v>
                </c:pt>
                <c:pt idx="3">
                  <c:v>2022</c:v>
                </c:pt>
                <c:pt idx="4">
                  <c:v>2023</c:v>
                </c:pt>
                <c:pt idx="5">
                  <c:v>2024</c:v>
                </c:pt>
                <c:pt idx="6">
                  <c:v>2025</c:v>
                </c:pt>
                <c:pt idx="7">
                  <c:v>2026</c:v>
                </c:pt>
              </c:strCache>
            </c:strRef>
          </c:cat>
          <c:val>
            <c:numRef>
              <c:f>Hoja1!$D$2:$D$9</c:f>
              <c:numCache>
                <c:formatCode>#,##0</c:formatCode>
                <c:ptCount val="8"/>
                <c:pt idx="0">
                  <c:v>22.8</c:v>
                </c:pt>
                <c:pt idx="1">
                  <c:v>0</c:v>
                </c:pt>
                <c:pt idx="2">
                  <c:v>0</c:v>
                </c:pt>
                <c:pt idx="3">
                  <c:v>0</c:v>
                </c:pt>
                <c:pt idx="4">
                  <c:v>0</c:v>
                </c:pt>
                <c:pt idx="5">
                  <c:v>150</c:v>
                </c:pt>
                <c:pt idx="6">
                  <c:v>300</c:v>
                </c:pt>
                <c:pt idx="7">
                  <c:v>700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Otro externo</c:v>
                </c:pt>
                <c:pt idx="2">
                  <c:v>Independiente</c:v>
                </c:pt>
              </c:strCache>
            </c:strRef>
          </c:cat>
          <c:val>
            <c:numRef>
              <c:f>Hoja1!$B$2:$B$4</c:f>
              <c:numCache>
                <c:formatCode>0</c:formatCode>
                <c:ptCount val="3"/>
                <c:pt idx="0">
                  <c:v>1</c:v>
                </c:pt>
                <c:pt idx="1">
                  <c:v>1</c:v>
                </c:pt>
                <c:pt idx="2">
                  <c:v>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BlackRock</c:v>
                </c:pt>
                <c:pt idx="1">
                  <c:v>Vanguard Capital Management</c:v>
                </c:pt>
                <c:pt idx="2">
                  <c:v>AustralianSuper</c:v>
                </c:pt>
                <c:pt idx="3">
                  <c:v>Vanguard Portfolio Management</c:v>
                </c:pt>
                <c:pt idx="4">
                  <c:v>Consejeros y directivos (14 personas)</c:v>
                </c:pt>
                <c:pt idx="5">
                  <c:v>Autocartera</c:v>
                </c:pt>
              </c:strCache>
            </c:strRef>
          </c:cat>
          <c:val>
            <c:numRef>
              <c:f>Hoja1!$B$2:$B$7</c:f>
              <c:numCache>
                <c:formatCode>0.0"%"</c:formatCode>
                <c:ptCount val="6"/>
                <c:pt idx="0">
                  <c:v>9.09</c:v>
                </c:pt>
                <c:pt idx="1">
                  <c:v>8.51</c:v>
                </c:pt>
                <c:pt idx="2">
                  <c:v>5.88</c:v>
                </c:pt>
                <c:pt idx="3">
                  <c:v>5.61</c:v>
                </c:pt>
                <c:pt idx="4">
                  <c:v>0.58</c:v>
                </c:pt>
                <c:pt idx="5">
                  <c:v>26.4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15.6</c:v>
                </c:pt>
                <c:pt idx="1">
                  <c:v>36.5</c:v>
                </c:pt>
                <c:pt idx="2">
                  <c:v>34.5</c:v>
                </c:pt>
                <c:pt idx="3">
                  <c:v>36.1</c:v>
                </c:pt>
                <c:pt idx="4">
                  <c:v>37.2</c:v>
                </c:pt>
                <c:pt idx="5">
                  <c:v>22.5</c:v>
                </c:pt>
                <c:pt idx="6">
                  <c:v>-20.1</c:v>
                </c:pt>
                <c:pt idx="7">
                  <c:v>-17.3</c:v>
                </c:pt>
                <c:pt idx="8">
                  <c:v>32.9</c:v>
                </c:pt>
                <c:pt idx="9">
                  <c:v>5.3</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9.5</c:v>
                </c:pt>
                <c:pt idx="1">
                  <c:v>19.4</c:v>
                </c:pt>
                <c:pt idx="2">
                  <c:v>-6.2</c:v>
                </c:pt>
                <c:pt idx="3">
                  <c:v>28.9</c:v>
                </c:pt>
                <c:pt idx="4">
                  <c:v>16.3</c:v>
                </c:pt>
                <c:pt idx="5">
                  <c:v>26.9</c:v>
                </c:pt>
                <c:pt idx="6">
                  <c:v>-19.4</c:v>
                </c:pt>
                <c:pt idx="7">
                  <c:v>24.2</c:v>
                </c:pt>
                <c:pt idx="8">
                  <c:v>23.3</c:v>
                </c:pt>
                <c:pt idx="9">
                  <c:v>16.4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2019</c:v>
                </c:pt>
                <c:pt idx="1">
                  <c:v>2020</c:v>
                </c:pt>
                <c:pt idx="2">
                  <c:v>2021</c:v>
                </c:pt>
                <c:pt idx="3">
                  <c:v>2022</c:v>
                </c:pt>
                <c:pt idx="4">
                  <c:v>2023</c:v>
                </c:pt>
                <c:pt idx="5">
                  <c:v>2024</c:v>
                </c:pt>
                <c:pt idx="6">
                  <c:v>2025</c:v>
                </c:pt>
                <c:pt idx="7">
                  <c:v>2026</c:v>
                </c:pt>
              </c:strCache>
            </c:strRef>
          </c:cat>
          <c:val>
            <c:numRef>
              <c:f>Hoja1!$B$2:$B$9</c:f>
              <c:numCache>
                <c:formatCode>0.0"x"</c:formatCode>
                <c:ptCount val="8"/>
                <c:pt idx="0">
                  <c:v>25.4</c:v>
                </c:pt>
                <c:pt idx="1">
                  <c:v>29.7</c:v>
                </c:pt>
                <c:pt idx="2">
                  <c:v>34.1</c:v>
                </c:pt>
                <c:pt idx="3">
                  <c:v>27</c:v>
                </c:pt>
                <c:pt idx="4">
                  <c:v>25.6</c:v>
                </c:pt>
                <c:pt idx="5">
                  <c:v>18.2</c:v>
                </c:pt>
                <c:pt idx="6">
                  <c:v>19.9</c:v>
                </c:pt>
                <c:pt idx="7">
                  <c:v>12.8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2019</c:v>
                </c:pt>
                <c:pt idx="1">
                  <c:v>2020</c:v>
                </c:pt>
                <c:pt idx="2">
                  <c:v>2021</c:v>
                </c:pt>
                <c:pt idx="3">
                  <c:v>2022</c:v>
                </c:pt>
                <c:pt idx="4">
                  <c:v>2023</c:v>
                </c:pt>
                <c:pt idx="5">
                  <c:v>2024</c:v>
                </c:pt>
                <c:pt idx="6">
                  <c:v>2025</c:v>
                </c:pt>
                <c:pt idx="7">
                  <c:v>2026</c:v>
                </c:pt>
              </c:strCache>
            </c:strRef>
          </c:cat>
          <c:val>
            <c:numRef>
              <c:f>Hoja1!$C$2:$C$9</c:f>
              <c:numCache>
                <c:formatCode>0.0"x"</c:formatCode>
                <c:ptCount val="8"/>
                <c:pt idx="0">
                  <c:v>25.4</c:v>
                </c:pt>
                <c:pt idx="1">
                  <c:v>25.4</c:v>
                </c:pt>
                <c:pt idx="2">
                  <c:v>25.4</c:v>
                </c:pt>
                <c:pt idx="3">
                  <c:v>25.4</c:v>
                </c:pt>
                <c:pt idx="4">
                  <c:v>25.4</c:v>
                </c:pt>
                <c:pt idx="5">
                  <c:v>25.4</c:v>
                </c:pt>
                <c:pt idx="6">
                  <c:v>25.4</c:v>
                </c:pt>
                <c:pt idx="7">
                  <c:v>25.4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ResMed</c:v>
                </c:pt>
                <c:pt idx="1">
                  <c:v>Philips</c:v>
                </c:pt>
                <c:pt idx="2">
                  <c:v>Fisher &amp; Paykel Healthcare</c:v>
                </c:pt>
                <c:pt idx="3">
                  <c:v>Inspire Medical Systems</c:v>
                </c:pt>
                <c:pt idx="4">
                  <c:v>Inogen</c:v>
                </c:pt>
                <c:pt idx="5">
                  <c:v>Stryker</c:v>
                </c:pt>
                <c:pt idx="6">
                  <c:v>Medtronic</c:v>
                </c:pt>
              </c:strCache>
            </c:strRef>
          </c:cat>
          <c:val>
            <c:numRef>
              <c:f>Hoja1!$B$2:$B$8</c:f>
              <c:numCache>
                <c:formatCode>0.0"x"</c:formatCode>
                <c:ptCount val="7"/>
                <c:pt idx="1">
                  <c:v>11.8</c:v>
                </c:pt>
                <c:pt idx="2">
                  <c:v>33.5</c:v>
                </c:pt>
                <c:pt idx="3">
                  <c:v>24.3</c:v>
                </c:pt>
                <c:pt idx="5">
                  <c:v>14.5</c:v>
                </c:pt>
                <c:pt idx="6">
                  <c:v>12.6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Philips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5.2</c:v>
                </c:pt>
              </c:numCache>
            </c:numRef>
          </c:xVal>
          <c:yVal>
            <c:numRef>
              <c:f>Hoja1!$C$2</c:f>
              <c:numCache>
                <c:formatCode>0.0"x"</c:formatCode>
                <c:ptCount val="1"/>
                <c:pt idx="0">
                  <c:v>11.8</c:v>
                </c:pt>
              </c:numCache>
            </c:numRef>
          </c:yVal>
          <c:smooth val="0"/>
        </c:ser>
        <c:ser>
          <c:idx val="1"/>
          <c:order val="1"/>
          <c:tx>
            <c:strRef>
              <c:f>Hoja1!$A$3</c:f>
              <c:strCache>
                <c:ptCount val="1"/>
                <c:pt idx="0">
                  <c:v>Fisher &amp; Paykel Healthcare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10.9</c:v>
                </c:pt>
              </c:numCache>
            </c:numRef>
          </c:xVal>
          <c:yVal>
            <c:numRef>
              <c:f>Hoja1!$C$3</c:f>
              <c:numCache>
                <c:formatCode>0.0"x"</c:formatCode>
                <c:ptCount val="1"/>
                <c:pt idx="0">
                  <c:v>33.5</c:v>
                </c:pt>
              </c:numCache>
            </c:numRef>
          </c:yVal>
          <c:smooth val="0"/>
        </c:ser>
        <c:ser>
          <c:idx val="2"/>
          <c:order val="2"/>
          <c:tx>
            <c:strRef>
              <c:f>Hoja1!$A$4</c:f>
              <c:strCache>
                <c:ptCount val="1"/>
                <c:pt idx="0">
                  <c:v>Inspire Medical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-2.1</c:v>
                </c:pt>
              </c:numCache>
            </c:numRef>
          </c:xVal>
          <c:yVal>
            <c:numRef>
              <c:f>Hoja1!$C$4</c:f>
              <c:numCache>
                <c:formatCode>0.0"x"</c:formatCode>
                <c:ptCount val="1"/>
                <c:pt idx="0">
                  <c:v>24.3</c:v>
                </c:pt>
              </c:numCache>
            </c:numRef>
          </c:yVal>
          <c:smooth val="0"/>
        </c:ser>
        <c:ser>
          <c:idx val="3"/>
          <c:order val="3"/>
          <c:tx>
            <c:strRef>
              <c:f>Hoja1!$A$5</c:f>
              <c:strCache>
                <c:ptCount val="1"/>
                <c:pt idx="0">
                  <c:v>Stryker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12.5</c:v>
                </c:pt>
              </c:numCache>
            </c:numRef>
          </c:xVal>
          <c:yVal>
            <c:numRef>
              <c:f>Hoja1!$C$5</c:f>
              <c:numCache>
                <c:formatCode>0.0"x"</c:formatCode>
                <c:ptCount val="1"/>
                <c:pt idx="0">
                  <c:v>14.5</c:v>
                </c:pt>
              </c:numCache>
            </c:numRef>
          </c:yVal>
          <c:smooth val="0"/>
        </c:ser>
        <c:ser>
          <c:idx val="4"/>
          <c:order val="4"/>
          <c:tx>
            <c:strRef>
              <c:f>Hoja1!$A$6</c:f>
              <c:strCache>
                <c:ptCount val="1"/>
                <c:pt idx="0">
                  <c:v>Medtronic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5.7</c:v>
                </c:pt>
              </c:numCache>
            </c:numRef>
          </c:xVal>
          <c:yVal>
            <c:numRef>
              <c:f>Hoja1!$C$6</c:f>
              <c:numCache>
                <c:formatCode>0.0"x"</c:formatCode>
                <c:ptCount val="1"/>
                <c:pt idx="0">
                  <c:v>12.6</c:v>
                </c:pt>
              </c:numCache>
            </c:numRef>
          </c:yVal>
          <c:smooth val="0"/>
        </c:ser>
        <c:axId val="10"/>
        <c:axId val="20"/>
      </c:scatterChart>
      <c:valAx>
        <c:axId val="10"/>
        <c:scaling>
          <c:orientation val="minMax"/>
          <c:max val="17"/>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0"/>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2027e</c:v>
                </c:pt>
                <c:pt idx="1">
                  <c:v>2028e</c:v>
                </c:pt>
                <c:pt idx="2">
                  <c:v>2029e</c:v>
                </c:pt>
                <c:pt idx="3">
                  <c:v>2030e</c:v>
                </c:pt>
                <c:pt idx="4">
                  <c:v>2031e</c:v>
                </c:pt>
                <c:pt idx="5">
                  <c:v>2032e</c:v>
                </c:pt>
                <c:pt idx="6">
                  <c:v>2033e</c:v>
                </c:pt>
              </c:strCache>
            </c:strRef>
          </c:cat>
          <c:val>
            <c:numRef>
              <c:f>Hoja1!$B$2:$B$8</c:f>
              <c:numCache>
                <c:formatCode>#,##0</c:formatCode>
                <c:ptCount val="7"/>
                <c:pt idx="0">
                  <c:v>1575</c:v>
                </c:pt>
                <c:pt idx="1">
                  <c:v>1630</c:v>
                </c:pt>
                <c:pt idx="2">
                  <c:v>1730</c:v>
                </c:pt>
                <c:pt idx="3">
                  <c:v>1831</c:v>
                </c:pt>
                <c:pt idx="4">
                  <c:v>1923</c:v>
                </c:pt>
                <c:pt idx="5">
                  <c:v>2010</c:v>
                </c:pt>
                <c:pt idx="6">
                  <c:v>2091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9112</c:v>
                </c:pt>
                <c:pt idx="1">
                  <c:v>18524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235,04</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145.87</c:v>
                </c:pt>
                <c:pt idx="1">
                  <c:v>198.71</c:v>
                </c:pt>
                <c:pt idx="2">
                  <c:v>219.31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235,04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(180,27 – 277,67)</c:v>
                </c:pt>
                <c:pt idx="1">
                  <c:v>Precio objetivo de los analistas (175,00 – 320,00)</c:v>
                </c:pt>
                <c:pt idx="2">
                  <c:v>Comparables: PER NTM (180,16 – 546,68)</c:v>
                </c:pt>
                <c:pt idx="3">
                  <c:v>DCF (WACC y g ± 0,5) (175,98 – 229,80)</c:v>
                </c:pt>
                <c:pt idx="4">
                  <c:v>Escenarios (bajista – alcista) (145,87 – 219,31)</c:v>
                </c:pt>
                <c:pt idx="5">
                  <c:v>DCF con la prima implícita del mercado (4,2 %)</c:v>
                </c:pt>
                <c:pt idx="6">
                  <c:v>Precio actual (235,04)</c:v>
                </c:pt>
              </c:strCache>
            </c:strRef>
          </c:cat>
          <c:val>
            <c:numRef>
              <c:f>Hoja1!$B$2:$B$8</c:f>
              <c:numCache>
                <c:formatCode>#,##0</c:formatCode>
                <c:ptCount val="7"/>
                <c:pt idx="0">
                  <c:v>180.27</c:v>
                </c:pt>
                <c:pt idx="1">
                  <c:v>175</c:v>
                </c:pt>
                <c:pt idx="2">
                  <c:v>180.16</c:v>
                </c:pt>
                <c:pt idx="3">
                  <c:v>175.98</c:v>
                </c:pt>
                <c:pt idx="4">
                  <c:v>145.87</c:v>
                </c:pt>
                <c:pt idx="5">
                  <c:v>203.94</c:v>
                </c:pt>
                <c:pt idx="6">
                  <c:v>233.86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(180,27 – 277,67)</c:v>
                </c:pt>
                <c:pt idx="1">
                  <c:v>Precio objetivo de los analistas (175,00 – 320,00)</c:v>
                </c:pt>
                <c:pt idx="2">
                  <c:v>Comparables: PER NTM (180,16 – 546,68)</c:v>
                </c:pt>
                <c:pt idx="3">
                  <c:v>DCF (WACC y g ± 0,5) (175,98 – 229,80)</c:v>
                </c:pt>
                <c:pt idx="4">
                  <c:v>Escenarios (bajista – alcista) (145,87 – 219,31)</c:v>
                </c:pt>
                <c:pt idx="5">
                  <c:v>DCF con la prima implícita del mercado (4,2 %)</c:v>
                </c:pt>
                <c:pt idx="6">
                  <c:v>Precio actual (235,04)</c:v>
                </c:pt>
              </c:strCache>
            </c:strRef>
          </c:cat>
          <c:val>
            <c:numRef>
              <c:f>Hoja1!$C$2:$C$8</c:f>
              <c:numCache>
                <c:formatCode>#,##0</c:formatCode>
                <c:ptCount val="7"/>
                <c:pt idx="0">
                  <c:v>97.4</c:v>
                </c:pt>
                <c:pt idx="1">
                  <c:v>145</c:v>
                </c:pt>
                <c:pt idx="2">
                  <c:v>366.52</c:v>
                </c:pt>
                <c:pt idx="3">
                  <c:v>53.82000000000002</c:v>
                </c:pt>
                <c:pt idx="4">
                  <c:v>73.44</c:v>
                </c:pt>
                <c:pt idx="5">
                  <c:v>38.50999999999999</c:v>
                </c:pt>
                <c:pt idx="6">
                  <c:v>2.359999999999985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