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Aena S.M.E., S.A.</w:t>
      </w:r>
    </w:p>
    <w:p>
      <w:pPr>
        <w:spacing w:after="60"/>
        <w:rPr>
          <w:color w:val="52514E"/>
          <w:sz w:val="22"/>
          <w:szCs w:val="22"/>
        </w:rPr>
      </w:pPr>
      <w:r>
        <w:rPr>
          <w:color w:val="52514E"/>
          <w:sz w:val="22"/>
          <w:szCs w:val="22"/>
        </w:rPr>
        <w:t xml:space="preserve">AENA · Bolsa de Madrid (Mercado Continuo) · ISIN ES0105046017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22,38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-5,7 % (base -4,6 %)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20,09 EUR · mercado 24,66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37.320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Aena S.M.E.,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AENA / ES0105046017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Infraestructuras de transporte (aeropuertos)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1991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www.aena.es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21,96 – 28,86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37.320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44.044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22,38 EUR</w:t>
      </w:r>
      <w:r>
        <w:t xml:space="preserve"> frente a 24,88 · Rentabilidad a 12 meses </w:t>
      </w:r>
      <w:r>
        <w:rPr>
          <w:b/>
          <w:bCs/>
        </w:rPr>
        <w:t xml:space="preserve">-5,7 % (base -4,6 %)</w:t>
      </w:r>
      <w:r>
        <w:t xml:space="preserve"> · Valor intrínseco 20,09 EUR · con la prima implícita del mercado: 24,66 (-0,9 %) · Alcista / bajista -9,9 % / -41,4 %</w:t>
      </w:r>
    </w:p>
    <w:p>
      <w:pPr>
        <w:spacing w:after="100"/>
      </w:pPr>
      <w:r>
        <w:rPr>
          <w:b/>
        </w:rPr>
        <w:t xml:space="preserve">La recomendación y por qué.</w:t>
      </w:r>
      <w:r>
        <w:t xml:space="preserve"> Mantener (no comprar), con convicción baja. Con nuestro BPA y la regla común de múltiplos, el objetivo a 12 meses es de 22,38 EUR frente a 24,88 EUR (último cierre encontrado, 9 de octubre): −5,7 % con el dividendo, y −4,6 % en el caso base. El valor intrínseco es aún menor, 20,09 EUR (−19,3 %), y el objetivo medio de los analistas (26,82 EUR) queda por encima de todo nuestro rango (20,23-24,34 EUR). La razón principal: el mercado paga 16-17 veces un beneficio que crece, pero la inversión del DORA III recortará a la mitad la caja libre durante cinco años con tarifas casi congeladas. La convicción es baja porque las reglas discrepan (Vender con nuestro WACC, Mantener con la prima del mercado) y porque las cifras salen de extractos de búsqueda, no de las cuentas completas; subiría si el margen del 3T26 (28 de octubre) vuelve a crecer.</w:t>
      </w:r>
    </w:p>
    <w:p>
      <w:pPr>
        <w:spacing w:after="100"/>
      </w:pPr>
      <w:r>
        <w:rPr>
          <w:b/>
        </w:rPr>
        <w:t xml:space="preserve">El negocio.</w:t>
      </w:r>
      <w:r>
        <w:t xml:space="preserve"> Monopolio regulado de los 46 aeropuertos españoles, con el 51 % de Luton y 17 aeropuertos en Brasil: 384,8 millones de pasajeros y 6.379,2 M de ingresos en 2025, con un margen EBITDA del 59,3 % [1]. Su ROIC (≈15 %, estimación propia) supera en unos 7 puntos al WACC del 7,84 %. La sostenibilidad del crecimiento es «En parte»: las pruebas del motor pasan, pero el crecimiento lo decide el Gobierno cada cinco años y el capital nuevo rinde la tasa regulada, cerca del WACC.</w:t>
      </w:r>
    </w:p>
    <w:p>
      <w:pPr>
        <w:spacing w:after="100"/>
      </w:pPr>
      <w:r>
        <w:rPr>
          <w:b/>
        </w:rPr>
        <w:t xml:space="preserve">Sector y regulación.</w:t>
      </w:r>
      <w:r>
        <w:t xml:space="preserve"> El DORA III (2027-2031), aprobado en septiembre, sube las tarifas un 0,33 % al año frente al +3,82 % que pidió Aena, y fija 12.888 M de inversión, 9.991 M regulados [20, 23]. Elimina la incertidumbre de una bajada (la CNMC proponía −0,59 %), pero deja el crecimiento en manos del tráfico (+2 % al año) y del negocio comercial.</w:t>
      </w:r>
    </w:p>
    <w:p>
      <w:pPr>
        <w:spacing w:after="100"/>
      </w:pPr>
      <w:r>
        <w:rPr>
          <w:b/>
        </w:rPr>
        <w:t xml:space="preserve">Finanzas.</w:t>
      </w:r>
      <w:r>
        <w:t xml:space="preserve"> El beneficio creció un 12,1 % en el 1S26, pero el margen EBITDA bajó del 56,5 % al 54,5 % porque el OPEX crece más que los ingresos [2]. La deuda neta subió a 6.724 M en junio (1,73 veces el EBITDA) y irá a ≈8.400 M en 2028e: el dividendo del 80 % se pagará en parte con deuda [3].</w:t>
      </w:r>
    </w:p>
    <w:p>
      <w:pPr>
        <w:spacing w:after="100"/>
      </w:pPr>
      <w:r>
        <w:rPr>
          <w:b/>
        </w:rPr>
        <w:t xml:space="preserve">Equipo y gobierno.</w:t>
      </w:r>
      <w:r>
        <w:t xml:space="preserve"> ENAIRE (el Estado) tiene el 51 % y además aprueba las tarifas: resta, porque el accionista de control decide la rentabilidad del minoritario [13].</w:t>
      </w:r>
    </w:p>
    <w:p>
      <w:pPr>
        <w:spacing w:after="100"/>
      </w:pPr>
      <w:r>
        <w:rPr>
          <w:b/>
        </w:rPr>
        <w:t xml:space="preserve">Valoración.</w:t>
      </w:r>
      <w:r>
        <w:t xml:space="preserve"> El DCF da 19,72 EUR y descuenta un crecimiento del 6,4 % anual frente al 3,9 % de nuestro base; el PER de los próximos 12 meses (15,9x) está en la mediana de sus pares (15,0x) y de su historia (15,3x). Discrepamos del consenso en el múltiplo, no en el beneficio: nuestro BPA de 2028e es de 1,48 EUR.</w:t>
      </w:r>
    </w:p>
    <w:p>
      <w:pPr>
        <w:spacing w:after="100"/>
      </w:pPr>
      <w:r>
        <w:rPr>
          <w:b/>
        </w:rPr>
        <w:t xml:space="preserve">Riesgos y catalizadores.</w:t>
      </w:r>
      <w:r>
        <w:t xml:space="preserve"> Los riesgos mayores son la rentabilidad de la inversión del DORA III (bajista del DCF −41 %) y el margen (−2 puntos ≈ −10 % de BPA). Catalizadores: resultados del 28 de octubre y el nuevo plan estratégico. El sentimiento de los foros está dividido, sin extremos [32].</w:t>
      </w:r>
    </w:p>
    <w:p>
      <w:pPr>
        <w:spacing w:after="100"/>
      </w:pPr>
      <w:r>
        <w:rPr>
          <w:b/>
        </w:rPr>
        <w:t xml:space="preserve">Qué cambiaría la decisión.</w:t>
      </w:r>
      <w:r>
        <w:t xml:space="preserve"> Compraríamos por debajo de 20,09 EUR; venderíamos por encima de 26,08 EUR. Pasaríamos a Vender si el margen EBITDA del 3T26 baja del 62 % o si la empresa recorta el payout; reconsideraríamos al alza si el tráfico de 2027 supera el +4 %.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22,38 EUR</w:t>
      </w:r>
      <w:r>
        <w:t xml:space="preserve"> (rentabilidad -5,7 % (base -4,6 %)) · Valor intrínseco: 20,09 EUR (-19,3 % sobre 24,88) · con la prima implícita del mercado: 24,66 (-0,9 %)</w:t>
      </w:r>
    </w:p>
    <w:p>
      <w:pPr>
        <w:spacing w:after="100"/>
      </w:pPr>
      <w:r>
        <w:t xml:space="preserve">Aena es el mejor activo aeroportuario de Europa: un monopolio sobre 46 aeropuertos de un país que recibe un turismo récord, con un margen EBITDA del 59 %, un ROIC de ≈15 % y un dividendo del 80 % del beneficio (1,09 EUR por acción) [1, 12].</w:t>
      </w:r>
    </w:p>
    <w:p>
      <w:pPr>
        <w:spacing w:after="100"/>
      </w:pPr>
      <w:r>
        <w:t xml:space="preserve">El precio (24,88 EUR, 15,9x el BPA de los próximos 12 meses) descuenta que el beneficio siga creciendo y que el múltiplo se mantenga. El DCF inverso pide un crecimiento del 6,4 % anual, cuando el DORA III sube las tarifas un 0,33 % y el tráfico crece al 2 % [23].</w:t>
      </w:r>
    </w:p>
    <w:p>
      <w:pPr>
        <w:spacing w:after="100"/>
      </w:pPr>
      <w:r>
        <w:t xml:space="preserve">El mercado acierta en la calidad y se equivoca en la caja: el plan de 12.888 M de inversión duplica el ritmo histórico y rinde la tasa regulada, de modo que la caja libre cae a la mitad hasta 2031 [20]. Para invertir hay que creer en un DORA IV generoso o en un tráfico muy fuerte; ninguno se verá en 12 meses.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 × 1,34 = 20,23 · 15,3x × 1,48 = 22,64 · 15,7x × 1,55 = 24,34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 -4,6 %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 -41,4 %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7,8 %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financiable al ROIC actual: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20,09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20,09 y 26,08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26,08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20,09 EUR: la rentabilidad a 12 meses pasaría del 15 % (Comprar).</w:t>
      </w:r>
    </w:p>
    <w:p>
      <w:pPr>
        <w:pStyle w:val="ListParagraph"/>
        <w:numPr>
          <w:ilvl w:val="0"/>
          <w:numId w:val="2"/>
        </w:numPr>
        <w:spacing w:after="60"/>
      </w:pPr>
      <w:r>
        <w:t xml:space="preserve">Precio por encima de 26,08 EUR: Vender.</w:t>
      </w:r>
    </w:p>
    <w:p>
      <w:pPr>
        <w:pStyle w:val="ListParagraph"/>
        <w:numPr>
          <w:ilvl w:val="0"/>
          <w:numId w:val="2"/>
        </w:numPr>
        <w:spacing w:after="60"/>
      </w:pPr>
      <w:r>
        <w:t xml:space="preserve">Margen EBITDA del 3T26 por debajo del 62 %: revisaríamos a la baja el BPA y el objetivo.</w:t>
      </w:r>
    </w:p>
    <w:p>
      <w:pPr>
        <w:pStyle w:val="ListParagraph"/>
        <w:numPr>
          <w:ilvl w:val="0"/>
          <w:numId w:val="2"/>
        </w:numPr>
        <w:spacing w:after="60"/>
      </w:pPr>
      <w:r>
        <w:t xml:space="preserve">Recorte del payout del 80 %: pasaríamos a Vender.</w:t>
      </w:r>
    </w:p>
    <w:p>
      <w:pPr>
        <w:pStyle w:val="ListParagraph"/>
        <w:numPr>
          <w:ilvl w:val="0"/>
          <w:numId w:val="2"/>
        </w:numPr>
        <w:spacing w:after="60"/>
      </w:pPr>
      <w:r>
        <w:t xml:space="preserve">Tráfico de 2027 por encima del +4 % con margen estable: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beneficio que crece al 6-8 % y un dividendo creciente: la aprobación del DORA III sin bajada de tarifas quitó el mayor riesgo, y el consenso de objetivo (26,82 EUR) supone un PER de 17-18x [36].</w:t>
      </w:r>
    </w:p>
    <w:p>
      <w:pPr>
        <w:keepNext/>
        <w:spacing w:after="100"/>
      </w:pPr>
      <w:r>
        <w:rPr>
          <w:b/>
          <w:bCs/>
        </w:rPr>
        <w:t xml:space="preserve">Lo que creemos nosotros.</w:t>
      </w:r>
    </w:p>
    <w:p>
      <w:pPr>
        <w:spacing w:after="100"/>
      </w:pPr>
      <w:r>
        <w:t xml:space="preserve">El beneficio crece algo menos (BPA de 1,48 EUR en 2028e, +2 % anual desde 2026e) porque la amortización y los intereses de la inversión se comen el crecimiento del EBITDA, y el múltiplo no tiene por qué superar la mediana de 15,3x.</w:t>
      </w:r>
    </w:p>
    <w:p>
      <w:pPr>
        <w:keepNext/>
        <w:spacing w:after="100"/>
      </w:pPr>
      <w:r>
        <w:rPr>
          <w:b/>
          <w:bCs/>
        </w:rPr>
        <w:t xml:space="preserve">Por qué podemos tener razón.</w:t>
      </w:r>
    </w:p>
    <w:p>
      <w:pPr>
        <w:spacing w:after="100"/>
      </w:pPr>
      <w:r>
        <w:t xml:space="preserve">El margen del 1S26 ya bajó 2 puntos y la deuda neta subió 1.200 M en seis meses [2, 3]. Con tarifas casi congeladas, la inversión no se cobra hasta el DORA IV (2032).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regulado</w:t>
      </w:r>
      <w:r>
        <w:t xml:space="preserve"> de los aeropuertos españoles, con margen EBITDA del 59,3 % [1].</w:t>
      </w:r>
    </w:p>
    <w:p>
      <w:pPr>
        <w:pStyle w:val="ListParagraph"/>
        <w:numPr>
          <w:ilvl w:val="0"/>
          <w:numId w:val="2"/>
        </w:numPr>
        <w:spacing w:after="60"/>
      </w:pPr>
      <w:r>
        <w:rPr>
          <w:b/>
        </w:rPr>
        <w:t xml:space="preserve">Tráfico al alza</w:t>
      </w:r>
      <w:r>
        <w:t xml:space="preserve">: +4,2 % en 2025 y +3,9 % en el 1S26 [1, 3].</w:t>
      </w:r>
    </w:p>
    <w:p>
      <w:pPr>
        <w:pStyle w:val="ListParagraph"/>
        <w:numPr>
          <w:ilvl w:val="0"/>
          <w:numId w:val="2"/>
        </w:numPr>
        <w:spacing w:after="60"/>
      </w:pPr>
      <w:r>
        <w:rPr>
          <w:b/>
        </w:rPr>
        <w:t xml:space="preserve">Dividendo</w:t>
      </w:r>
      <w:r>
        <w:t xml:space="preserve"> del 80 % del beneficio: 1,09 EUR por acción (≈4,4 %) [12].</w:t>
      </w:r>
    </w:p>
    <w:p>
      <w:pPr>
        <w:pStyle w:val="ListParagraph"/>
        <w:numPr>
          <w:ilvl w:val="0"/>
          <w:numId w:val="2"/>
        </w:numPr>
        <w:spacing w:after="60"/>
      </w:pPr>
      <w:r>
        <w:rPr>
          <w:b/>
        </w:rPr>
        <w:t xml:space="preserve">DORA III sin bajada</w:t>
      </w:r>
      <w:r>
        <w:t xml:space="preserve"> de tarifas (+0,33 % al año, frente al −0,59 % de la CNMC) [23].</w:t>
      </w:r>
    </w:p>
    <w:p>
      <w:pPr>
        <w:pStyle w:val="ListParagraph"/>
        <w:numPr>
          <w:ilvl w:val="0"/>
          <w:numId w:val="2"/>
        </w:numPr>
        <w:spacing w:after="60"/>
      </w:pPr>
      <w:r>
        <w:rPr>
          <w:b/>
        </w:rPr>
        <w:t xml:space="preserve">Negocio comercial</w:t>
      </w:r>
      <w:r>
        <w:t xml:space="preserve"> al +11 % en 2025, sin regulación de precios [1].</w:t>
      </w:r>
    </w:p>
    <w:p>
      <w:pPr>
        <w:pStyle w:val="Heading2"/>
      </w:pPr>
      <w:r>
        <w:t xml:space="preserve">En contra</w:t>
      </w:r>
    </w:p>
    <w:p>
      <w:pPr>
        <w:pStyle w:val="ListParagraph"/>
        <w:numPr>
          <w:ilvl w:val="0"/>
          <w:numId w:val="2"/>
        </w:numPr>
        <w:spacing w:after="60"/>
      </w:pPr>
      <w:r>
        <w:rPr>
          <w:b/>
        </w:rPr>
        <w:t xml:space="preserve">Inversión de 12.888 M</w:t>
      </w:r>
      <w:r>
        <w:t xml:space="preserve"> en 2027-2031 que lleva la caja libre a la mitad [20].</w:t>
      </w:r>
    </w:p>
    <w:p>
      <w:pPr>
        <w:pStyle w:val="ListParagraph"/>
        <w:numPr>
          <w:ilvl w:val="0"/>
          <w:numId w:val="2"/>
        </w:numPr>
        <w:spacing w:after="60"/>
      </w:pPr>
      <w:r>
        <w:rPr>
          <w:b/>
        </w:rPr>
        <w:t xml:space="preserve">Margen a la baja</w:t>
      </w:r>
      <w:r>
        <w:t xml:space="preserve">: 54,5 % en el 1S26 frente al 56,5 % [2].</w:t>
      </w:r>
    </w:p>
    <w:p>
      <w:pPr>
        <w:pStyle w:val="ListParagraph"/>
        <w:numPr>
          <w:ilvl w:val="0"/>
          <w:numId w:val="2"/>
        </w:numPr>
        <w:spacing w:after="60"/>
      </w:pPr>
      <w:r>
        <w:rPr>
          <w:b/>
        </w:rPr>
        <w:t xml:space="preserve">Deuda neta</w:t>
      </w:r>
      <w:r>
        <w:t xml:space="preserve"> de 6.724 M en junio, camino de ≈8.400 M en 2028e [3].</w:t>
      </w:r>
    </w:p>
    <w:p>
      <w:pPr>
        <w:pStyle w:val="ListParagraph"/>
        <w:numPr>
          <w:ilvl w:val="0"/>
          <w:numId w:val="2"/>
        </w:numPr>
        <w:spacing w:after="60"/>
      </w:pPr>
      <w:r>
        <w:rPr>
          <w:b/>
        </w:rPr>
        <w:t xml:space="preserve">El Estado</w:t>
      </w:r>
      <w:r>
        <w:t xml:space="preserve"> es accionista de control y regulador a la vez (51 %) [13].</w:t>
      </w:r>
    </w:p>
    <w:p>
      <w:pPr>
        <w:pStyle w:val="ListParagraph"/>
        <w:numPr>
          <w:ilvl w:val="0"/>
          <w:numId w:val="2"/>
        </w:numPr>
        <w:spacing w:after="60"/>
      </w:pPr>
      <w:r>
        <w:rPr>
          <w:b/>
        </w:rPr>
        <w:t xml:space="preserve">DCF de 19,72 EUR</w:t>
      </w:r>
      <w:r>
        <w:t xml:space="preserve">, un 21 % por debajo del precio.</w:t>
      </w:r>
    </w:p>
    <w:p>
      <w:pPr>
        <w:pStyle w:val="Heading2"/>
      </w:pPr>
      <w:r>
        <w:t xml:space="preserve">Qué tiene que pasar para que la tesis funcione</w:t>
      </w:r>
    </w:p>
    <w:p>
      <w:pPr>
        <w:spacing w:after="100"/>
      </w:pPr>
      <w:r>
        <w:t xml:space="preserve">La tesis depende de si el margen EBITDA se estabiliza en el 56-57 % con tarifas casi planas. La señal de que no se cumple sería un margen del 3T26 por debajo del 62 % (el trimestre de más tráfico) o un OPEX que siga creciendo por encima del 8 %. La segunda condición es la financiación: si la deuda neta pasa de 2,5 veces el EBITDA, el dividendo del 80 % peligra.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54 %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casi planas frente a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comerciales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palanca sin regulación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Aena nació como el gestor público de los aeropuertos españoles y salió a bolsa en febrero de 2015 con el 49 % del capital; ENAIRE (Ministerio de Transportes) conserva el 51 %. Es el primer operador aeroportuario del mundo por pasajeros: 46 aeropuertos y dos helipuertos en España, el 51 % de London Luton, Leeds Bradford y 17 aeropuertos en Brasil [3]. La pandemia la llevó a pérdidas en 2020-2021; en 2023 superó el EBITDA de 2019 [5]. En 2025 desdobló sus acciones 10 por 1 [17]. Desde 2017 sus tarifas se fijan cada cinco años en el DORA; el tercero (2027-2031) se aprobó en septiembre de 2026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del 49 %; ENAIRE conserva el 51 %.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DORA (2017-2021): tarifas reguladas a cinco años.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pérdidas en 2020 y 2021.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beneficios (901,5 M) y al dividendo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Luton y reversión del deterioro de Brasil; beneficio récord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y dividendo récord de 9,76 EUR por acción antigua [14,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DORA III aprobado: tarifas +0,33 % al año en 2027-2031 y 12.888 M de inversión [20,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Aena explota la red de aeropuertos de interés general de España (46 aeropuertos y dos helipuertos), que concentra la práctica totalidad del tráfico aéreo comercial del país, y fuera de España el 51 % de London Luton, Leeds Bradford y 17 aeropuertos en Brasil [3]. Cobra a las aerolíneas y a los pasajeros tasas aeroportuarias reguladas (aterrizaje, pasajeros, seguridad) y explota los espacios comerciales del aeropuerto: tiendas libres de impuestos, restauración, aparcamientos, alquiler de coches, salas VIP y publicidad, además de suelo inmobiliario. En 2025 movió 384,8 millones de pasajeros e ingresó 6.379,2 M [1].</w:t>
      </w:r>
    </w:p>
    <w:p>
      <w:pPr>
        <w:pStyle w:val="Heading2"/>
      </w:pPr>
      <w:r>
        <w:t xml:space="preserve">Cómo gana dinero</w:t>
      </w:r>
    </w:p>
    <w:p>
      <w:pPr>
        <w:spacing w:after="100"/>
      </w:pPr>
      <w:r>
        <w:t xml:space="preserve">Algo más de la mitad de los ingresos son aeronáuticos (1.702,1 M de 3.299,6 M en el 1S26), regulados: el DORA fija el ingreso máximo por pasajero para cinco años con una rentabilidad regulada sobre la base de activos [2, 22]. El resto, comercial (991 M en el 1S26, +11 % en 2025), no está regulado y crece con el tráfico y con el gasto por pasajero; es donde está el margen [1, 2]. El negocio tiene costes en gran parte fijos: con un margen EBITDA del 59 %, cada punto de tráfico adicional cae casi entero al EBITDA. El ingreso regulado depende sobre todo del DORA: con tarifas casi congeladas en 2027-2031 (+0,33 % al año), el crecimiento vendrá del volumen y del negocio comercial [23].</w:t>
      </w:r>
    </w:p>
    <w:p>
      <w:pPr>
        <w:pStyle w:val="Heading2"/>
      </w:pPr>
      <w:r>
        <w:t xml:space="preserve">Clientes, recurrencia y poder de precios</w:t>
      </w:r>
    </w:p>
    <w:p>
      <w:pPr>
        <w:spacing w:after="100"/>
      </w:pPr>
      <w:r>
        <w:t xml:space="preserve">Los clientes de la parte regulada son las aerolíneas; Ryanair, Vueling (IAG) e Iberia concentran una parte relevante del tráfico español y negocian colectivamente a través de ALA, que pidió una rebaja de tarifas del 4,9 % para el DORA III [23, 28]. El poder de precios está limitado por la regulación: Aena pidió +3,82 % al año y el Gobierno concedió +0,33 %, con la CNMC proponiendo −0,59 % [21, 23]. En el negocio comercial sí hay poder de precios: los ingresos comerciales crecieron un 11 % en 2025 con el tráfico al +4,2 %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del grupo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Luton, Leeds Bradford y 17 aeropuertos en Brasil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1S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comerciales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Tiendas, restauración, aparcamientos, alquiler de coches, VIP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59,3 % (2025); 54,5 %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OPEX crece más que los ingresos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tráfico aéreo comercial de pasajeros de España, donde Aena gestiona la red de aeropuertos de interés general en régimen de monopolio regulado; Luton y Brasil son negocios pequeños dentro del grupo. El tamaño se mide en pasajeros (Aena prevé unos 326 millones en la red española en 2026, +1,3 %) [31], no en euros de un mercado competitivo.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326 millones de pasajeros en la red española en 2026e (previsión de Aena) [31]; 384,8 millones el grupo en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pasajeros (grup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internacional hacia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grupo +4,2 % en 2025 y +4 % en enero-julio de 2026 [1,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del DORA III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+0,33 % al año en 2027-2031, frente al +3,82 % pedido [20,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y ocupación de las aerolíneas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avisó de un factor de ocupación más débil en 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comercial por pasajero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comerciales +11 %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del combustible y 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las coberturas de las aerolíneas y Oriente Medio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de la red española; solo compiten aeropuertos de otros países por los vuelos de conexión.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presionan en el DORA (ALA pidió −4,9 %) y el Gobierno y la CNMC deciden la tarifa [23,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Constructoras y servicios con muchos oferentes; el personal es en parte público.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aeropuertos alternativos de escala en España.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 velocidad ferroviaria en rutas nacionales; el tráfico internacional no tiene sustituto.</w:t>
            </w:r>
          </w:p>
        </w:tc>
      </w:tr>
    </w:tbl>
    <w:p>
      <w:pPr>
        <w:spacing w:after="160" w:before="0"/>
      </w:pPr>
    </w:p>
    <w:p>
      <w:pPr>
        <w:pStyle w:val="Heading2"/>
      </w:pPr>
      <w:r>
        <w:t xml:space="preserve">Ciclo</w:t>
      </w:r>
    </w:p>
    <w:p>
      <w:pPr>
        <w:spacing w:after="100"/>
      </w:pPr>
      <w:r>
        <w:t xml:space="preserve">El tráfico supera con holgura el de 2019 y crece al 3-4 %, por debajo del 16 % de 2023 [3, 5]. En 2020 el tráfico cayó a una fracción y Aena perdió dinero dos años; en 2022 la subida de costes no se trasladó a tarifas. La guía de 2026 (+1,3 % en España) y la debilidad de la ocupación indican fin de la fase de recuperación [2, 31].</w:t>
      </w:r>
    </w:p>
    <w:p>
      <w:pPr>
        <w:pStyle w:val="Heading2"/>
      </w:pPr>
      <w:r>
        <w:t xml:space="preserve">Regulación</w:t>
      </w:r>
    </w:p>
    <w:p>
      <w:pPr>
        <w:spacing w:after="100"/>
      </w:pPr>
      <w:r>
        <w:t xml:space="preserve">Las tarifas aeronáuticas de la red española se fijan en el Documento de Regulación Aeroportuaria (DORA) de cinco años. El DORA III (2027-2031), aprobado en Consejo de Ministros en septiembre de 2026, permite subir el ingreso regulado un 0,33 % al año, frente al +3,82 % que pidió Aena y el −0,59 % que proponía la CNMC; prevé 12.888 M de inversión, de ellos 9.991 M regulados [20, 23, 24]. La CNMC proponía además un coste de capital del 7,4 %, frente al 9 % que defendía Aena [21, 30].</w:t>
      </w:r>
    </w:p>
    <w:p>
      <w:pPr>
        <w:pStyle w:val="Heading2"/>
      </w:pPr>
      <w:r>
        <w:t xml:space="preserve">Tendencias y disrupción</w:t>
      </w:r>
    </w:p>
    <w:p>
      <w:pPr>
        <w:spacing w:after="100"/>
      </w:pPr>
      <w:r>
        <w:t xml:space="preserve">Más tráfico de bajo coste y de largo radio, más gasto comercial por pasajero y ampliaciones de capacidad (Madrid-Barajas y Barcelona-El Prat concentran buena parte de la inversión del DORA III) [22]. La descarbonización de la aviación (combustibles sostenibles) puede encarecer los billetes. Aena gana con el volumen y el gasto comercial, pero las tarifas casi congeladas le trasladan el riesgo de costes.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operador aeroportuario del mundo por pasajeros; monopolio de la red de aeropuertos de interés general de España.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concentran bases y conexiones en Madrid, Barcelona y Palma.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aerolínea que vuela a España no tiene alternativa a la red de Aena.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 en exclusiva de la red española por ley; concesiones en Brasil y Luton.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46 aeropuertos con gestión centralizada; margen EBITDA del 59 %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Infraestructura que no admite un segundo operador.</w:t>
            </w:r>
          </w:p>
        </w:tc>
      </w:tr>
    </w:tbl>
    <w:p>
      <w:pPr>
        <w:spacing w:after="160" w:before="0"/>
      </w:pPr>
    </w:p>
    <w:p>
      <w:pPr>
        <w:pStyle w:val="Heading2"/>
      </w:pPr>
      <w:r>
        <w:t xml:space="preserve">Amenazas</w:t>
      </w:r>
    </w:p>
    <w:p>
      <w:pPr>
        <w:spacing w:after="100"/>
      </w:pPr>
      <w:r>
        <w:t xml:space="preserve">El foso no lo amenaza un competidor sino el regulador: el ingreso aeronáutico depende de lo que el Gobierno conceda cada cinco años, y el DORA III ha dado mucho menos de lo pedido (+0,33 % frente a +3,82 %) [23]. Un cambio de la tasa de rentabilidad regulada, del tratamiento de los ingresos comerciales (las aerolíneas piden que compensen tarifas) o de la participación del Estado es el riesgo principal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2022-2025: ingresos </w:t>
      </w:r>
      <w:r>
        <w:rPr>
          <w:b/>
          <w:bCs/>
        </w:rPr>
        <w:t xml:space="preserve">14,6 %</w:t>
      </w:r>
      <w:r>
        <w:t xml:space="preserve">, EBITDA </w:t>
      </w:r>
      <w:r>
        <w:rPr>
          <w:b/>
          <w:bCs/>
        </w:rPr>
        <w:t xml:space="preserve">22,1 %</w:t>
      </w:r>
      <w:r>
        <w:t xml:space="preserve">, BPA </w:t>
      </w:r>
      <w:r>
        <w:rPr>
          <w:b/>
          <w:bCs/>
        </w:rPr>
        <w:t xml:space="preserve">33,3 %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Aena volvió a beneficios en 2022 (901,5 M) tras las pérdidas de la pandemia (−475,4 M en 2021) y desde entonces encadena récords: 1.630,8 M en 2023, 1.934,2 M en 2024 y 2.136,7 M en 2025 [1, 4, 5, 7]. Los ingresos totales pasaron de 4.237,5 M a 6.379,2 M (+9,5 % en 2025) y el EBITDA de 2.078,9 M a 3.785 M, con un margen del 59,3 % en 2025 (61,4 % sin la CINIIF 12, que suma como ingreso las obras de las concesiones de Brasil a margen cero) [1]. El OPEX creció un 11,1 % en 2025, más que los ingresos, y en el 1S26 el EBITDA subió un 6,3 % con ingresos +10,1 %: el margen se estrecha [1, 2]. El EBIT de 2022 y 2025, y el BAI de 2024-2025, vienen de MarketScreener [8]; el EBIT y el BAI de 2022-2023 son estimación propia (amortización ≈ 800-820 M al año, como la de 2024-2025, y resultado financiero ≈ −90/−100 M).</w:t>
      </w:r>
    </w:p>
    <w:p>
      <w:pPr>
        <w:pStyle w:val="Heading2"/>
      </w:pPr>
      <w:r>
        <w:t xml:space="preserve">Ajustes y partidas no recurrentes</w:t>
      </w:r>
    </w:p>
    <w:p>
      <w:pPr>
        <w:spacing w:after="100"/>
      </w:pPr>
      <w:r>
        <w:t xml:space="preserve">Cifras reportadas. 2023 lleva dentro del EBITDA la reversión del deterioro de los aeropuertos del Nordeste de Brasil (≈154 M: el margen pasa del 58,8 % al 55,8 % sin ella; estimación propia del importe con el margen publicado) [5], que va en no_recurrentes_en_ebitda con signo negativo. El impuesto de cada año es BAI menos beneficio atribuido, e incluye por tanto los minoritarios de Luton (49 % de terceros), que no se han podido separar. El BPA usa 1.500 M de acciones en todos los años (150 M antes del desdoblamiento 10 por 1 de 2025) [17]; los DPA se expresan también por acción nueva (9,76 EUR de 2024 = 0,976) [14].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1S26 Aena ganó 1.002 M (+12,1 %), con ingresos de 3.299,6 M (+10,1 %; aeronáuticos 1.702,1 M y comerciales 991 M) y EBITDA de 1.798,9 M (+6,3 %; margen del 54,5 %) [2, 3]. El tráfico del grupo creció un 3,9 %, hasta 189,96 millones de pasajeros [3]. La dirección mantiene un crecimiento del tráfico de alrededor del 3 % en 2026, pero avisó de un factor de ocupación más débil y de la incertidumbre por el fin de las coberturas de combustible de las aerolíneas y el conflicto de Oriente Medio [2]. La deuda financiera neta subió a 6.724 M (1,73 veces el EBITDA) desde 5.509 M en diciembre, por el dividendo de abril (≈1.635 M) y la inversión [3, 13]. En el 1T26 ganó 329,4 M (+9,3 %) con ingresos +11,6 % [11]. La acción cayó tras los resultados del 2T; Jefferies lo atribuyó al posicionamiento y no a los fundamentales [18]. Las cifras de 1S25 y 2S25 son estimación propia (1S26 entre su crecimiento publicado, y el año menos el semestre).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3"/>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deuda neta bajó de 6.222 M en 2023 a 5.498 M en 2024 y se quedó en 5.509 M en 2025 (1,46 veces el EBITDA) [1, 4, 5]; dentro del año oscila con el pago del dividendo (5.973 M en junio de 2025, 5.127 M en septiembre) [10]. En junio de 2026 llegó a 6.724 M [3]. El balance solo recoge la deuda neta (en deuda_financiera, con caja 0) y el patrimonio consolidado de 2025 (9.154,6 M) [9]: las demás partidas no se pudieron leer.</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2024-2025: FCF </w:t>
      </w:r>
      <w:r>
        <w:rPr>
          <w:b/>
          <w:bCs/>
        </w:rPr>
        <w:t xml:space="preserve">3.326</w:t>
      </w:r>
      <w:r>
        <w:t xml:space="preserve">, conversión </w:t>
      </w:r>
      <w:r>
        <w:rPr>
          <w:b/>
          <w:bCs/>
        </w:rPr>
        <w:t xml:space="preserve">82 %</w:t>
      </w:r>
      <w:r>
        <w:t xml:space="preserve"> del beneficio neto; adquisiciones 0, dividendos 2.613, recompras 0.</w:t>
      </w:r>
    </w:p>
    <w:p>
      <w:pPr>
        <w:spacing w:after="100"/>
      </w:pPr>
      <w:r>
        <w:t xml:space="preserve">El flujo de explotación fue de 2.787,5 M en 2025 y 2.746,9 M en 2024, y en el 1S26 de 1.598,5 M (1.479,5 M un año antes) [1, 3]. Renta 4 lo vio por debajo de su previsión en 2025 [16]. La inversión de 2024 y 2025 es estimación propia: flujo de explotación menos dividendo pagado (7,66 y 9,76 EUR por acción antigua) más la variación de la deuda neta, por lo que incluye otras salidas (Brasil, Luton) [4, 14]. La conversión del EBITDA en caja de explotación ronda el 74 %; la caja libre tras inversión fue ≈1.450 M en 2025, y bajará con el DORA III.</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se pudo leer el informe de auditoría. Lo que se ve: el margen EBITDA publicado se mezcla con la CINIIF 12 (ingresos de construcción en Brasil a margen cero: 59,3 % frente a 61,4 % sin ella) y 2023 lleva una reversión de deterioro de Brasil dentro del EBITDA [1, 5]. Las cuentas de 2021 se reexpresaron por el cambio de criterio de las rentas mínimas garantizadas de los locales comerciales, un litigio con arrendatarios de la pandemia [6]. Los indicadores del motor (Altman, Piotroski, Beneish) no se pueden calcular sin balance completo.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CINIIF 12 en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ingresos sin margen; el margen comparable es el que la empresa da sin ella.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Reversión de deterioro en el EBITDA de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≈154 M (estimación propia); se trata como no recurrente.</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12,4 % · </w:t>
      </w:r>
      <w:r>
        <w:rPr>
          <w:b/>
          <w:bCs/>
        </w:rPr>
        <w:t xml:space="preserve">WACC</w:t>
      </w:r>
      <w:r>
        <w:t xml:space="preserve">: 7,8 %.</w:t>
      </w:r>
    </w:p>
    <w:p>
      <w:pPr>
        <w:spacing w:after="100"/>
      </w:pPr>
      <w:r>
        <w:t xml:space="preserve">Aena crea valor: el NOPAT de 2025 (2.233 M) sobre patrimonio más deuda neta (14.664 M) da un ROIC de ≈15 % (estimación propia; el 22,2 % del motor usa un capital invertido incompleto), unos 7 puntos por encima del WACC del 7,84 % [1, 9]. Lo mueve el margen (59 % de EBITDA en un monopolio regulado), no la rotación. El ROIC incremental histórico del motor (12,4 %) recoge la recuperación del tráfico tras la pandemia sobre un capital casi fijo, y no se repetirá: la inversión del DORA III (9.991 M regulados) rinde la tasa regulada (la CNMC proponía un 7,4 % antes de impuestos) [21, 30], así que el ROIC medio bajará hacia el 10-12 % a medida que entre el capital nuevo. ADP y Fraport tienen ROIC más bajos, por inversión y deuda.</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financiera neta contable de 6.724 M a 30-jun-26 (1,73 veces el EBITDA) [3]; la caja y las líneas no dispuestas no se pudieron leer.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(mejora de 2025) [19]; Fitch y S&amp;P no comprobados.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No se pudieron leer las notas de provisiones, litigios ni compromisos de inversión. El compromiso material es la inversión del DORA III: 12.888 M en 2027-2031, de ellos 9.991 M regulados, que Moody's espera que lleve la caja libre a terreno negativo desde 2027 [19, 20]. Luton tiene el 49 % en manos de terceros, que sí figuran en el patrimonio consolidado.</w:t>
      </w:r>
    </w:p>
    <w:p>
      <w:pPr>
        <w:pStyle w:val="Heading1"/>
      </w:pPr>
      <w:r>
        <w:t xml:space="preserve">12. Asignación de capital</w:t>
      </w:r>
    </w:p>
    <w:p>
      <w:pPr>
        <w:pStyle w:val="Confianza"/>
        <w:spacing w:after="100"/>
      </w:pPr>
      <w:r>
        <w:t xml:space="preserve">Confianza: Baja</w:t>
      </w:r>
    </w:p>
    <w:p>
      <w:pPr>
        <w:spacing w:after="100"/>
      </w:pPr>
      <w:r>
        <w:t xml:space="preserve">Dividendo del 80 % del beneficio (payout) en efectivo: 1,09 EUR por acción con cargo a 2025 (+11,7 %), ≈1.635 M pagados el 27 de abril de 2026 [12, 13]. No hay recompras. La prioridad declarada para la caja es el plan de inversión del DORA III (12.888 M en 2027-2031) y las concesiones de Brasil (5.700 M de reales para 11 aeropuertos) [1,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Aeropuertos del Bloque Nordeste y de los 11 aeropuertos de la 7.ª ronda de Brasil (concesiones)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local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Reversión del deterioro del Nordeste en 2023: la concesión mejora frente a lo previsto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London Luton (51 %)</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Consolidado; tráfico en crecimiento.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Leeds Bradford (Reino Unido)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w:t>
            </w:r>
          </w:p>
        </w:tc>
      </w:tr>
    </w:tbl>
    <w:p>
      <w:pPr>
        <w:spacing w:after="160" w:before="0"/>
      </w:pPr>
    </w:p>
    <w:p>
      <w:pPr>
        <w:spacing w:after="100"/>
      </w:pPr>
      <w:r>
        <w:t xml:space="preserve">Aena es una empresa de dividendo: reparte el 80 % del beneficio y la deuda neta lleva tres años en 5.500-6.200 M. Con el DORA III la inversión casi se duplica y el dividendo, al 80 %, pasará a financiarse en parte con deuda. Las compras internacionales (Brasil, Luton, Leeds Bradford) son pequeñas frente a la red española y no se pudo leer su rentabilidad.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Maurici Lucena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por el Gobierno en 2018; ha llevado a Aena de las pérdidas de la pandemia a beneficios récord (2.136,7 M en 2025) y a la aprobación del DORA III [1,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tráfico en España (previsión de comienzo de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grupo +4,2 %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en España +1,3 % (febrero), ≈+3 %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 en el 1S26 (grupo)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la nombra el Gobierno a través de ENAIRE: la continuidad depende del ciclo político. El mismo presidente desde 2018 da estabilidad. Las guías de tráfico han sido prudentes (+1,3 % en 2026 frente a +3,9 % real en el semestre) [3, 31].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ENAIRE (Ministerio de Transportes)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3" name="Gráfico 13"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Operaciones vinculadas, estructura de control y defensas</w:t>
      </w:r>
    </w:p>
    <w:p>
      <w:pPr>
        <w:spacing w:after="100"/>
      </w:pPr>
      <w:r>
        <w:t xml:space="preserve">ENAIRE, entidad pública del Ministerio de Transportes, tiene el 51 % y nombra al presidente-consejero delegado [13]. El Estado es a la vez accionista de control y quien aprueba las tarifas en el DORA: el conflicto de interés es estructural, y el DORA III se ha decidido en el Consejo de Ministros. Por ser empresa pública (S.M.E.), operaciones como las ampliaciones de capacidad o las compras internacionales también pasan por el Gobierno.</w:t>
      </w:r>
    </w:p>
    <w:p>
      <w:pPr>
        <w:pStyle w:val="Heading2"/>
      </w:pPr>
      <w:r>
        <w:t xml:space="preserve">Señales de alerta</w:t>
      </w:r>
    </w:p>
    <w:p>
      <w:pPr>
        <w:pStyle w:val="ListParagraph"/>
        <w:numPr>
          <w:ilvl w:val="0"/>
          <w:numId w:val="2"/>
        </w:numPr>
        <w:spacing w:after="60"/>
      </w:pPr>
      <w:r>
        <w:t xml:space="preserve">Accionista de control público que además fija las tarifas (DORA III).</w:t>
      </w:r>
    </w:p>
    <w:p>
      <w:pPr>
        <w:pStyle w:val="ListParagraph"/>
        <w:numPr>
          <w:ilvl w:val="0"/>
          <w:numId w:val="2"/>
        </w:numPr>
        <w:spacing w:after="60"/>
      </w:pPr>
      <w:r>
        <w:t xml:space="preserve">Presidente ejecutivo nombrado por el Gobierno: posible cambio con un cambio de ciclo político.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Tráfico en la red española de +1,3 % en 2026 (≈326 millones de pasajeros), publicado en febrero; en julio la dirección habló de un crecimiento cercano al 3 % y avisó de la debilidad del factor de ocupación [2, 31]. Política de dividendo del 80 % del beneficio [12]. El DORA III fija el marco de 2027-2031: tarifas +0,33 % al año e inversión de 12.888 M [20]. No hay guía numérica de EBITDA.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(19 analistas) [36]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12 /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 – 31,50</w:t>
            </w:r>
          </w:p>
        </w:tc>
      </w:tr>
    </w:tbl>
    <w:p>
      <w:pPr>
        <w:spacing w:after="160" w:before="0"/>
      </w:pPr>
    </w:p>
    <w:p>
      <w:pPr>
        <w:pStyle w:val="Heading2"/>
      </w:pPr>
      <w:r>
        <w:t xml:space="preserve">Revisiones de estimaciones</w:t>
      </w:r>
    </w:p>
    <w:p>
      <w:pPr>
        <w:spacing w:after="100"/>
      </w:pPr>
      <w:r>
        <w:t xml:space="preserve">Las recomendaciones de abril (2 compra fuerte, 6 compra, 12 mantener y 4 venta) dan un consenso de mantener [37]. Tras el DORA III, Bank of America mantiene compra con 30,7 EUR (esperaba tarifas planas) y Jefferies compra con 29,5 EUR [18, 20]. Sabadell sigue en infraponderar por la incertidumbre de la inversión [30]. Solo hay una fuente con BPA de 2026e (1,56 EUR) y ninguna fiable para 2027-2028.</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60" w:before="0"/>
      </w:pPr>
    </w:p>
    <w:p>
      <w:pPr>
        <w:spacing w:after="100"/>
      </w:pPr>
      <w:r>
        <w:t xml:space="preserve">La acción subió un 20,7 % en 2025 [12] y alcanzó máximos de ≈28,9 EUR en febrero de 2026; desde entonces ha corregido hasta 24,88 EUR (9-oct), un 14 % por debajo del máximo, por la incertidumbre del DORA III y el estrechamiento del margen del 1S26 [18, 33, 35]. La aprobación del DORA III con +0,33 % al año, por encima de lo que esperaban algunos analistas, no ha levantado la cotización.</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Aena ha cotizado entre 15x y 17x el beneficio publicado en 2023-2025: 15,1x en 2023, 15,3x en 2024 y 16,7x en 2025 (precios de 2023-2024 estimados; 2022 excluido) [12, 41, 42]. Hoy cotiza a 17,3x nuestro BPA de 2027e y a 15,9x el del consenso de los próximos 12 meses: dentro del rango. La subida de 2025 (+20,7 %) se apoyó en la recuperación del beneficio, no en una expansión del múltiplo; el DORA III con tarifas casi planas no justifica pagar más que la mediana.</w:t>
      </w:r>
    </w:p>
    <w:p>
      <w:pPr>
        <w:pStyle w:val="Heading1"/>
      </w:pPr>
      <w:r>
        <w:t xml:space="preserve">18. Comparables cotizados</w:t>
      </w:r>
    </w:p>
    <w:p>
      <w:pPr>
        <w:pStyle w:val="Confianza"/>
        <w:spacing w:after="100"/>
      </w:pPr>
      <w:r>
        <w:t xml:space="preserve">Confianza: Baja</w:t>
      </w:r>
    </w:p>
    <w:p>
      <w:pPr>
        <w:spacing w:after="100"/>
      </w:pPr>
      <w:r>
        <w:t xml:space="preserve">Operadores aeroportuarios cotizados: Aéroports de Paris, Fraport y Flughafen Zürich (europeos regulados), ASUR y Corporación América (concesiones en América), y Vinci como referencia (concesiones con Vinci Airports). Faltan Ferrovial (Heathrow, no consolidado) y los grupos asiáticos, por no encontrar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Aéroports de Paris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Fraport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Flughafen Zürich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Corporación América Airports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 / 15,0x / 18,2x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spacing w:after="100"/>
      </w:pPr>
      <w:r>
        <w:t xml:space="preserve">Solo se han podido reunir PER de proveedores y fechas distintos (julio-agosto de 2026): ADP 18,2x el BPA de 2026e, Flughafen Zürich 20,8x y Fraport 15,0x (ambos de los últimos 12 meses), ASUR 14,2x y Corporación América 12,9x [38, 39, 40, 45, 46]. La mediana es 15,0x, y Aena cotiza a unos 15,9x el BPA de los próximos 12 meses: en línea con los europeos regulados y por encima de los latinoamericanos. Con un crecimiento parecido y más regulación, no vemos razón para una prima. El peso de los comparables es bajo (15 %) por la mala calidad de los datos.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+8 % (ingresos del 1S26 +10,1 % y tarifa de 2026 ya aplicada; consenso de ingresos de 6.870 M) [2, 36]. En 2027-2031 el DORA III sube el ingreso regulado un 0,33 % al año [23]; el tráfico, al ≈2 % (la CNMC prevé un 2,2 %, Aena un 1,3 %) [21], y el comercial, 1-2 puntos por encima. Resultado: 4,0-4,5 %. En 2032-2033, el DORA IV retribuirá la nueva base de activos y el crecimiento sube medio punto antes de converger al 2,5 %.</w:t>
      </w:r>
    </w:p>
    <w:p>
      <w:pPr>
        <w:keepNext/>
        <w:spacing w:after="100"/>
      </w:pPr>
      <w:r>
        <w:rPr>
          <w:b/>
          <w:bCs/>
        </w:rPr>
        <w:t xml:space="preserve">Márgenes.</w:t>
      </w:r>
    </w:p>
    <w:p>
      <w:pPr>
        <w:spacing w:after="100"/>
      </w:pPr>
      <w:r>
        <w:t xml:space="preserve">El margen EBITDA fue del 59,3 % en 2025 y del 54,5 % en el 1S26 (56,5 % un año antes) porque el OPEX crece más que los ingresos (+11,1 % en 2025) [1, 2]. Proyectamos el 57,5 % en 2026e y el 56,5 % en el DORA III (costes que suben con la inflación y tarifas casi planas), con una recuperación al 57 % desde 2032. El riesgo es a la baja: el DORA III recalcula el OPEX a precios de 2026, pero no protege de la inflación posterior [18].</w:t>
      </w:r>
    </w:p>
    <w:p>
      <w:pPr>
        <w:keepNext/>
        <w:spacing w:after="100"/>
      </w:pPr>
      <w:r>
        <w:rPr>
          <w:b/>
          <w:bCs/>
        </w:rPr>
        <w:t xml:space="preserve">Inversión y circulante.</w:t>
      </w:r>
    </w:p>
    <w:p>
      <w:pPr>
        <w:spacing w:after="100"/>
      </w:pPr>
      <w:r>
        <w:t xml:space="preserve">Es el supuesto que más valor mueve. El DORA III prevé 12.888 M en 2027-2031 (9.991 M regulados), unos 2.600 M al año en España, a lo que se suman Brasil (5.700 M de reales para 11 aeropuertos) y Luton [1, 20]. Eso es un capex del 33-35 % de las ventas en 2027-2029, frente a ≈20 % en 2025 (estimación propia). La amortización sube del 12,5 % al 16 % de las ventas y el capex baja al 17 % en el terminal, por encima de la amortización. Circulante: −3 % de las ventas (los cobros a aerolíneas y concesionarios se adelantan a los pagos).</w:t>
      </w:r>
    </w:p>
    <w:p>
      <w:pPr>
        <w:keepNext/>
        <w:spacing w:after="100"/>
      </w:pPr>
      <w:r>
        <w:rPr>
          <w:b/>
          <w:bCs/>
        </w:rPr>
        <w:t xml:space="preserve">Coste del capital.</w:t>
      </w:r>
    </w:p>
    <w:p>
      <w:pPr>
        <w:spacing w:after="100"/>
      </w:pPr>
      <w:r>
        <w:t xml:space="preserve">Bund a 10 años del 3,53 % [43]; beta de 0,9 (aeropuertos europeos, con riesgo de tráfico y de regulación; no se pudo calcular la propia); prima de mercado del 5,5 % y 0,5 puntos adicionales por el riesgo regulatorio y por Brasil. Coste de la deuda del 3,5 % (rating A2 de Moody’s) [19] y 18 % de deuda a valor de mercado. WACC del 7,84 %, por encima del 7,4 % antes de impuestos que proponía la CNMC como rentabilidad regulada [21].</w:t>
      </w:r>
    </w:p>
    <w:p>
      <w:pPr>
        <w:keepNext/>
        <w:spacing w:after="100"/>
      </w:pPr>
      <w:r>
        <w:rPr>
          <w:b/>
          <w:bCs/>
        </w:rPr>
        <w:t xml:space="preserve">Valor terminal.</w:t>
      </w:r>
    </w:p>
    <w:p>
      <w:pPr>
        <w:spacing w:after="100"/>
      </w:pPr>
      <w:r>
        <w:t xml:space="preserve">Gordon con crecimiento del 2,0 % (inflación de la zona euro y algo de tráfico real), por debajo del Bund menos medio punto. El valor terminal pesa el 71 % del valor. El múltiplo de salida implícito se compara con los 11x de EV/EBITDA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 M (35 %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(ROIC 22,2 %)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(histórico: 12,4 %)</w:t>
            </w:r>
          </w:p>
        </w:tc>
      </w:tr>
    </w:tbl>
    <w:p>
      <w:pPr>
        <w:spacing w:after="160" w:before="0"/>
      </w:pPr>
    </w:p>
    <w:p>
      <w:pPr>
        <w:spacing w:after="100"/>
      </w:pPr>
      <w:r>
        <w:t xml:space="preserve">La proyección reinvierte el 35 % del NOPAT. Con el ROIC del último ejercicio (22,2 %), eso financia un crecimiento del 7,7 % anual, frente al 4,3 % de ingresos proyectado. Supone que el capital nuevo rinde un 8,7 %, frente a un ROIC incremental histórico del 12,4 %.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grupo +3-4 % (+3,9 % en el 1S26), subida de tarifa de 2026 y comercial al +10 % [2, 3, 29].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+2 %, tarifa +0,33 % del DORA III [23]; mezcla comercial y Brasil, el resto.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con el gasto comercial por pasajero subiendo más que la inflación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las ampliaciones de Barajas y El Prat empiezan a dar capacidad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w:t>
            </w:r>
          </w:p>
        </w:tc>
      </w:tr>
    </w:tbl>
    <w:p>
      <w:pPr>
        <w:spacing w:after="160" w:before="0"/>
      </w:pPr>
    </w:p>
    <w:p>
      <w:pPr>
        <w:spacing w:after="100"/>
      </w:pPr>
      <w:r>
        <w:t xml:space="preserve">La proyección reinvierte el 35 % del NOPAT y supone que el capital nuevo rinde un 8,7 %, por debajo del ROIC incremental histórico (12,4 %): las dos pruebas del motor pasan y el caso base no hay que rebajarlo. Pero el veredicto es «En parte» y no «Sí»: el foso es regulatorio y el crecimiento depende de lo que el Gobierno conceda cada cinco años (+0,33 % al año en el DORA III frente al +3,82 % pedido) [23]; el capital nuevo rinde la tasa regulada, cerca del WACC, así que crecer apenas crea valor. La cuota no aplica (monopolio) y la prueba de mercado final va en null.</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64,4 % (base: 57,0 %)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7,8 %)</w:t>
            </w:r>
          </w:p>
        </w:tc>
      </w:tr>
    </w:tbl>
    <w:p>
      <w:pPr>
        <w:spacing w:after="160" w:before="0"/>
      </w:pPr>
    </w:p>
    <w:p>
      <w:pPr>
        <w:spacing w:after="100"/>
      </w:pPr>
      <w:r>
        <w:t xml:space="preserve">El DCF da 19,72 EUR por acción, un 21 % por debajo de los 24,88 EUR de cotización, con el 71 % del valor en el terminal. La causa es la inversión: con un capex del 33-35 % de las ventas en 2027-2029, la caja libre para el accionista cae de ≈1.770 M en 2026e a ≈840-930 M en 2027-2028, y el dividendo del 80 % se pagará con deuda. El DCF inverso dice que el precio exige un crecimiento del 6,4 % anual en los años no fijos, frente al 3,9 % de nuestro caso base, o una rentabilidad del 6,9 %, por debajo del WACC. Es exigente: con tarifas que suben un 0,33 % al año, crecer al 6 % pide un tráfico del 4-5 % sostenido, el doble de lo que prevé la CNMC [21]. El mercado valora a Aena por su dividendo y su beneficio, no por su caja libre de los próximos cinco años.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se frena (ocupación más débil, combustible caro, menos turismo) y crece un 0,5-1 % en 2027-2029; el OPEX sigue subiendo más que los ingresos y el margen baja al 54,5 %, como en el 1S26. Ya pasó en 2022-2023, con costes que no se trasladaron a tarifas.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+2 % al año, tarifas +0,33 %, comercial por encima del tráfico y margen del 56,5 %; la inversión del DORA III se ejecuta según el plan y la deuda neta sube a ≈8.400 M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turismo sigue en récord, el gasto comercial por pasajero sube y el margen se mantiene en el 57,5 %; el DORA IV retribuye bien la nueva base de activos.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2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18,98 EUR (-23,7 %).</w:t>
      </w:r>
    </w:p>
    <w:p>
      <w:pPr>
        <w:spacing w:after="100"/>
      </w:pPr>
      <w:r>
        <w:t xml:space="preserve">Los tres escenarios del DCF quedan por debajo del precio: el bajista vale 14,59 EUR (−41 %) y el alcista 22,42 EUR (−10 %). La asimetría es negativa porque el valor depende de la inversión, que se hace en los tres casos. Para justificar el precio con el DCF hace falta un crecimiento del 6,4 % o una tasa de descuento del 6,9 %.</w:t>
      </w:r>
    </w:p>
    <w:p>
      <w:pPr>
        <w:pStyle w:val="Heading1"/>
      </w:pPr>
      <w:r>
        <w:t xml:space="preserve">22. Suma de partes</w:t>
      </w:r>
    </w:p>
    <w:p>
      <w:pPr>
        <w:pStyle w:val="Confianza"/>
        <w:spacing w:after="100"/>
      </w:pPr>
      <w:r>
        <w:t xml:space="preserve">Confianza: Baja</w:t>
      </w:r>
    </w:p>
    <w:p>
      <w:pPr>
        <w:spacing w:after="100"/>
      </w:pPr>
      <w:r>
        <w:t xml:space="preserve">No aplica: la red española es más del 85 % del EBITDA; Luton y Brasil no tienen datos separados en este análisis.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24,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20,09 EUR (-19,3 % sobre 24,88).</w:t>
      </w:r>
    </w:p>
    <w:p>
      <w:pPr>
        <w:spacing w:after="100"/>
      </w:pPr>
      <w:r>
        <w:t xml:space="preserve">Pesamos el DCF al 60 % porque la inversión del DORA III es lo que define el valor y solo el DCF la recoge; los escenarios al 25 % y los comparables al 15 %, con poco peso por sus datos de mala calidad (PER sueltos de fechas distintas). No hay transacciones con múltiplo. Los métodos dan señales distintas: el PER de los próximos 12 meses (22,15-28,39 EUR) se acerca al precio, mientras que el DCF queda un 21 % por debajo. La diferencia es la caja: el mercado paga por el beneficio contable (con un PER de ≈16x) un negocio cuya caja libre se reducirá a la mitad durante cinco años. La deuda neta del puente es la contable de junio de 2026 (6.724 M) [3], ya después del dividendo; los minoritarios de Luton no se han podido valorar (se dejan en 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rPr>
          <w:b/>
          <w:bCs/>
        </w:rPr>
        <w:t xml:space="preserve">Objetivo a 12 meses (ponderado):</w:t>
      </w:r>
      <w:r>
        <w:t xml:space="preserve"> 22,38 EUR · rentabilidad -5,7 % (base -4,6 %) · señal Mantener.</w:t>
      </w:r>
    </w:p>
    <w:p>
      <w:pPr>
        <w:keepNext/>
        <w:spacing w:after="100"/>
      </w:pPr>
      <w:r>
        <w:rPr>
          <w:b/>
          <w:bCs/>
        </w:rPr>
        <w:t xml:space="preserve">Frente al consenso (solo contraste).</w:t>
      </w:r>
    </w:p>
    <w:p>
      <w:pPr>
        <w:spacing w:after="100"/>
      </w:pPr>
      <w:r>
        <w:t xml:space="preserve">Nuestro BPA de 2028e (1,48 EUR) está cerca de lo que implica el consenso (1,56 EUR en 2026e [36], sin cifras fiables de 2027-2028): la diferencia no está en el beneficio sino en el múltiplo. Nuestro base (22,64 EUR) queda un 16 % por debajo del objetivo medio (26,82 EUR) porque la regla común usa la mediana de 5 años (15,3x), por debajo del PER actual (17,3x), y los analistas que suben objetivo (Jefferies 29,5 EUR, Bank of America 30,7 EUR) aplican múltiplos de 18-20x o DCF con menos inversión [18, 20]. No acercamos la cifra: la revisión de supuestos no muestra un error.</w:t>
      </w:r>
    </w:p>
    <w:p>
      <w:pPr>
        <w:keepNext/>
        <w:spacing w:after="100"/>
      </w:pPr>
      <w:r>
        <w:rPr>
          <w:b/>
          <w:bCs/>
        </w:rPr>
        <w:t xml:space="preserve">Del valor intrínseco al objetivo a 12 meses.</w:t>
      </w:r>
    </w:p>
    <w:p>
      <w:pPr>
        <w:spacing w:after="100"/>
      </w:pPr>
      <w:r>
        <w:t xml:space="preserve">El objetivo a 12 meses (≈22,4 EUR) queda por encima del valor intrínseco (19,72 EUR): por una vez, el valor real está por debajo del precio a un año. El mercado paga 16-17x un beneficio que sigue creciendo (+12 % en el 1S26), mientras la caja libre se reduce por la inversión. Para cerrar la distancia hacia arriba haría falta un DORA IV generoso (2032) o un tráfico muy por encima del 2 %; hacia abajo, que el mercado empiece a valorar la caja y no el beneficio. Ninguno tiene fecha en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3T (el de más tráfico) y guía de tráfico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plan estratégico tras el DORA III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inversión, financiación y política de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las tarifas de 2027 (+0,33 %)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ingreso regulado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y dividendo con cargo a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con la inversión del DORA III en marcha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Adjudicación de las grandes obras de Barajas y El Prat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ritmo de inversión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 inversión del DORA III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−15/−25 % (bajista del DCF −41 %)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activos nueva se retribuye en el DORA IV</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capital regulado del DORA IV y desviaciones de la inversión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OPEX que crece más que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puntos de margen ≈ −0,14 EUR de BPA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OPEX recalculado a precios de 2026 en el DORA III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3T26 por debajo del 62 %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tráfico (turismo, combustible,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tráfico ≈ −1,5 % de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gran parte fijos pero tarifas reguladas con ajustes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mensual por debajo del +1 %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Intervención del Estado como accionista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Recorte de dividendo o inversiones sin retorno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regulación aeroportuaria y supervisión de la CNMC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presidente o de la política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(divisa y concesiones)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brasileño y tráfico de Brasil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financiado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Deuda neta de 6.724 M a ≈8.400 M en 2028e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A2 y DN/EBITDA bajo (1,7x)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DN/EBITDA por encima de 2,5x</w:t>
            </w:r>
          </w:p>
        </w:tc>
      </w:tr>
    </w:tbl>
    <w:p>
      <w:pPr>
        <w:spacing w:after="160" w:before="0"/>
      </w:pPr>
    </w:p>
    <w:p>
      <w:pPr>
        <w:pStyle w:val="Heading2"/>
      </w:pPr>
      <w:r>
        <w:t xml:space="preserve">Pre-mortem</w:t>
      </w:r>
    </w:p>
    <w:p>
      <w:pPr>
        <w:spacing w:after="100"/>
      </w:pPr>
      <w:r>
        <w:t xml:space="preserve">Es octubre de 2029 y Aena ha caído un 40 %. El tráfico creció un 1 % al año, no un 2 %, porque el combustible caro y la crisis de ocupación de 2026 recortaron capacidad de las aerolíneas de bajo coste en España. Las tarifas subieron un 0,33 % como fijó el DORA III, pero el OPEX lo hizo al 5-6 % y el margen bajó del 59 % al 53 %. Al mismo tiempo, la inversión de Barajas y El Prat se ejecutó con sobrecostes, la deuda neta pasó de 1,7x a 2,8x el EBITDA y la empresa recortó el payout del 80 % al 60 % para conservar el rating. El mercado, que pagaba 16-17x el beneficio por su dividendo, pasó a valorarla por su caja libre, negativa, y el PER bajó a 12x. La señal que lo habría anticipado: el margen del 1S26 (54,5 %, −2 puntos) y la guía de tráfico de 2026 (+1,3 %).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descarbonización de la aviación (combustibles sostenibles, impuestos al queroseno) por su efecto en el tráfico, y el ruido y la ocupación de suelo de las ampliaciones de Barajas y El Prat, que exigen tramitación ambiental [22].</w:t>
      </w:r>
    </w:p>
    <w:p>
      <w:pPr>
        <w:pStyle w:val="Heading2"/>
      </w:pPr>
      <w:r>
        <w:t xml:space="preserve">Controversias</w:t>
      </w:r>
    </w:p>
    <w:p>
      <w:pPr>
        <w:spacing w:after="100"/>
      </w:pPr>
      <w:r>
        <w:t xml:space="preserve">Conflicto con las aerolíneas por las tarifas del DORA III y la subida de 2026 [23, 28]. No se encontraron sanciones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regulada tiene la inversión del DORA III y cuándo entra en la base de activos?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crecer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mantiene el payout del 80 % con una caja libre negativa desde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sostiene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OPEX de 2025-2026 es estructural (personal, seguridad, energía)?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1S26 bajó 2 puntos.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capacidad tienen comprometida las aerolíneas para el invierno 2026-27 y el verano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avisó de menor ocupación.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comercial viene de nuevos contratos de tiendas y restauración frente a gasto por pasajero?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palanca no regulada.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inversión y deuda queda en Brasil y qué rentabilidad dan las concesiones?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separados en este análisis.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«AENA: seguimiento de la acción»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 largo (626 respuestas) con debate sobre el DORA III, el dividendo y la caída desde los máximos de febrero; la parte indexada recoge sobre todo hechos relevantes (fusión de GAP)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Bolsamanía (análisis de Jefferies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tras el 2T se lee como posicionamiento y no como fundamentales; el DORA III, como catalizador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Estrategias de Inversión (tras la aprobación del DORA III)</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Alivio porque el Gobierno descarta bajar tarifas, pero dudas sobre cómo se financian 13.000 M con tarifas casi planas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Corner y Vozpópuli (debate tarifario)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aerolíneas y parte de los lectores ven a Aena como un monopolio que debe compensar tarifas con ingresos comerciales [28,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DORA III: tarifas +0,33 % frente a 13.000 M de inversión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la duda: la inversión regulada (9.991 M) casi duplica el ritmo actual y el ingreso regulado apenas sube; la rentabilidad del capital nuevo es la regulada, no la histórica [20,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del 80 % y rentabilidad ≈4,4 %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hoy (1,09 EUR) [12], pero con la caja libre camino de ser negativa desde 2027 el dividendo dependerá de la deuda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como accionista y regulador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riesgo real: ENAIRE tiene el 51 % y el Consejo de Ministros fija las tarifas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Turismo récord y tráfico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Tráfico +3,9 % en el 1S26, pero la dirección avisa de menor ocupación [2, 3].</w:t>
            </w:r>
          </w:p>
        </w:tc>
      </w:tr>
    </w:tbl>
    <w:p>
      <w:pPr>
        <w:spacing w:after="160" w:before="0"/>
      </w:pPr>
    </w:p>
    <w:p>
      <w:pPr>
        <w:spacing w:after="100"/>
      </w:pPr>
      <w:r>
        <w:t xml:space="preserve">El sentimiento está dividido y no es extremo: los particulares valoran el dividendo y el turismo, y temen que el Estado use a Aena para financiar inversión sin subir tarifas. Coincide con el consenso de analistas (mayoría de mantener) y con nuestra lectura: el riesgo no es el tráfico sino la rentabilidad de la inversión del DORA III. No aporta ningún riesgo que el análisis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48 (12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8,7 % frente a un ROIC de 22,2 % y un incremental histórico de 12,4 %: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-3,0 % frente a 0,0 % real: genera una variación de circulante de -207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37.320, publicada 38.820: revisa acciones y precio. Explicación: La publicada (38.820 M) es de Rankia a 25,88 EUR del 27-sep; con 24,88 EUR del 9-oct y 1.500 M de acciones son 37.320 M: misma cifra de acciones.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15, 25, 26,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(activo, pasivo, circulante, caja y deuda bruta)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anuales consolidadas 2025 y del balance de la nota de resultados; 2) búsqueda en inglés y en Stock Analysis; 3) solo aparece el patrimonio (9.154,6 M) y la deuda neta: WebFetch no funciona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publicado 2022-2025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2) prensa y Renta 4; 3) derivado de flujo de explotación, dividendo y deuda neta para 2024-2025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historia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(aeronáutico, comercial, inmobiliario, Luton, Brasil); 2) prensa; 3) solo aparecen ingresos aeronáuticos y comerciales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auditoría 2025; 2) IAGC;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con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márgenes de ADP, Fraport y Flughafen Zürich; 2) búsqueda de comparables en MarketScreener; 3) solo aparecen PER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votos de la junta,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e IARC 2025 en la CNMV; 2) nota de la junta de 2026; 3) prensa: no se pueden abrir documentos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en este entorno); 2) búsqueda de Yahoo e Investing; 3) solo la revalorización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márgenes y crecimiento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empresa; 2) Börse Stuttgart y Wisesheets; 3) solo PER sueltos de fechas y criterios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aeropuertos 2019-2026; 2) prensa; 3) sin múltiplos publicados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2) Simply Wall St y TipRanks; 3) cifras contradictorias entre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inglés de Reddit y Seeking Alpha; 2) búsqueda de foros españoles; 3) solo Rankia y comentarios de prensa indexados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 obtiene un beneficio neto de 2.136,7 millones de euros en 2025 (nota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https://www.aena.es/es/prensa/aena-obtiene-un-beneficio-neto-de-2.1367-millones-de-euros-en-2025.html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 cierra el primer semestre de 2026 con un beneficio de 1.002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https://www.aena.es/es/prensa/aena-cierra-el-primer-semestre-de-2026-con-un-beneficio-de-1.002-millones---de-euros.html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eleva un 12,10 % su beneficio en el primer semestre hasta los 1.002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https://www.estrategiasdeinversion.com/actualidad/noticias/bolsa-espana/aena-eleva-un-1210-su-beneficio-en-el-primer-semestre-n-938955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2024: Aena obtiene un beneficio neto récord de 1.934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https://www.aena.es/es/prensa/resultados-anuales-2024--aena-obtiene-un-beneficio-neto-record-de-1.934-millones-de-euros-en-2024.html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supera el EBITDA de 2019 y logra un beneficio neto de 1.631 millones de euros (resultados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https://www.aena.es/es/prensa/aena-supera-el-ebitda-de-2019-y-logra-un-beneficio-neto-de-1.631---millones-de-euros.html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2022 (nota de prensa en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https://www.aena.es/doc/detalleprensa/230228-aena-resultados-2022.pdf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sale de pérdidas, consigue un beneficio de 901,5 millones y vuelve al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https://www.estrategiasdeinversion.com/actualidad/noticias/bolsa-espana/aena-sale-de-perdidas-consigue-un-beneficio-de-n-597765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Financial data, forecasts and estimates (EBIT y BAI de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https://www.marketscreener.com/quote/stock/AENA-S-M-E-S-A-20798509/finances/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2025: estado de situación financiera consolidado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https://www.aena.es/sites/Satellite?blobcol=urldata&amp;blobkey=id&amp;blobtable=MungoBlobs&amp;blobwhere=1576873450971&amp;ssbinary=true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earns 1,579.4 million euros in the first nine months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https://www.aena.es/en/press/aena-earns-1579.4-million-euros-in-the-first-nine-months-of-2025.html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gana 329,4 millones hasta marzo, un 9,3 % más, con una subida del 11,6 % en ingresos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https://www.bolsamania.com/noticias/empresas/aena-gana-3294-millones-hasta-marzo-93-mas-subida-116-ingresos--22374530.html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2026 (dividendo de 1,09 EUR; revalorización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https://www.aena.es/doc/detalleprensa/260416-aena-junta-general-accionistas-2026.pdf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reparte 1.635 millones en dividendos tras un 2025 récord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https://www.merca2.es/2026/04/27/aena-dividendo-1635-millones-2025-2373293/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de Aena aprueba un dividendo de 9,76 euros, el mayor de la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https://www.bolsamania.com/noticias/empresas/junta-aena-aprueba-dividendo-976-euros-mayor-historia-compania--19330881.html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(BME:AENA)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https://stockanalysis.com/quote/bme/AENA/financials/income-statement/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2025, la generación de caja operativa por debajo de nuestra previsión; guía 2026 por debajo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https://www.r4.com/articulos-y-analisis/valores/aena-2025-la-generacion-de-caja-operativa-por-debajo-de-nuestra-prevision-guia-2026-por-debajo-de-previsiones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aprueba dividendo récord y desdobla sus acciones (split 10 por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Aviacionline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https://dosunos.aviacionline.com/aena-aprueba-dividendo-record-y-desdobla-sus-acciones-tras-un-ano-de-beneficios-maximos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reitera su recomendación de compra sobre Aena (objetivo 29,50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https://www.bolsamania.com/noticias/empresas/economia--jefferies-reitera-su-recomendacion-de-compra-sobre-aena-tras-mantener-intactas-sus-perspectivas-financieras--23176892.html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mejora la calificación de Aena a A2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https://www.estrategiasdeinversion.com/actualidad/noticias/bolsa-espana/moodys-mejora-calificacion-de-aena-a-a2-con-perspectiva-n-849953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Pista despejada para Aena: 13.000 millones de inversión (DORA III aprobado; lectura de Bank of America)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https://www.estrategiasdeinversion.com/actualidad/noticias/bolsa-espana/pista-despejada-para-aena-13000-millones-de-inversion-n-949951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propone rebajar las tasas aeroportuarias hasta 2031 frente a la intención de Aena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https://rtvc.es/la-cnmc-propone-rebajar-las-tasas-aeroportuarias-hasta-2031-3-junio-2026/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DORA III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https://www.aena.es/doc/detalleprensa/260218-np-propuesta-dora-iii.pdf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Gobierno encarece las tasas aeroportuarias de Aena 3 céntimos al año para financiar un plan de 13.000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https://www.vozpopuli.com/economia/el-gobierno-encarece-las-tasas-aeroportuarias-de-aena-3-centimos-al-ano-para-financiar-un-plan-de-13000-millones.html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Spanish government approves Aena's DORA III with €13bn investment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Extra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https://www.travelextra.ie/spanish-government-approves-aenas-dora-iii-with-e13bn-investment/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la CNMC sobre la propuesta de DORA 2027-2031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https://cnmc.es/en/node/420721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la propuesta de la CNMC para DORA III, ligeramente por debajo de nuestras previsiones pero mejora visibilidad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https://www.r4.com/articulos-y-analisis/valores/aena-la-propuesta-de-la-cnmc-para-dora-iii-ligeramente-por-debajo-de-nuestras-previsiones-pero-mejora-visibilidad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tráfico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https://www.aena.es/doc/detalleprensa/260812-eas-estadisticas-julio.pdf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de tasas en Aena: las aerolíneas piden rebajas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https://www.vozpopuli.com/economia/transporte/guerra-de-tasas-en-aena-las-aerolineas-piden-rebajas-por-el-beneficio-de-sus-pasajeros-en-las-tiendas.html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sube en torno al 2 % tras solicitar el aumento de las tarifas (6,5 %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https://www.estrategiasdeinversion.com/actualidad/noticias/bolsa-espana/aena-sube-cerca-de-un-2-tras-solicitar-el-aumento-n-829733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Still too early to talk about Aena's investment plan without tariffs being defined in Dora III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https://thecorner.eu/companies/still-too-early-to-talk-about-aenas-investment-plan-without-tariffs-being-defined-in-dora-iii-framework/123674/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previsión de tráfico 2026 en España (+1,3 %, ≈326 millones) y opinión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https://www.estrategiasdeinversion.com/actualidad/noticias/bolsa-espana/una-accion-del-ibex-35-muy-fuerte-y-con-dividendo-n-907487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seguimiento de la acción (hilo con el hecho relevante de la fusión de GAP)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https://www.rankia.com/foros/bolsa/temas/1987511-aena-seguimiento-accion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Aena (17:35 del 9-oct-2026: 24,88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https://www.bolsamania.com/accion/AENA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cotización (24,88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https://www.marketscreener.com/quote/stock/AENA-S-M-E-S-A-20798509/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(AENA): ficha de la acción, rango de 52 semanas 21,96-28,86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https://www.rankia.com/acciones/aena-aena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update / analyst estimates for Aena (19 analistas, objetivo 26,82 EUR, 20-31,50)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https://simplywall.st/stocks/es/transportation/bme-aena/aena-sme-shares/news/earnings-update-aena-sme-sa-bmeaena-just-reported-its-interi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potencial de más del 60 % ... y dividendo en abril (recomendaciones: 2 compra fuerte, 6 compra, 12 mantener, 4 venta; objetivo medio ≈26,6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https://www.estrategiasdeinversion.com/actualidad/noticias/bolsa-espana/aena-potencial-de-mas-del-60-para-volar-hasta-n-901743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Aéroports de Paris: PER estimado 2026 18,17x y 2027 14,54x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Stuttgart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https://www.boerse-stuttgart.de/en/products/equities/stuttgart/a0j2wm-a-roports-de-paris-s-a/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Fraport: PER (14,97x)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Stuttgart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https://www.boerse-stuttgart.de/en/products/equities/stuttgart/577330-fraport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Sureste: PER 2026e 14,2x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https://au.marketscreener.com/quote/stock/GRUPO-AEROPORTUARIO-DEL-S-6492978/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precio de diciembre de 2025 (23,60-23,82 EUR)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https://www.simplywall.st/stocks/es/transportation/bme-aena/aena-sme-shares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S.M.E. (ANYYY): histórico mensual de precios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https://www.digrin.com/stocks/detail/ANYYY/price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Corporación América Airports: PER adelantado 12,9x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https://www.webull.com/news/15245222998385664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Flughafen Zürich: PER (20,8x)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Wisesheets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https://www.wisesheets.io/pe-ratio/FPRUF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se desploma un 4 % y lidera caídas del Ibex 35 pese a ganar 1.579 millones hasta septiembre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Valencia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https://valenciaplaza.com/valenciaplaza/bolsas/aena-se-desploma-un-4-y-lidera-caidas-del-ibex-35-pese-a-ganar-1579-millones-hasta-septiembre-un-9-mas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mantiene la compra sobre Aena: «la consideramos la mejor posicionada a corto plazo» (y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https://www.bolsamania.com/noticias/analisis-fundamental/jefferies-mantiene-compra-aena-consideramos-mejor-posicionada-corto-plazo--23174664.html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72,9 %</w:t>
      </w:r>
      <w:r>
        <w:t xml:space="preserve"> · Secciones con menos del 60 % de campos cubiertos: </w:t>
      </w:r>
      <w:r>
        <w:rPr>
          <w:b/>
          <w:bCs/>
        </w:rPr>
        <w:t xml:space="preserve">gobierno, transacciones, calidad, bolsa</w:t>
      </w:r>
      <w:r>
        <w:t xml:space="preserve"> · Generado el 14 oct 2026.</w:t>
      </w:r>
    </w:p>
    <w:p>
      <w:pPr>
        <w:pStyle w:val="Nota"/>
        <w:spacing w:after="100"/>
      </w:pPr>
      <w:r>
        <w:t xml:space="preserve">Análisis hecho desde la nube con la red limitada a la búsqueda web: la web de Aena, la CNMV y los proveedores de datos no se pudieron abrir, así que las cifras salen de los extractos de búsqueda de las notas de resultados de Aena, de la prensa financiera y de agregadores (MarketScreener, Stock Analysis, Simply Wall St), con la URL como fuente; la confianza es menor que en un análisis normal. Cuentas en EUR, NIIF-UE, ejercicio natural. Por acción, todo va en acciones nuevas tras el desdoblamiento 10 por 1 de 2025 (1.500 M de acciones) [17]. El balance solo tiene la deuda neta y el patrimonio de 2025: el ROIC del motor (22,2 %) usa un capital invertido incompleto; con patrimonio más deuda neta de 2025 (14.664 M) el ROIC es ≈15 % (estimación propia). El EBIT y el BAI de 2022-2023 son estimación propia; los de 2024-2025, de MarketScreener [8]. El impuesto incluye los minoritarios. El precio es el último cierre encontrado (9-oct-2026, 24,88 EUR) [33, 34]; no se encontró el del 13-oct. Los precios de cierre de 2022-2023 son estimación a partir del ADR.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Aena S.M.E., S.A. (AENA)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Hoja1!$B$2:$B$8</c:f>
              <c:numCache>
                <c:formatCode>#,##0.0</c:formatCode>
                <c:ptCount val="7"/>
                <c:pt idx="0">
                  <c:v>21.96</c:v>
                </c:pt>
                <c:pt idx="1">
                  <c:v>20</c:v>
                </c:pt>
                <c:pt idx="2">
                  <c:v>22.15</c:v>
                </c:pt>
                <c:pt idx="3">
                  <c:v>16.37</c:v>
                </c:pt>
                <c:pt idx="4">
                  <c:v>14.59</c:v>
                </c:pt>
                <c:pt idx="5">
                  <c:v>22.08</c:v>
                </c:pt>
                <c:pt idx="6">
                  <c:v>24.76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Hoja1!$C$2:$C$8</c:f>
              <c:numCache>
                <c:formatCode>#,##0.0</c:formatCode>
                <c:ptCount val="7"/>
                <c:pt idx="0">
                  <c:v>6.899999999999999</c:v>
                </c:pt>
                <c:pt idx="1">
                  <c:v>11.5</c:v>
                </c:pt>
                <c:pt idx="2">
                  <c:v>6.240000000000002</c:v>
                </c:pt>
                <c:pt idx="3">
                  <c:v>8.07</c:v>
                </c:pt>
                <c:pt idx="4">
                  <c:v>7.830000000000002</c:v>
                </c:pt>
                <c:pt idx="5">
                  <c:v>6.920000000000002</c:v>
                </c:pt>
                <c:pt idx="6">
                  <c:v>0.23999999999999844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pasajeros (grupo))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369.3</c:v>
                </c:pt>
                <c:pt idx="1">
                  <c:v>384.8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Aena</c:v>
                </c:pt>
              </c:strCache>
            </c:strRef>
          </c:cat>
          <c:val>
            <c:numRef>
              <c:f>Hoja1!$B$2</c:f>
              <c:numCache>
                <c:formatCode>0.0"%"</c:formatCode>
                <c:ptCount val="1"/>
                <c:pt idx="0">
                  <c:v>46.8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5</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4237.5</c:v>
                </c:pt>
                <c:pt idx="1">
                  <c:v>5141.8</c:v>
                </c:pt>
                <c:pt idx="2">
                  <c:v>5827.8</c:v>
                </c:pt>
                <c:pt idx="3">
                  <c:v>6379.2</c:v>
                </c:pt>
                <c:pt idx="4">
                  <c:v>6890</c:v>
                </c:pt>
                <c:pt idx="5">
                  <c:v>7165</c:v>
                </c:pt>
                <c:pt idx="6">
                  <c:v>7488</c:v>
                </c:pt>
                <c:pt idx="7">
                  <c:v>7824</c:v>
                </c:pt>
                <c:pt idx="8">
                  <c:v>8177</c:v>
                </c:pt>
                <c:pt idx="9">
                  <c:v>8504</c:v>
                </c:pt>
                <c:pt idx="10">
                  <c:v>8886</c:v>
                </c:pt>
                <c:pt idx="11">
                  <c:v>9242</c:v>
                </c:pt>
                <c:pt idx="12">
                  <c:v>9519</c:v>
                </c:pt>
                <c:pt idx="13">
                  <c:v>9757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0">
                  <c:v>2078.9</c:v>
                </c:pt>
                <c:pt idx="1">
                  <c:v>2868.6</c:v>
                </c:pt>
                <c:pt idx="2">
                  <c:v>3510.3</c:v>
                </c:pt>
                <c:pt idx="3">
                  <c:v>3785</c:v>
                </c:pt>
                <c:pt idx="4">
                  <c:v>3961</c:v>
                </c:pt>
                <c:pt idx="5">
                  <c:v>4048</c:v>
                </c:pt>
                <c:pt idx="6">
                  <c:v>4230</c:v>
                </c:pt>
                <c:pt idx="7">
                  <c:v>4421</c:v>
                </c:pt>
                <c:pt idx="8">
                  <c:v>4620</c:v>
                </c:pt>
                <c:pt idx="9">
                  <c:v>4805</c:v>
                </c:pt>
                <c:pt idx="10">
                  <c:v>5065</c:v>
                </c:pt>
                <c:pt idx="11">
                  <c:v>5268</c:v>
                </c:pt>
                <c:pt idx="12">
                  <c:v>5426</c:v>
                </c:pt>
                <c:pt idx="13">
                  <c:v>5561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49.1</c:v>
                </c:pt>
                <c:pt idx="1">
                  <c:v>55.8</c:v>
                </c:pt>
                <c:pt idx="2">
                  <c:v>60.2</c:v>
                </c:pt>
                <c:pt idx="3">
                  <c:v>59.3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30.2</c:v>
                </c:pt>
                <c:pt idx="1">
                  <c:v>39.9</c:v>
                </c:pt>
                <c:pt idx="2">
                  <c:v>45.7</c:v>
                </c:pt>
                <c:pt idx="3">
                  <c:v>46.8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21.3</c:v>
                </c:pt>
                <c:pt idx="1">
                  <c:v>31.7</c:v>
                </c:pt>
                <c:pt idx="2">
                  <c:v>33.2</c:v>
                </c:pt>
                <c:pt idx="3">
                  <c:v>33.5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0">
                  <c:v>1872.9</c:v>
                </c:pt>
                <c:pt idx="1">
                  <c:v>1453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1934.2</c:v>
                </c:pt>
                <c:pt idx="1">
                  <c:v>2136.7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1">
                  <c:v>50.7</c:v>
                </c:pt>
                <c:pt idx="2">
                  <c:v>34.4</c:v>
                </c:pt>
                <c:pt idx="3">
                  <c:v>22.2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7.8</c:v>
                </c:pt>
                <c:pt idx="1">
                  <c:v>7.8</c:v>
                </c:pt>
                <c:pt idx="2">
                  <c:v>7.8</c:v>
                </c:pt>
                <c:pt idx="3">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46.7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0</c:v>
                </c:pt>
                <c:pt idx="1">
                  <c:v>2.17</c:v>
                </c:pt>
                <c:pt idx="2">
                  <c:v>1.57</c:v>
                </c:pt>
                <c:pt idx="3">
                  <c:v>1.46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0</c:v>
                </c:pt>
                <c:pt idx="1">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1149</c:v>
                </c:pt>
                <c:pt idx="1">
                  <c:v>1464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ENAIRE (Ministerio de Transportes)</c:v>
                </c:pt>
              </c:strCache>
            </c:strRef>
          </c:cat>
          <c:val>
            <c:numRef>
              <c:f>Hoja1!$B$2</c:f>
              <c:numCache>
                <c:formatCode>0.0"%"</c:formatCode>
                <c:ptCount val="1"/>
                <c:pt idx="0">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8.5</c:v>
                </c:pt>
                <c:pt idx="1">
                  <c:v>10.7</c:v>
                </c:pt>
                <c:pt idx="2">
                  <c:v>10</c:v>
                </c:pt>
                <c:pt idx="3">
                  <c:v>10.9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10.7</c:v>
                </c:pt>
                <c:pt idx="1">
                  <c:v>10.7</c:v>
                </c:pt>
                <c:pt idx="2">
                  <c:v>10.7</c:v>
                </c:pt>
                <c:pt idx="3">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1771</c:v>
                </c:pt>
                <c:pt idx="1">
                  <c:v>935</c:v>
                </c:pt>
                <c:pt idx="2">
                  <c:v>838</c:v>
                </c:pt>
                <c:pt idx="3">
                  <c:v>885</c:v>
                </c:pt>
                <c:pt idx="4">
                  <c:v>1108</c:v>
                </c:pt>
                <c:pt idx="5">
                  <c:v>1427</c:v>
                </c:pt>
                <c:pt idx="6">
                  <c:v>2247</c:v>
                </c:pt>
                <c:pt idx="7">
                  <c:v>2521</c:v>
                </c:pt>
                <c:pt idx="8">
                  <c:v>2784</c:v>
                </c:pt>
                <c:pt idx="9">
                  <c:v>2950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10610</c:v>
                </c:pt>
                <c:pt idx="1">
                  <c:v>25688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24,88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14.59</c:v>
                </c:pt>
                <c:pt idx="1">
                  <c:v>19.72</c:v>
                </c:pt>
                <c:pt idx="2">
                  <c:v>22.42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24,88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Hoja1!$B$2:$B$8</c:f>
              <c:numCache>
                <c:formatCode>#,##0.0</c:formatCode>
                <c:ptCount val="7"/>
                <c:pt idx="0">
                  <c:v>21.96</c:v>
                </c:pt>
                <c:pt idx="1">
                  <c:v>20</c:v>
                </c:pt>
                <c:pt idx="2">
                  <c:v>22.15</c:v>
                </c:pt>
                <c:pt idx="3">
                  <c:v>16.37</c:v>
                </c:pt>
                <c:pt idx="4">
                  <c:v>14.59</c:v>
                </c:pt>
                <c:pt idx="5">
                  <c:v>22.08</c:v>
                </c:pt>
                <c:pt idx="6">
                  <c:v>24.76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(21,96 – 28,86)</c:v>
                </c:pt>
                <c:pt idx="1">
                  <c:v>Precio objetivo de los analistas (20,00 – 31,50)</c:v>
                </c:pt>
                <c:pt idx="2">
                  <c:v>Comparables: PER NTM (22,15 – 28,39)</c:v>
                </c:pt>
                <c:pt idx="3">
                  <c:v>DCF (WACC y g ± 0,5) (16,37 – 24,44)</c:v>
                </c:pt>
                <c:pt idx="4">
                  <c:v>Escenarios (bajista – alcista) (14,59 – 22,42)</c:v>
                </c:pt>
                <c:pt idx="5">
                  <c:v>DCF con la prima implícita del mercado (4,2 %)</c:v>
                </c:pt>
                <c:pt idx="6">
                  <c:v>Precio actual (24,88)</c:v>
                </c:pt>
              </c:strCache>
            </c:strRef>
          </c:cat>
          <c:val>
            <c:numRef>
              <c:f>Hoja1!$C$2:$C$8</c:f>
              <c:numCache>
                <c:formatCode>#,##0.0</c:formatCode>
                <c:ptCount val="7"/>
                <c:pt idx="0">
                  <c:v>6.899999999999999</c:v>
                </c:pt>
                <c:pt idx="1">
                  <c:v>11.5</c:v>
                </c:pt>
                <c:pt idx="2">
                  <c:v>6.240000000000002</c:v>
                </c:pt>
                <c:pt idx="3">
                  <c:v>8.07</c:v>
                </c:pt>
                <c:pt idx="4">
                  <c:v>7.830000000000002</c:v>
                </c:pt>
                <c:pt idx="5">
                  <c:v>6.920000000000002</c:v>
                </c:pt>
                <c:pt idx="6">
                  <c:v>0.23999999999999844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