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Monster Beverage Corporation</w:t>
      </w:r>
    </w:p>
    <w:p>
      <w:pPr>
        <w:spacing w:after="60"/>
        <w:rPr>
          <w:color w:val="52514E"/>
          <w:sz w:val="22"/>
          <w:szCs w:val="22"/>
        </w:rPr>
      </w:pPr>
      <w:r>
        <w:rPr>
          <w:color w:val="52514E"/>
          <w:sz w:val="22"/>
          <w:szCs w:val="22"/>
        </w:rPr>
        <w:t xml:space="preserve">MNST · Nasdaq Global Select Market · ISIN US61174X1090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47,04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46,89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-0,3 % (base +6,2 %)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26,77 USD · mercado 31,02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92.156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Monster Beverage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MNST / US61174X1090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no alcohólicas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Corona (California) · Años treinta (Hansen's); Hansen Natural desde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https://www.monsterbevcorp.com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47,04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32,94 – 50,17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92.156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46,89 USD</w:t>
      </w:r>
      <w:r>
        <w:t xml:space="preserve"> frente a 47,04 · Rentabilidad a 12 meses </w:t>
      </w:r>
      <w:r>
        <w:rPr>
          <w:b/>
          <w:bCs/>
        </w:rPr>
        <w:t xml:space="preserve">-0,3 % (base +6,2 %)</w:t>
      </w:r>
      <w:r>
        <w:t xml:space="preserve"> · Valor intrínseco 26,77 USD · con la prima implícita del mercado: 31,02 (-34,1 %) · Alcista / bajista -28,6 % / -62,8 %</w:t>
      </w:r>
    </w:p>
    <w:p>
      <w:pPr>
        <w:spacing w:after="100"/>
      </w:pPr>
      <w:r>
        <w:rPr>
          <w:b/>
        </w:rPr>
        <w:t xml:space="preserve">La recomendación y por qué.</w:t>
      </w:r>
      <w:r>
        <w:t xml:space="preserve"> Mantener, con convicción media. El objetivo a 12 meses es de 46,89 USD (nuestro BPA de 2028e × el PER de la regla común), un −0,3 % de rentabilidad ponderada y un +6,2 % en el caso base, frente a un precio de 47,04 USD (cierre del 20-oct-2026; 46,75 en la sesión del 21-oct a las 16:38 UTC). El valor intrínseco (26,77 USD) queda un 43 % bajo el precio. Ninguna de las tres condiciones de Comprar se cumple [31]. La convicción es media porque las dos reglas (frente a su coste de capital y frente a lo que pide el mercado) coinciden y el precio está lejos de los umbrales de Comprar y de Vender; cambiaría la convicción un crecimiento sostenido por encima del 15 % o una recompra grande con la caja (acercarían el objetivo a Comprar) o un trimestre con ventas por debajo del +10 % (acercaría la vuelta al PER de 27 veces y el precio a Vender).</w:t>
      </w:r>
    </w:p>
    <w:p>
      <w:pPr>
        <w:spacing w:after="100"/>
      </w:pPr>
      <w:r>
        <w:rPr>
          <w:b/>
        </w:rPr>
        <w:t xml:space="preserve">El negocio.</w:t>
      </w:r>
      <w:r>
        <w:t xml:space="preserve"> El número dos mundial de la bebida energética (≈ 15 % del mercado, detrás de Red Bull [12]): diseña y vende latas de Monster, Reign, Bang y las marcas compradas a Coca-Cola, que la red de embotelladores de Coca-Cola produce y reparte en ≈ 158 países [1]. Margen operativo del 29 %, inversión del 2 % de las ventas y ROIC del 38,7 %, ≈ 30 puntos sobre el WACC [31].</w:t>
      </w:r>
    </w:p>
    <w:p>
      <w:pPr>
        <w:spacing w:after="100"/>
      </w:pPr>
      <w:r>
        <w:rPr>
          <w:b/>
        </w:rPr>
        <w:t xml:space="preserve">Finanzas.</w:t>
      </w:r>
      <w:r>
        <w:t xml:space="preserve"> Ventas de 8.294 M USD en 2025 (+10,7 %) y +23 % en el 1S26; BPA de 0,97 USD en 2025 y 0,58 en el 1S26 (acciones de hoy) [1, 3]. Sin deuda y con 4.201 M de caja e inversiones a junio de 2026 [2]. Sin dividendo; recompras irregulares (3.806 M en 2024, 104 M en 2025). El alcohol pierde dinero (−127 M en 2025) y ha costado ≈ 230 M de deterioros [1].</w:t>
      </w:r>
    </w:p>
    <w:p>
      <w:pPr>
        <w:spacing w:after="100"/>
      </w:pPr>
      <w:r>
        <w:rPr>
          <w:b/>
        </w:rPr>
        <w:t xml:space="preserve">Equipo y gobierno.</w:t>
      </w:r>
      <w:r>
        <w:t xml:space="preserve"> Los fundadores (Sacks, presidente, y Schlosberg, consejero delegado) dirigen desde 1990 y tienen ≈ 15 %; Coca-Cola tiene el 20,9 % [16]. 7 de 9 consejeros independientes. Debilidades: ventas de directivos por 36,2 M USD en 12 meses sin ninguna compra [21], sucesión (Sacks sale de plantilla a final de 2026; el responsable de América se va a Coca-Cola [20]) y un variable ligado al BPA, no a la rentabilidad.</w:t>
      </w:r>
    </w:p>
    <w:p>
      <w:pPr>
        <w:spacing w:after="100"/>
      </w:pPr>
      <w:r>
        <w:rPr>
          <w:b/>
        </w:rPr>
        <w:t xml:space="preserve">Valoración.</w:t>
      </w:r>
      <w:r>
        <w:t xml:space="preserve"> El DCF da 28,05 USD (−40 %) y el DCF inverso dice que el precio descuenta un 14,3 % de crecimiento anual en 2027e-2033e frente al 8,9 % de nuestro base y al 7,5 % del mercado. Con la prima del mercado (4,2 %) el DCF sube a 32,94. La regla a 12 meses lleva el PER de 36,3 a 34,8 veces y el bajista a 27,1 (final de 2024); con la v2 (historia al cierre) la ponderada sería del +8,7 %: tampoco Comprar. Cotiza al doble del PER de los comparables (15,8) [23].</w:t>
      </w:r>
    </w:p>
    <w:p>
      <w:pPr>
        <w:spacing w:after="100"/>
      </w:pPr>
      <w:r>
        <w:rPr>
          <w:b/>
        </w:rPr>
        <w:t xml:space="preserve">Riesgos y catalizadores.</w:t>
      </w:r>
      <w:r>
        <w:t xml:space="preserve"> El mayor riesgo es el múltiplo: volver a 27 veces costaría un 25 %. Después, la competencia en EE. UU. (Alani Nu con PepsiCo), el aluminio y los aranceles, la regulación sanitaria (menores, SNAP, cafeína) y la dependencia de Coca-Cola. El riesgo de IA es bajo y poco directo (±1-2 %): no sustituye una lata. Catalizadores: resultados del 3T26 (≈ 5-nov), reunión con inversores el 1-dic-2026 y el uso de la caja.</w:t>
      </w:r>
    </w:p>
    <w:p>
      <w:pPr>
        <w:spacing w:after="100"/>
      </w:pPr>
      <w:r>
        <w:rPr>
          <w:b/>
        </w:rPr>
        <w:t xml:space="preserve">Qué cambiaría la decisión.</w:t>
      </w:r>
      <w:r>
        <w:t xml:space="preserve"> Comprar exige a la vez una ponderada ≥ 15 %, un base ≥ 12 % y el precio por debajo del valor intrínseco: hoy eso pide un precio por debajo de 26,77 USD. Vender por encima de 52,10. Un crecimiento sostenido por encima del 15 % en 2027 o una recompra grande con la caja mejorarían el objetivo; una pérdida de cuota en EE. UU. o un margen bruto por debajo del 54 % lo empeorarían.</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46,89 USD</w:t>
      </w:r>
      <w:r>
        <w:t xml:space="preserve"> (rentabilidad -0,3 % (base +6,2 %)) · Valor intrínseco: 26,77 USD (-43,1 % sobre 47,04) · con la prima implícita del mercado: 31,02 (-34,1 %)</w:t>
      </w:r>
    </w:p>
    <w:p>
      <w:pPr>
        <w:spacing w:after="100"/>
      </w:pPr>
      <w:r>
        <w:t xml:space="preserve">Monster es uno de los mejores negocios de consumo cotizados: una marca global que crece al doble que su mercado sin invertir casi nada, porque Coca-Cola embotella y reparte por ella, con un ROIC del 38,7 % y caja neta. El crecimiento se ha acelerado en 2026 (+23 % en el 1S26) gracias al internacional y a las subidas de precio. El problema es el precio: a 36 veces el beneficio de 2027, el mercado ya paga ese crecimiento durante muchos años, y la regla a 12 meses no deja margen.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 × 1,28 = 34,61 · 34,8x × 1,44 = 49,97 · 34,8x × 1,52 = 53,00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49,85 (nuestro base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 -62,8 %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9,0 %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frente a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26,77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26,77 y 52,10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52,10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26,77 USD: Comprar (ponderada ≥ 15 %, base ≥ 12 % y valor intrínseco por encima).</w:t>
      </w:r>
    </w:p>
    <w:p>
      <w:pPr>
        <w:pStyle w:val="ListParagraph"/>
        <w:numPr>
          <w:ilvl w:val="0"/>
          <w:numId w:val="2"/>
        </w:numPr>
        <w:spacing w:after="60"/>
      </w:pPr>
      <w:r>
        <w:t xml:space="preserve">Precio entre 26,77 y 52,10 USD: Mantener.</w:t>
      </w:r>
    </w:p>
    <w:p>
      <w:pPr>
        <w:pStyle w:val="ListParagraph"/>
        <w:numPr>
          <w:ilvl w:val="0"/>
          <w:numId w:val="2"/>
        </w:numPr>
        <w:spacing w:after="60"/>
      </w:pPr>
      <w:r>
        <w:t xml:space="preserve">Precio por encima de 52,10 USD: Vender (ponderada ≤ −10 %).</w:t>
      </w:r>
    </w:p>
    <w:p>
      <w:pPr>
        <w:pStyle w:val="ListParagraph"/>
        <w:numPr>
          <w:ilvl w:val="0"/>
          <w:numId w:val="2"/>
        </w:numPr>
        <w:spacing w:after="60"/>
      </w:pPr>
      <w:r>
        <w:t xml:space="preserve">Crecimiento de ventas por encima del 15 % en 2027 con margen estable: revisar el caso base al alza.</w:t>
      </w:r>
    </w:p>
    <w:p>
      <w:pPr>
        <w:pStyle w:val="ListParagraph"/>
        <w:numPr>
          <w:ilvl w:val="0"/>
          <w:numId w:val="2"/>
        </w:numPr>
        <w:spacing w:after="60"/>
      </w:pPr>
      <w:r>
        <w:t xml:space="preserve">Pérdida de cuota en EE. UU. por debajo del 34 % o margen bruto por debajo del 54 %: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 12-14 % al año durante años y que el múltiplo de 35-37 veces se mantiene; los analistas esperan ≈ 50 USD, un 6 % sobre el precio.</w:t>
      </w:r>
    </w:p>
    <w:p>
      <w:pPr>
        <w:keepNext/>
        <w:spacing w:after="100"/>
      </w:pPr>
      <w:r>
        <w:rPr>
          <w:b/>
          <w:bCs/>
        </w:rPr>
        <w:t xml:space="preserve">Lo que creemos nosotros.</w:t>
      </w:r>
    </w:p>
    <w:p>
      <w:pPr>
        <w:spacing w:after="100"/>
      </w:pPr>
      <w:r>
        <w:t xml:space="preserve">Coincidimos en el BPA (1,15 y 1,30 USD en 2026e-2027e, igual que el consenso) y en el negocio; discrepamos en el precio: con el múltiplo cayendo hacia su mediana, la rentabilidad a 12 meses es nula, y el DCF dice que el precio pide un 14 % de crecimiento anual durante siete años.</w:t>
      </w:r>
    </w:p>
    <w:p>
      <w:pPr>
        <w:keepNext/>
        <w:spacing w:after="100"/>
      </w:pPr>
      <w:r>
        <w:rPr>
          <w:b/>
          <w:bCs/>
        </w:rPr>
        <w:t xml:space="preserve">Por qué podemos tener razón.</w:t>
      </w:r>
    </w:p>
    <w:p>
      <w:pPr>
        <w:spacing w:after="100"/>
      </w:pPr>
      <w:r>
        <w:t xml:space="preserve">La historia adelantada muestra que Monster cotizó a 27 veces a final de 2024, en cuanto el crecimiento bajó un año. Hoy la competencia en EE. UU. (Alani Nu con PepsiCo), el aluminio y la regulación hacen probable otro año así antes o después.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7,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Marca global y número dos del mundo</w:t>
      </w:r>
      <w:r>
        <w:t xml:space="preserve">: ≈ 15 % del mercado, ganando cuota fuera de EE. UU. (+34,6 % en el 2T26).</w:t>
      </w:r>
    </w:p>
    <w:p>
      <w:pPr>
        <w:pStyle w:val="ListParagraph"/>
        <w:numPr>
          <w:ilvl w:val="0"/>
          <w:numId w:val="2"/>
        </w:numPr>
        <w:spacing w:after="60"/>
      </w:pPr>
      <w:r>
        <w:rPr>
          <w:b/>
        </w:rPr>
        <w:t xml:space="preserve">ROIC del 38,7 %</w:t>
      </w:r>
      <w:r>
        <w:t xml:space="preserve">: ≈ 30 puntos sobre el WACC, con inversión del 2 % de las ventas.</w:t>
      </w:r>
    </w:p>
    <w:p>
      <w:pPr>
        <w:pStyle w:val="ListParagraph"/>
        <w:numPr>
          <w:ilvl w:val="0"/>
          <w:numId w:val="2"/>
        </w:numPr>
        <w:spacing w:after="60"/>
      </w:pPr>
      <w:r>
        <w:rPr>
          <w:b/>
        </w:rPr>
        <w:t xml:space="preserve">Crecimiento acelerando</w:t>
      </w:r>
      <w:r>
        <w:t xml:space="preserve">: ventas +23 % en el 1S26 y BPA +23 %.</w:t>
      </w:r>
    </w:p>
    <w:p>
      <w:pPr>
        <w:pStyle w:val="ListParagraph"/>
        <w:numPr>
          <w:ilvl w:val="0"/>
          <w:numId w:val="2"/>
        </w:numPr>
        <w:spacing w:after="60"/>
      </w:pPr>
      <w:r>
        <w:rPr>
          <w:b/>
        </w:rPr>
        <w:t xml:space="preserve">Sin deuda y con 4.201 M de caja</w:t>
      </w:r>
      <w:r>
        <w:t xml:space="preserve">: margen para recompras o resistir un mal año.</w:t>
      </w:r>
    </w:p>
    <w:p>
      <w:pPr>
        <w:pStyle w:val="ListParagraph"/>
        <w:numPr>
          <w:ilvl w:val="0"/>
          <w:numId w:val="2"/>
        </w:numPr>
        <w:spacing w:after="60"/>
      </w:pPr>
      <w:r>
        <w:rPr>
          <w:b/>
        </w:rPr>
        <w:t xml:space="preserve">Red de Coca-Cola</w:t>
      </w:r>
      <w:r>
        <w:t xml:space="preserve">: distribución en frío mundial asegurada hasta 2030.</w:t>
      </w:r>
    </w:p>
    <w:p>
      <w:pPr>
        <w:pStyle w:val="Heading2"/>
      </w:pPr>
      <w:r>
        <w:t xml:space="preserve">En contra</w:t>
      </w:r>
    </w:p>
    <w:p>
      <w:pPr>
        <w:pStyle w:val="ListParagraph"/>
        <w:numPr>
          <w:ilvl w:val="0"/>
          <w:numId w:val="2"/>
        </w:numPr>
        <w:spacing w:after="60"/>
      </w:pPr>
      <w:r>
        <w:rPr>
          <w:b/>
        </w:rPr>
        <w:t xml:space="preserve">Caro</w:t>
      </w:r>
      <w:r>
        <w:t xml:space="preserve">: 36,3 veces el BPA de 2027e frente a una mediana adelantada de 33,3 y un mínimo de 27,1; el DCF queda un 40 % abajo.</w:t>
      </w:r>
    </w:p>
    <w:p>
      <w:pPr>
        <w:pStyle w:val="ListParagraph"/>
        <w:numPr>
          <w:ilvl w:val="0"/>
          <w:numId w:val="2"/>
        </w:numPr>
        <w:spacing w:after="60"/>
      </w:pPr>
      <w:r>
        <w:rPr>
          <w:b/>
        </w:rPr>
        <w:t xml:space="preserve">Competencia en EE. UU.</w:t>
      </w:r>
      <w:r>
        <w:t xml:space="preserve">: Alani Nu (+2 puntos en un año) y Celsius en la red de PepsiCo; Reign y Bang caen.</w:t>
      </w:r>
    </w:p>
    <w:p>
      <w:pPr>
        <w:pStyle w:val="ListParagraph"/>
        <w:numPr>
          <w:ilvl w:val="0"/>
          <w:numId w:val="2"/>
        </w:numPr>
        <w:spacing w:after="60"/>
      </w:pPr>
      <w:r>
        <w:rPr>
          <w:b/>
        </w:rPr>
        <w:t xml:space="preserve">Aluminio y aranceles</w:t>
      </w:r>
      <w:r>
        <w:t xml:space="preserve">: más coste de lata hasta final de 2026.</w:t>
      </w:r>
    </w:p>
    <w:p>
      <w:pPr>
        <w:pStyle w:val="ListParagraph"/>
        <w:numPr>
          <w:ilvl w:val="0"/>
          <w:numId w:val="2"/>
        </w:numPr>
        <w:spacing w:after="60"/>
      </w:pPr>
      <w:r>
        <w:rPr>
          <w:b/>
        </w:rPr>
        <w:t xml:space="preserve">Regulación sanitaria</w:t>
      </w:r>
      <w:r>
        <w:t xml:space="preserve">: menores, SNAP, cafeína, impuestos al azúcar.</w:t>
      </w:r>
    </w:p>
    <w:p>
      <w:pPr>
        <w:pStyle w:val="ListParagraph"/>
        <w:numPr>
          <w:ilvl w:val="0"/>
          <w:numId w:val="2"/>
        </w:numPr>
        <w:spacing w:after="60"/>
      </w:pPr>
      <w:r>
        <w:rPr>
          <w:b/>
        </w:rPr>
        <w:t xml:space="preserve">Directivos vendedores y sucesión</w:t>
      </w:r>
      <w:r>
        <w:t xml:space="preserve">: 36,2 M USD vendidos en 12 meses sin compras; fundador de 76 años y salida del responsable de América.</w:t>
      </w:r>
    </w:p>
    <w:p>
      <w:pPr>
        <w:pStyle w:val="Heading2"/>
      </w:pPr>
      <w:r>
        <w:t xml:space="preserve">Qué tiene que pasar para que la tesis funcione</w:t>
      </w:r>
    </w:p>
    <w:p>
      <w:pPr>
        <w:spacing w:after="100"/>
      </w:pPr>
      <w:r>
        <w:t xml:space="preserve">La tesis depende de que el internacional siga creciendo al 20-30 % y EE. UU. al ritmo de la categoría mientras las subidas de precio compensan el aluminio. La señal en contra sería un trimestre con ventas por debajo del +10 %, una cuota de Monster Energy Company por debajo del 34 % en conveniencia o un margen bruto por debajo del 54 %.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aluminio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MEC en conveniencia de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Alani Nu y Celsius.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Uso de la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 M USD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 &gt; 2.000 M fuera de energéticas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48,6x / 36,8x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Monster nace de Hansen's, un negocio de zumos de Los Ángeles de los años treinta. Rodney Sacks y Hilton Schlosberg tomaron el control en 1990-1992 a través de Hansen Natural Corporation y llevaron la empresa de los refrescos naturales a la bebida energética [1]. Monster Energy (2002) convirtió una marca pequeña en el número dos del mundo. En 2012 cambió el nombre a Monster Beverage y en 2015 cerró el acuerdo con Coca-Cola: le cambió sus marcas no energéticas por las energéticas de Coca-Cola, que entró en el capital y puso su red de embotelladores a distribuir Monster en todo el mundo [1]. Después vinieron AFF (sabores, 2016), CANarchy (alcohol, 2022) y Bang (2023)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1930s</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Hubert Hansen y sus hijos venden zumos frescos en Los Ángeles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Sacks y Schlosberg entran en la empresa (1990) y Hansen Natural compra el negocio de refrescos y zumos Hansen's (1992) [1,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bebida energética Monster Energy.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Hansen Natural pasa a llamarse Monster Beverage Corporation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Coca-Cola: Monster compra sus marcas energéticas (NOS, Full Throttle, Burn, Mother…), le cede las no energéticas y Coca-Cola entra en el capital y en la distribución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CANarchy (329,5 M USD): entrada en el alcohol, que pierde dinero desde entonces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Bang Energy en concurso (363,4 M USD) y split 2:1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3.806 M USD, financiadas en parte con un préstamo de 750 M devuelto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Schlosberg, consejero delegado único (jun-2025); ventas +23 % en el 1S26; split 2:1 en agosto de 2026 [3, 8,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Monster Beverage diseña, comercializa y vende bebidas energéticas: Monster Energy (con decenas de sabores y versiones Ultra sin azúcar), Reign y Bang, marcas compradas a Coca-Cola en 2015 (NOS, Full Throttle, Burn, Mother, Relentless) y las baratas Predator y Fury [1]. No embotella casi nada: compra latas y concentrado, y la red de embotelladores de Coca-Cola produce, distribuye y vende en tiendas de conveniencia, supermercados y bares de ≈ 158 países y territorios [1]. Tiene ≈ 6.900 empleados [1]. Desde 2022 también vende cerveza artesana y bebidas alcohólicas con sabor (Monster Brewing), que pierden dinero [1].</w:t>
      </w:r>
    </w:p>
    <w:p>
      <w:pPr>
        <w:pStyle w:val="Heading2"/>
      </w:pPr>
      <w:r>
        <w:t xml:space="preserve">Cómo gana dinero</w:t>
      </w:r>
    </w:p>
    <w:p>
      <w:pPr>
        <w:spacing w:after="100"/>
      </w:pPr>
      <w:r>
        <w:t xml:space="preserve">Cobra a los embotelladores el precio de la lata o del concentrado y se queda con un margen bruto del ≈ 56 %; gasta en marketing (deportes extremos, música, deportistas: ≈ 1.000 M de contratos) y en promociones con las cadenas [1]. Al no fabricar ni distribuir, invierte muy poco (1,6 % de las ventas en 2025) y el margen operativo es del 29 % [1]. Coca-Cola cobra comisión por distribuir (≈ 160 M en 2025) y es accionista del 20,9 %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Energy Drinks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Strategic Brands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Alcohol Brands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Other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Energy Drinks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Strategic Brands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Alcohol Brands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Other y 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red de Coca-Cola embotella y distribuye la mayor parte del volumen: Coca-Cola Europacific Partners fue el 15 % de las ventas de 2025 y Coca-Cola Consolidated el 10 % [1]. The Coca-Cola Company (TCCC) tiene el 20,9 % de Monster; Monster le pagó comisiones de 115,4 M USD restadas de ventas y 46,6 M en gastos en 2025, y le vende concentrado a sus filiales (251 M) [1]. El acuerdo internacional de coordinación de la distribución con TCCC se renovó en febrero de 2025 por cinco años [1]. Poder de precio alto: Monster ha subido precios en 2022-2026 sin perder cuota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Cajas de bebida energética (M de cajas de 192 onzas)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frente a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por caja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internacional más barata y más promoción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55,9 % en el 2T26; precio y cadena de suministro; el aluminio presiona en el 2S26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30,1 %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India, Brasil, Japón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MEC en conveniencia de EE. UU. (Nielsen, 4 semanas)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Monster +1,1 p.; Reign y Bang caen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las bebidas energéticas en el mundo, medido como ingresos netos de los fabricantes (lo que cobran Monster, Red Bull o Celsius a embotelladores y distribuidores, no lo que paga el consumidor), que es la misma base que las ventas de Monster [12]. El 98 % de las ventas de Monster es bebida energética (Monster Energy Drinks y Strategic Brands) [1]. Con el precio de venta al público el mercado es mayor (72.230 M USD en 2025 según TBRC)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52.600 M USD de ingresos netos de fabricantes en 2025 (Ken Research)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netos de fabricantes; 2025 de Ken Research y previsión con su TCAC del 7,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energía funcional (jóvenes, trabajo, deporte, sustituto del café)</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categoría creció un 7,1 % en EE. UU. en 13 semanas, un 10,4 % en EMEA, un 11,7 % en Asia-Pacífico y un 23,8 % en Latinoamérica (Nielsen, 2T26)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internacional (China, India, Brasil,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Monster fuera de EE. UU. crecieron un 34,6 % en el 2T26 y ya son el 46 %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Versiones sin azúcar y «saludables» (fitness, mujeres)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Alani Nu ganó 2 puntos de cuota en conveniencia en un año (+74 % de ventas); Celsius pierde (−7,2 %) [10,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Aluminio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aranceles de EE. UU. al aluminio disparan la prima Midwest; Monster espera más coste de lata hasta final de 2026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sanitaria (cafeína, menores, azúcar, impuestos)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Prohibición de venta a menores en Reino Unido (2026), advertencias en Texas, límites a SNAP en estados de EE. UU., impuestos especiales en México y otros países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líderes (Red Bull y Monster, ≈ 42 % del mundo) y aspirantes que entran fuerte en EE. UU. (Celsius con Alani Nu en la red de PepsiCo, Ghost con Keurig Dr Pepper) [10, 11,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de conveniencia y la gran distribución negocian promociones (16 % de la facturación bruta), pero el consumidor pide la marca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Latas de aluminio de pocos fabricantes (Ball, Crown) y prima Midwest con aranceles; embotelladores de la red de Coca-Cola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Hacer la bebida es fácil; lo difícil es la distribución en frío y el marketing: los que entran necesitan a PepsiCo o a Keurig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Café, bebidas de café listas, refrescos con cafeína, polvos y marcas blancas a menor precio [1].</w:t>
            </w:r>
          </w:p>
        </w:tc>
      </w:tr>
    </w:tbl>
    <w:p>
      <w:pPr>
        <w:spacing w:after="160" w:before="0"/>
      </w:pPr>
    </w:p>
    <w:p>
      <w:pPr>
        <w:pStyle w:val="Heading2"/>
      </w:pPr>
      <w:r>
        <w:t xml:space="preserve">Ciclo</w:t>
      </w:r>
    </w:p>
    <w:p>
      <w:pPr>
        <w:spacing w:after="100"/>
      </w:pPr>
      <w:r>
        <w:t xml:space="preserve">La bebida energética no depende mucho del ciclo: Monster creció en 2009 y 2020. Lo que se mueve es el coste (aluminio, azúcar, fletes) y el precio de la gasolina en EE. UU. (las tiendas de conveniencia de gasolineras son el canal principal) [1]. Hoy la categoría crece al 7-24 % según la región [10].</w:t>
      </w:r>
    </w:p>
    <w:p>
      <w:pPr>
        <w:pStyle w:val="Heading2"/>
      </w:pPr>
      <w:r>
        <w:t xml:space="preserve">Regulación</w:t>
      </w:r>
    </w:p>
    <w:p>
      <w:pPr>
        <w:spacing w:after="100"/>
      </w:pPr>
      <w:r>
        <w:t xml:space="preserve">Riesgo sanitario creciente: las directrices alimentarias de EE. UU. de enero de 2026 piden limitar las bebidas energéticas; varios estados restringen su compra con ayudas SNAP y Texas exige advertencias de ingredientes; Reino Unido prohibió en 2026 la venta a menores de bebidas con mucha cafeína; hay límites de cafeína e impuestos especiales a bebidas azucaradas en México (IEPS), Brasil y otros países [1]. Aranceles: los de EE. UU. al aluminio importado elevan la prima Midwest que paga Monster por cada lata [9].</w:t>
      </w:r>
    </w:p>
    <w:p>
      <w:pPr>
        <w:pStyle w:val="Heading2"/>
      </w:pPr>
      <w:r>
        <w:t xml:space="preserve">Tendencias y disrupción</w:t>
      </w:r>
    </w:p>
    <w:p>
      <w:pPr>
        <w:spacing w:after="100"/>
      </w:pPr>
      <w:r>
        <w:t xml:space="preserve">Sin azúcar y funcional (proteína, «limpio»), marcas orientadas a mujeres (Alani Nu), formatos grandes y sabores nuevos; la red de distribución decide: PepsiCo se quedó con Celsius y Alani Nu y Keurig Dr Pepper con Ghost [11]. En el mundo, la bebida energética barata (marcas locales en Asia y Latinoamérica: Predator y Fury de Monster) crece más que la premium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del mundo en bebidas energéticas (≈ 15 % de los ingresos de fabricantes, detrás de Red Bull con ≈ 27 %) [12]; en EE. UU., 35,4 % de cuota de la empresa en conveniencia frente al 35,1 % de Red Bull (Nielsen, 4 semanas)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Bull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12.196 M EUR de facturación en 2025 (+8,6 %) y 13.969 M de latas [14]; en EE. UU. pierde 1,5 puntos de cuota en conveniencia en un año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 (Celsius, Alani Nu, Rockstar)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Distribuida por PepsiCo; 20,1 % de cuota en EE. UU. con sus tres marcas; Celsius cae un 11,7 % y Alani Nu sube (364 M en el 2T26)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Distribuye Celsius y Alani Nu; vendió Rockstar a Celsius en 2025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 (Ghost)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Ghost: 3,6 % de cuota en conveniencia y +20 % de ventas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Eastroc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605499.SS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con bebida energética barata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Carabao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CBG.BK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Bebida energética barata en Asia y Reino Unido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de usuarios; el marketing de deportes extremos y música crea comunidad, no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consumidor cambiar de lata no cuesta nada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Monster crece un 10 % en EE. UU. con subidas de precio y gana cuota (+1,1 puntos) mientras Reign, Bang y Celsius caen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ligero: la red de Coca-Cola embotella y distribuye; Monster invierte ≈ 2 % de las ventas y tiene un margen operativo del 29 %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frío de Coca-Cola en casi todo el mundo, asegurada por el acuerdo de 2015 renovado en 2025 [1].</w:t>
            </w:r>
          </w:p>
        </w:tc>
      </w:tr>
    </w:tbl>
    <w:p>
      <w:pPr>
        <w:spacing w:after="160" w:before="0"/>
      </w:pPr>
    </w:p>
    <w:p>
      <w:pPr>
        <w:pStyle w:val="Heading2"/>
      </w:pPr>
      <w:r>
        <w:t xml:space="preserve">Amenazas</w:t>
      </w:r>
    </w:p>
    <w:p>
      <w:pPr>
        <w:spacing w:after="100"/>
      </w:pPr>
      <w:r>
        <w:t xml:space="preserve">La mayor amenaza en EE. UU. es Alani Nu dentro de la red de PepsiCo (+2 puntos de cuota en un año) y la llegada de marcas con distribución fuerte (Ghost con Keurig) [10, 11]. Red Bull pierde cuota pero sigue siendo el líder mundial y gasta mucho en marketing. Las marcas blancas y las baratas presionan en los mercados emergentes. Fuera de la competencia: la regulación sanitaria (menores, cafeína, SNAP) y el coste del aluminio.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10,6 %</w:t>
      </w:r>
      <w:r>
        <w:t xml:space="preserve">, EBITDA </w:t>
      </w:r>
      <w:r>
        <w:rPr>
          <w:b/>
          <w:bCs/>
        </w:rPr>
        <w:t xml:space="preserve">8,7 %</w:t>
      </w:r>
      <w:r>
        <w:t xml:space="preserve">, BPA </w:t>
      </w:r>
      <w:r>
        <w:rPr>
          <w:b/>
          <w:bCs/>
        </w:rPr>
        <w:t xml:space="preserve">10,8 %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5.541 M USD en 2021 a 8.294 M en 2025 (TCAC del 10,6 %) y siguen acelerando: 4.891 M en el 1S26, un 23 % más que un año antes (+20 % sin divisa) [1, 3]. El 92 % viene de la bebida energética Monster (Monster, Reign, Bang) y el 6 % de las marcas «estratégicas» compradas a Coca-Cola en 2015 y de las baratas Predator y Fury, que se venden sobre todo como concentrado [1]. El margen bruto cayó del 56,1 % de 2021 al 50,3 % en 2022 (aluminio, fletes e inflación) y se ha recuperado con subidas de precio y menos coste: 54,0 % en 2024, 55,8 % en 2025 y 55,9 % en el 2T26 [1, 3]. El resultado operativo fue de 2.419 M en 2025 (29,2 % de las ventas) y de 1.470 M en el 1S26 (30,1 %) [1, 3]. Lo que lastra es el alcohol: pierde dinero cada año (−127 M de resultado de segmento en 2025 y −200 M en 2024, con 50 y 135 M de deterioros) y vende menos (135 M en 2025 frente a 185 M en 2023) [1]. Los ingresos financieros (85 M en 2025) vienen de una caja que no se usa [1].</w:t>
      </w:r>
    </w:p>
    <w:p>
      <w:pPr>
        <w:pStyle w:val="Heading2"/>
      </w:pPr>
      <w:r>
        <w:t xml:space="preserve">Ajustes y partidas no recurrentes</w:t>
      </w:r>
    </w:p>
    <w:p>
      <w:pPr>
        <w:spacing w:after="100"/>
      </w:pPr>
      <w:r>
        <w:t xml:space="preserve">La empresa publica un resultado operativo y un BPA «ajustados» desde 2025 que excluyen los deterioros del alcohol, provisiones de litigios y la aceleración de pagos en acciones: 2.575 M USD de resultado operativo ajustado en 2025 frente a 2.419 GAAP [4]. Este informe trabaja con el BPA GAAP (con el alcohol y sus deterioros dentro), que es el que hay en toda la serie histórica; la diferencia en 2025 es de ≈ 0,06 USD por acción [4]. Los pagos en acciones (≈ 125 M al año) son coste real y no se excluyen.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Último trimestre publicado: 2T26 (6-ago-2026). Ventas de 2.537,5 M USD (+20,2 %; +17,9 % sin divisa), margen bruto del 55,9 %, resultado operativo de 740,4 M (+17,2 %; ajustado 748,1 M, +13,3 %) y BPA diluido de 0,30 USD en acciones de hoy (+19 %) [3]. Monster no da guía. En la conferencia, la dirección dijo que julio creció un 14,3 % sin alcohol, que habrá subidas de precio selectivas en EE. UU. en el 4T26 y bajas de un dígito en EMEA, y que los aranceles han disparado la prima Midwest del aluminio, con un coste que subirá algo trimestre a trimestre hasta final de 2026 [9]. Fuera de EE. UU. las ventas crecieron un 34,6 % (46 % del total; China +62,5 %, India +84 %, Brasil +82 %) [9]. Los analistas preguntaron sobre todo por el internacional, los precios, el margen bruto con el aluminio, los gastos por caja y las novedades [9]. El 1T26 (7-may) había crecido un 26,9 % con un margen operativo del 31,0 % [5]. Resultados del 3T26: hacia el 5/6-nov-2026.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Compra de los activos de Bang Energy (Vital Pharmaceuticals, en concurso) el 31-jul-2023 por 363,4 M USD en caja: marca Bang y una fábrica de bebidas en Phoenix; ganancia de 45,4 M por la operación en el resultado financiero [6].; 2022: Compra de CANarchy Craft Brewery Collective el 17-feb-2022 por 329,5 M USD netos de caja: origen del segmento de alcohol (Monster Brewing: cervezas artesanas, The Beast Unleashed y Nasty Beast)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y con caja creciente: 3.253 M USD de caja e inversiones a final de 2025 y 4.201 M a 30-jun-2026 [1, 2]. El patrimonio (9.364 M en junio de 2026) incluye 6.476 M de acciones propias compradas [2]. El circulante pesa: existencias + clientes − proveedores = 1.852 M en 2025 (22 % de las ventas) [1]; los clientes subieron un 32 % en 2025 por el crecimiento del 4T y los distribuidores internacionales.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6.905</w:t>
      </w:r>
      <w:r>
        <w:t xml:space="preserve">, conversión </w:t>
      </w:r>
      <w:r>
        <w:rPr>
          <w:b/>
          <w:bCs/>
        </w:rPr>
        <w:t xml:space="preserve">91 %</w:t>
      </w:r>
      <w:r>
        <w:t xml:space="preserve"> del beneficio neto; adquisiciones 693, dividendos 0, recompras 5.319.</w:t>
      </w:r>
    </w:p>
    <w:p>
      <w:pPr>
        <w:spacing w:after="100"/>
      </w:pPr>
      <w:r>
        <w:t xml:space="preserve">El flujo operativo fue de 2.098 M USD en 2025 y 1.114 M en el 1S26; la inversión, de 132 M en 2025 (1,6 % de las ventas) tras 221-264 M en 2023-2024 por la fábrica de Phoenix (de Bang) y capacidad propia; la dirección prevé menos de 250 M hasta junio de 2027 [1, 2]. Flujo libre de ≈ 1.966 M en 2025 (24 % de las ventas). La caja se va a recompras (3.806 M en 2024 con la oferta pública y el préstamo; 104 M en 2025; 134 M en el 1T26 y 0 en el 2T26) y se acumula: no paga dividendo y nunca lo ha pagado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y sencillas: un solo producto principal, sin deuda, sin compras grandes. El ruido viene del alcohol (deterioros de 43, 135 y 50 M USD en 2023-2025 y 86 M de fondo de comercio deteriorado acumulado) [1, 6]. EY sustituyó a Deloitte en 2023. Las comisiones a la red de Coca-Cola se restan de las ventas (115,4 M en 2025) y otra parte va a gastos (46,6 M) [1]. Los descuentos promocionales subieron al 16,0 % de la facturación bruta en 2025 (14,7 % en 2024) [1]. Los cambios de distribuidor generan pagos de terminación que se reconocen como ingreso diferido (≈ 40 M al año)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en el alcohol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USD en 2023, 135 M en 2024 y 50 M en 2025; el segmento pierde dinero desde la compra de CANarchy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 cobrar +32 % en 2025 frente a ventas +11 %; explicado por un 4T fuerte y el internacional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promocionales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 de la facturación bruta en 2025 frente a 14,7 % en 2024: más promoción para defender cuota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desde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empezó a publicar cifras ajustadas en 2025; la diferencia con el GAAP es pequeña (≈ 6 %)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1.332 M en 2025 (el 27 % del capital invertido medio); ha subido más de un 5 % en 1 de 4 años: compras pequeñas. ROIC publicado 38,7 %; sin fondo de comercio, 53,1 %.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34,5 % · </w:t>
      </w:r>
      <w:r>
        <w:rPr>
          <w:b/>
          <w:bCs/>
        </w:rPr>
        <w:t xml:space="preserve">WACC</w:t>
      </w:r>
      <w:r>
        <w:t xml:space="preserve">: 9,0 %.</w:t>
      </w:r>
    </w:p>
    <w:p>
      <w:pPr>
        <w:spacing w:after="100"/>
      </w:pPr>
      <w:r>
        <w:t xml:space="preserve">Rentabilidad muy alta y estable: ROIC del 38,7 % en 2025 según el motor (NOPAT de 1.896 M USD sobre un capital invertido medio de 4.900 M, que es el patrimonio menos la caja y las inversiones), frente a un WACC del 9,0 %: ≈ +30 puntos [1, 7]. Sin el fondo de comercio de las compras de 2015-2023, el 53,1 %. En 2021-2025 el ROIC osciló entre el 31 % (2022, aluminio caro) y el 40 % (2021). Un negocio de marca con fabricación y distribución externas: invierte ≈ 2 % de las ventas y cada dólar de capital nuevo rinde ≈ 35 % (ROIC incremental del motor: 34,5 %). El ROE (26,8 %) es menor que el ROIC porque la caja sin usar (≈ 4.200 M a junio de 2026) rinde ≈ 3 % [2]. La reinversión es pequeña (≈ 10 % del NOPAT en la proyección): el crecimiento sale del precio y del volumen sin capital nuevo, no de reinvertir.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4.200,6 M USD a 30-jun-2026 (2.192,4 de efectivo, 1.226,8 a corto y 781,3 a largo, en papel comercial, depósitos, letras del Tesoro y bonos) y una línea de crédito de 750 M sin disponer [2]. El préstamo de 750 M que financió las recompras de 2024 se devolvió en abril de 2025: sin deuda financiera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de deuda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Compromisos de compra de 218,9 M USD y contratos de patrocinio y otros de ≈ 1.058 M (deportistas, eventos, equipos) [2]. Ingresos diferidos de 205,3 M a 31-dic-2025: lo que pagó Coca-Cola y otros distribuidores por los derechos de distribución, que se reconoce en ventas a razón de ≈ 40 M al año [1]. Arrendamientos operativos de 64 M (fuera del puente, US GAAP) [1].</w:t>
      </w:r>
    </w:p>
    <w:p>
      <w:pPr>
        <w:pStyle w:val="Heading1"/>
      </w:pPr>
      <w:r>
        <w:t xml:space="preserve">12. Asignación de capital</w:t>
      </w:r>
    </w:p>
    <w:p>
      <w:pPr>
        <w:pStyle w:val="Confianza"/>
        <w:spacing w:after="100"/>
      </w:pPr>
      <w:r>
        <w:t xml:space="preserve">Confianza: Alta</w:t>
      </w:r>
    </w:p>
    <w:p>
      <w:pPr>
        <w:spacing w:after="100"/>
      </w:pPr>
      <w:r>
        <w:t xml:space="preserve">Sin dividendo nunca; recompras oportunistas: 3.806 M USD en 2024 (con un préstamo de 750 M devuelto en 2025), 104 M en 2025 y 134 M en el 1S26; quedan ≈ 900 M autorizados tras el plan de 500 M del 14-may-2026 [1, 2]. Compras pequeñas para entrar en categorías nuevas (CANarchy, Bang) y en sabores (AFF, 2016) [1, 6]. La caja se acumula: 4.201 M a junio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CANarchy Craft Brewery Collective (cervezas artesanas)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el segmento de alcohol pierde dinero cada año y acumula 86 M de fondo de comercio deteriorado y ≈ 230 M de deterioros en total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Bang Energy (activos de Vital Pharmaceuticals en concurso)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Regular: fábrica en Phoenix y marca, pero Bang sigue cayendo (−25,8 % en el escáner de EE. UU. a 13 semanas) [3, 6].</w:t>
            </w:r>
          </w:p>
        </w:tc>
      </w:tr>
    </w:tbl>
    <w:p>
      <w:pPr>
        <w:spacing w:after="160" w:before="0"/>
      </w:pPr>
    </w:p>
    <w:p>
      <w:pPr>
        <w:spacing w:after="100"/>
      </w:pPr>
      <w:r>
        <w:t xml:space="preserve">La asignación de capital del negocio principal es excelente (crecer sin deuda con ≈ 2 % de las ventas en inversión) y la de las diversificaciones, mala: el alcohol ha restado ≈ 440 M de resultado operativo en 2023-2025 entre pérdidas y deterioros [1]. El otro punto débil es la caja: 4.201 M (≈ 5 % de la capitalización) rinden ≈ 3 % antes de impuestos; las recompras grandes llegan a saltos (2024) y el resto del tiempo la caja crece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H. Schlosberg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Rodney Sacks, al frente de la empresa desde noviembre de 1990 (entonces Hansen Natural); director financiero de 1996 a 2021, co-consejero delegado de 2021 a 2025 y consejero delegado único desde el 13-jun-2025; 73 años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Rodney C. Sacks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1990 a 2021 y co-consejero delegado de 2021 a junio de 2025; presidente del consejo y empleado hasta el 31-dic-2026; 76 años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 Kelly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2021; antes, contabilidad de la empresa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Guy Carling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EMEA y de Strategic Brands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zona que más crece fuera de EE. UU.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 Gehring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América (hasta el 30-nov-2026)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Vino de Coca-Cola y vuelve a ella para presidir Coca-Cola Norteamérica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Emelie Tirre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nuevas categorías [16].</w:t>
            </w:r>
          </w:p>
        </w:tc>
      </w:tr>
    </w:tbl>
    <w:p>
      <w:pPr>
        <w:spacing w:after="160" w:before="0"/>
      </w:pPr>
    </w:p>
    <w:p>
      <w:pPr>
        <w:spacing w:after="100"/>
      </w:pPr>
      <w:r>
        <w:t xml:space="preserve">Monster no da guía de resultados, así que no hay historial que medir. Lo que se mide es la ejecución: ventas del 11 % anual en 2021-2025 sin deuda, recuperación del margen bruto tras 2022 y crecimiento internacional [1]. El punto débil fue el alcohol (CANarchy) y la defensa tardía frente a Celsius y Alani Nu. La sucesión es el tema abierto: Sacks (76 años) dejó el puesto ejecutivo y Schlosberg es consejero delegado único desde junio de 2025; el responsable de América se va a Coca-Cola el 30-nov-2026 y hay un nuevo director de contabilidad desde septiembre; Mark Hall, el último directivo histórico en el consejo, lo dejó el 1-ago-2026 [16, 18, 19, 20].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Rodney C. Sacks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(empleado hasta el 31-dic-2026)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H. Schlosberg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 Vidergauz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Demel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L. Dinkins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de Coca-Cola Norteamérica)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W. Douglas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director financiero de Coca-Cola Enterprises)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 M.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Jeanne P. Jackson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desde 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G. Pizula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34,98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2015 (proxy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H. Schlosberg (con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Donaciones; sin ventas en mercado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Rodney C. Sacks (con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15,2 M USD en 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36,2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Rodney C. Sacks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Emelie Tirre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J. Hall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Guy Carling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Emelie Tirre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Guy Carling (EMEA)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(Schlosberg) cobró 19,3 M USD en 2025: 1,25 M de fijo, 3,75 M de variable anual y 14,2 M en acciones y opciones [16]. El variable anual depende en un 75 % del resultado operativo ajustado y se pagó al 188 % del objetivo; las acciones por objetivos dependen del BPA ajustado acumulado de tres años [16]. No hay métrica de rentabilidad del capital ni de rentabilidad para el accionista. Ratio frente al empleado mediano (88.521 USD): ≈ 218 veces [16]. Voto consultivo de la junta de mayo de 2026: ≈ 95 % a favor (93,5 % en 2025) [17].</w:t>
      </w:r>
    </w:p>
    <w:p>
      <w:pPr>
        <w:pStyle w:val="Heading2"/>
      </w:pPr>
      <w:r>
        <w:t xml:space="preserve">Operaciones vinculadas, estructura de control y defensas</w:t>
      </w:r>
    </w:p>
    <w:p>
      <w:pPr>
        <w:spacing w:after="100"/>
      </w:pPr>
      <w:r>
        <w:t xml:space="preserve">Sin accionista de control, pero con dos bloques: Coca-Cola (20,9 %; dos consejeros vienen de su red: Dinkins presidió Coca-Cola Norteamérica y Douglas fue director financiero de Coca-Cola Enterprises) y los fundadores Sacks y Schlosberg (≈ 15 %) [16]. Una acción, un voto; consejo elegido cada año; presidente que es empleado hasta final de 2026 (Sacks) con consejero coordinador independiente (Vidergauz, en el consejo desde 1998; 7 de 9 consejeros independientes, dos de ellos ex directivos de la red de Coca-Cola, con ≈ 12 % de votos en contra en 2026) [16, 17]. Operaciones vinculadas pequeñas: material promocional de una empresa de un consejero (≈ 2,3 M en un trimestre) y el uso del avión de Sacks [16]. Acciones anteriores al split de 2026 en la tabla de directivos.</w:t>
      </w:r>
    </w:p>
    <w:p>
      <w:pPr>
        <w:pStyle w:val="Heading2"/>
      </w:pPr>
      <w:r>
        <w:t xml:space="preserve">Señales de alerta</w:t>
      </w:r>
    </w:p>
    <w:p>
      <w:pPr>
        <w:pStyle w:val="ListParagraph"/>
        <w:numPr>
          <w:ilvl w:val="0"/>
          <w:numId w:val="2"/>
        </w:numPr>
        <w:spacing w:after="60"/>
      </w:pPr>
      <w:r>
        <w:t xml:space="preserve">Ventas de directivos por 36,2 M USD en 12 meses (15,2 M del presidente), ninguna compra y ninguna con plan 10b5-1 [21].</w:t>
      </w:r>
    </w:p>
    <w:p>
      <w:pPr>
        <w:pStyle w:val="ListParagraph"/>
        <w:numPr>
          <w:ilvl w:val="0"/>
          <w:numId w:val="2"/>
        </w:numPr>
        <w:spacing w:after="60"/>
      </w:pPr>
      <w:r>
        <w:t xml:space="preserve">Sucesión: fundador de 76 años que sale de la plantilla a final de 2026; el responsable de América se va a Coca-Cola el 30-nov-2026 [16, 20].</w:t>
      </w:r>
    </w:p>
    <w:p>
      <w:pPr>
        <w:pStyle w:val="ListParagraph"/>
        <w:numPr>
          <w:ilvl w:val="0"/>
          <w:numId w:val="2"/>
        </w:numPr>
        <w:spacing w:after="60"/>
      </w:pPr>
      <w:r>
        <w:t xml:space="preserve">Consejero coordinador en el consejo desde 1998 y un voto en contra del ≈ 12 %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Monster no da guía de ventas ni de beneficio [3]. Indicaciones cualitativas de la conferencia del 2T26: julio +14,3 % sin alcohol, subidas de precio selectivas en EE. UU. en el 4T26 y bajas de un dígito en EMEA, coste del aluminio algo mayor trimestre a trimestre hasta final de 2026, inversión de menos de 250 M hasta junio de 2027, reunión con inversores el 1-dic-2026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11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13 analistas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 – 57,00</w:t>
            </w:r>
          </w:p>
        </w:tc>
      </w:tr>
    </w:tbl>
    <w:p>
      <w:pPr>
        <w:spacing w:after="160" w:before="0"/>
      </w:pPr>
    </w:p>
    <w:p>
      <w:pPr>
        <w:pStyle w:val="Heading2"/>
      </w:pPr>
      <w:r>
        <w:t xml:space="preserve">Revisiones de estimaciones</w:t>
      </w:r>
    </w:p>
    <w:p>
      <w:pPr>
        <w:spacing w:after="100"/>
      </w:pPr>
      <w:r>
        <w:t xml:space="preserve">El BPA de 2026 del consenso subió de 1,13 USD hace 90 días a 1,15 y el de 2027 de 1,28 a 1,31, tras el 2T26 [23]. Objetivos de precio mezclados (en acciones de hoy): Wells Fargo baja de 53 a 48 USD (5-oct, sobreponderar), Piper Sandler 50,50 (19-oct), UBS neutral 52,50, Stifel 52,50, RBC 48,50, TD Cowen 47,50; Deutsche Bank bajó la recomendación en julio y Zacks la subió a «compra fuerte» el 12-oct [24]. Yahoo: 23 analistas, objetivo medio de 49,85 USD (35-57) [23].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bl>
    <w:p>
      <w:pPr>
        <w:spacing w:after="160" w:before="0"/>
      </w:pPr>
    </w:p>
    <w:p>
      <w:pPr>
        <w:spacing w:after="100"/>
      </w:pPr>
      <w:r>
        <w:t xml:space="preserve">La acción ha batido al índice en el último año (+34,9 % frente al +15,8 % del S&amp;P 500) y en cinco (+17,2 % anual frente al +12,7 %), no en tres ni en diez [22]. 2024 fue malo (−8,8 %: frenazo de la categoría en EE. UU., aluminio y el alcohol) y 2025 muy bueno (+45,9 %: vuelta al crecimiento de dos dígitos y del margen bruto) [22]. Beta baja (0,53 mensual a cinco años) y volatilidad del 26 %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0,0 % / +23,1 % / +34,1 %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+41,0 %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(6-nov-2025): ventas +16,8 % y BPA +41 %; +5,2 % el 7-nov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4T25 (26-feb) el mercado dudó del ritmo de EE. UU.: −5,0 % el 2-mar y −4,5 % el 18-mar; Wells Fargo bajó el objetivo el 16-mar; Jefferies atribuyó la caída a ruido (precio de la gasolina, cuota de Red Bull, geopolítica) [24,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(7-may): ventas +26,9 % y BPA +27 %; +13,6 % el 8-may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causa concreta encontrada en tres búsquedas (8-K, titulares de Seeking Alpha, MarketBeat): coincidió con rebajas de objetivo, el anuncio de la salida de Gehring (25-sep) y rotación del consumo básico [20,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hacia valores defensivos mientras la tecnología cae (foros) y subida de Zacks a «compra fuerte»; sin noticias de la empresa [24,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hacia el 5/6-nov-2026 (consenso: BPA de 0,30 USD y ventas de 2.492 M)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baja el objetivo de 53 a 48 USD (mantiene sobreponderar); Piper Sandler 50,50 el 19-oct; objetivo medio ≈ 50 USD, un 6 % sobre el precio [23,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 Gehring, consejero delegado de América, se va el 30-nov-2026 a presidir Coca-Cola Norteamérica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2:1 de las acciones (no cambia el valor)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+20,2 %, BPA +19 %; aviso de más coste de aluminio por aranceles. Ese día Celsius cayó por no cumplir lo esperado [3,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plan de recompras de 500 M USD (≈ 900 M disponibles)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36,2 M USD en 12 meses (Sacks 15,2 M en diciembre de 2025), sin compras ni planes 10b5-1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Directrices alimentarias de EE. UU. que piden limitar las bebidas energéticas; restricciones de SNAP en estados y prohibición de venta a menores en Reino Unido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6,4 % bajo su máximo de 52 semanas tras subir un 34 % en un año; no salta ningún aviso P de la herramienta [22]. Los grandes movimientos tienen causa en resultados (3T25, 1T26) salvo septiembre de 2026 (−9 %), sin causa concreta, que ya se ha recuperado. No hay colocaciones, ampliaciones, litigios grandes ni fusiones con fecha. Los resultados del 3T26 (≈ 5-nov) no retrasan la decisión según la regla.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ejercicio (31 de diciembre, Yahoo, ajustado por splits) [22] ÷ BPA GAAP real del ejercicio siguiente en acciones de hoy: Monster ha cotizado entre 27 y 43 veces el beneficio del año siguiente en los últimos ocho años. El múltiplo más bajo fue el de final de 2024 (27,2 veces el BPA de 2025), tras un año de frenazo; el más alto, el de final de 2021 (43 veces el de 2022, año del aluminio caro).</w:t>
      </w:r>
    </w:p>
    <w:p>
      <w:pPr>
        <w:pStyle w:val="Heading1"/>
      </w:pPr>
      <w:r>
        <w:t xml:space="preserve">18. Comparables cotizados</w:t>
      </w:r>
    </w:p>
    <w:p>
      <w:pPr>
        <w:pStyle w:val="Confianza"/>
        <w:spacing w:after="100"/>
      </w:pPr>
      <w:r>
        <w:t xml:space="preserve">Confianza: Media</w:t>
      </w:r>
    </w:p>
    <w:p>
      <w:pPr>
        <w:spacing w:after="100"/>
      </w:pPr>
      <w:r>
        <w:t xml:space="preserve">Empresas de bebidas cotizadas: el rival directo en energéticas (Celsius), las dos grandes de refrescos (Coca-Cola, PepsiCo), Keurig Dr Pepper (Ghost), dos embotelladores de Coca-Cola que distribuyen Monster (CCEP; Coca-Cola Consolidated se excluye por un PER de Yahoo erróneo), National Beverage, Primo Brands, Suntory Beverage &amp; Food y dos de bebida energética de Tailandia (Carabao, Osotspa). Red Bull no cotiza. Ninguna tiene el crecimiento, el margen y la caja neta de Monster.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Beverage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 Europacific Partners PLC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Suntory Beverage &amp; Food Limited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Carabao Group Public Company Limited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Osotspa Public Company Limited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Primo Brands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13,1x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15,8x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2,6x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spacing w:after="100"/>
      </w:pPr>
      <w:r>
        <w:t xml:space="preserve">Monster cotiza a 35,7 veces el BPA del consenso de los próximos 12 meses frente a una mediana de los comparables de 15,8 [23]. La prima es enorme y en parte justificada: crece al 15-20 % frente al 3-7 % de las grandes, con margen operativo del 29 %, sin deuda y con inversión mínima. Coca-Cola, la más parecida en calidad, cotiza a 26,4 veces; Celsius, el rival directo, a 16,9 veces tras caer por perder cuota.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(marca, EE. UU. y Canadá)</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(a 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en acciones de Celsius; sin precio comparable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Bang Energy (activos en concurso)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en concurso de acreedores; no sirve como referencia de valor [1].</w:t>
            </w:r>
          </w:p>
        </w:tc>
      </w:tr>
    </w:tbl>
    <w:p>
      <w:pPr>
        <w:spacing w:after="160" w:before="0"/>
      </w:pPr>
    </w:p>
    <w:p>
      <w:pPr>
        <w:spacing w:after="160" w:before="0"/>
      </w:pPr>
    </w:p>
    <w:p>
      <w:pPr>
        <w:spacing w:after="100"/>
      </w:pPr>
      <w:r>
        <w:t xml:space="preserve">No hay transacciones útiles para valorar Monster: las compras del sector son de marcas pequeñas o en concurso. Con ≈ 92.000 M USD de capitalización, el único comprador posible sería Coca-Cola (ya tiene el 20,9 %); no hay indicios y no se valora la prima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(+17,5 %, fijo): el 1S26 creció un 23,3 % y julio un 14,3 % sin alcohol; el consenso espera +17,3 % [3, 9, 23]. 2027e +10 % (consenso +9,6 % [23]): se enfrentan bases altas y las subidas de precio de 2025-2026 dejan de sumar del todo. Después, del 9 % al 5 % en 2028e-2033e: la categoría crece al 7,5 % en el mundo (Ken Research [12]) y Monster gana cuota fuera de EE. UU. (+34,6 % en el 2T26 [9]) mientras en EE. UU. crece con la categoría (≈ 6-7 %) [10].</w:t>
      </w:r>
    </w:p>
    <w:p>
      <w:pPr>
        <w:keepNext/>
        <w:spacing w:after="100"/>
      </w:pPr>
      <w:r>
        <w:rPr>
          <w:b/>
          <w:bCs/>
        </w:rPr>
        <w:t xml:space="preserve">Márgenes.</w:t>
      </w:r>
    </w:p>
    <w:p>
      <w:pPr>
        <w:spacing w:after="100"/>
      </w:pPr>
      <w:r>
        <w:t xml:space="preserve">Margen EBITDA del 30,6 % en 2026e (31,3 % en el 1S26; el 2S26 lleva más coste de aluminio por la prima Midwest y los aranceles [9]) y del 31,0-31,5 % después, igual que 2025 sin deterioros (31,2 %) [1]. No se supone mejora: el internacional tiene menos margen, las promociones suben (16 % de la facturación bruta) y el aluminio no baja; el alcohol sigue restando ≈ 1 punto. Incluye los pagos en acciones.</w:t>
      </w:r>
    </w:p>
    <w:p>
      <w:pPr>
        <w:keepNext/>
        <w:spacing w:after="100"/>
      </w:pPr>
      <w:r>
        <w:rPr>
          <w:b/>
          <w:bCs/>
        </w:rPr>
        <w:t xml:space="preserve">Inversión y circulante.</w:t>
      </w:r>
    </w:p>
    <w:p>
      <w:pPr>
        <w:spacing w:after="100"/>
      </w:pPr>
      <w:r>
        <w:t xml:space="preserve">Inversión del 2,3 % de las ventas desde 2027e (1,6 % en 2025 y 2,9-3,5 % en 2023-2024 con la fábrica de Phoenix; guía de menos de 250 M hasta junio de 2027 [2]) y amortización del 1,25 % (1,19 % en el 1S26). Circulante del 20 % de las ventas (21,8 % en 2025 según el motor). Sin compras nuevas.</w:t>
      </w:r>
    </w:p>
    <w:p>
      <w:pPr>
        <w:keepNext/>
        <w:spacing w:after="100"/>
      </w:pPr>
      <w:r>
        <w:rPr>
          <w:b/>
          <w:bCs/>
        </w:rPr>
        <w:t xml:space="preserve">Coste del capital.</w:t>
      </w:r>
    </w:p>
    <w:p>
      <w:pPr>
        <w:spacing w:after="100"/>
      </w:pPr>
      <w:r>
        <w:t xml:space="preserve">Tasa libre del 5,12 % (bono del Tesoro a 10 años, 20-oct-2026 [25]); beta de 0,70, la ajustada mensual a cinco años (0,69; la bruta es 0,53) [22]; prima del 5,5 %; sin deuda. WACC del 8,97 %. Con la prima implícita del mercado (4,2 % [26]) el coste de capital baja al 8,06 % y el DCF sube a 32,94 USD.</w:t>
      </w:r>
    </w:p>
    <w:p>
      <w:pPr>
        <w:keepNext/>
        <w:spacing w:after="100"/>
      </w:pPr>
      <w:r>
        <w:rPr>
          <w:b/>
          <w:bCs/>
        </w:rPr>
        <w:t xml:space="preserve">Valor terminal.</w:t>
      </w:r>
    </w:p>
    <w:p>
      <w:pPr>
        <w:spacing w:after="100"/>
      </w:pPr>
      <w:r>
        <w:t xml:space="preserve">Crecimiento a perpetuidad del 3,0 % tras la etapa de transición: una marca global con mercados emergentes aún poco penetrados. El valor terminal pesa un 41 % con la etapa de transición.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Etapa de transición (DCF en tres etapas)</w:t>
      </w:r>
    </w:p>
    <w:p>
      <w:pPr>
        <w:spacing w:after="100"/>
      </w:pPr>
      <w:r>
        <w:t xml:space="preserve">Con la etapa de transición de 10 años el DCF da 28,05 por acción; sin ella (crecimiento terminal desde 2033e), 25,91.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Diez años de transición (2034-2043) en que el crecimiento baja del 5 % al 3 % con el margen del 31,5 %: la bebida energética tiene recorrido de penetración fuera de EE. UU. (China, India, Brasil, África crecen al 20-80 % [9]), la marca Monster gana cuota en EE. UU. con subidas de precio [10] y el ROIC (38,7 %) es 30 puntos superior al WACC [31]. Sin la etapa, el DCF baja de 28,05 a ≈ 25,9 USD.</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 (histórico: 34,5 %)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frente al 8,9 %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 (hoy: 15,0 %)</w:t>
            </w:r>
          </w:p>
        </w:tc>
      </w:tr>
    </w:tbl>
    <w:p>
      <w:pPr>
        <w:spacing w:after="160" w:before="0"/>
      </w:pPr>
    </w:p>
    <w:p>
      <w:pPr>
        <w:spacing w:after="100"/>
      </w:pPr>
      <w:r>
        <w:t xml:space="preserve">La proyección apenas necesita inversión neta de la amortización (reinversión acumulada de 2.492 M, el 10 % del NOPAT, con un capex bruto medio del 2,2 % de las ventas). En un negocio de activos ligeros, el crecimiento medio del 8,9 % tiene que salir de subir precios y de ganar volumen sin capital nuevo, y la prueba es el poder de precios y la cuota (18,1 % del mercado en 2030e, frente al 15,0 %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13 % (cajas +13,3 % en 2025 y aceleración internacional en el 1S26), precio del 2,5 % (subidas del 4T25 y del 4T26 en EE. UU.) y 2 puntos de divisa favorable (+20,2 % frente al +17,9 % sin divisa en el 2T26) [1, 3,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(categoría +7 % en EE. UU. y doble dígito fuera), precio del 2,5 % y medio punto de divisa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y precio del 2,5 %, en línea con la previsión del 7,5 % del mercado más la cuota fuera de EE. UU.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5,5 % y precio del 2,5 %: la cuota mundial sube del 15,0 % al 18,1 %.</w:t>
            </w:r>
          </w:p>
        </w:tc>
      </w:tr>
    </w:tbl>
    <w:p>
      <w:pPr>
        <w:spacing w:after="160" w:before="0"/>
      </w:pPr>
    </w:p>
    <w:p>
      <w:pPr>
        <w:spacing w:after="100"/>
      </w:pPr>
      <w:r>
        <w:t xml:space="preserve">El crecimiento proyectado (8,9 % anual en 2026e-2033e) está por debajo del histórico (10,6 % anual en 2021-2025) y, quitando 2026e, en la línea del mercado (7,5 % previsto [12]) más la ganancia de cuota internacional que ya se ve (+34,6 % fuera de EE. UU. en el 2T26 [9]). La cuota implícita pasa del 15,0 % al 18,1 % en 2030e (×1,2): exige seguir ganando fuera, no en EE. UU. No necesita capital: la reinversión es ≈ 10 % del NOPAT y el negocio es de activos ligeros (embotellan y distribuyen otros). El motor da también «Sí». Lo que podría romperlo es la competencia en EE. UU. (Alani Nu con PepsiCo) y la regulación, no la financiación.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 (base: 7,6 %)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9,0 %)</w:t>
            </w:r>
          </w:p>
        </w:tc>
      </w:tr>
    </w:tbl>
    <w:p>
      <w:pPr>
        <w:spacing w:after="160" w:before="0"/>
      </w:pPr>
    </w:p>
    <w:p>
      <w:pPr>
        <w:spacing w:after="100"/>
      </w:pPr>
      <w:r>
        <w:t xml:space="preserve">El DCF da 28,05 USD por acción, un 40 % bajo el precio, con un WACC del 8,97 % y el valor terminal en el 41 %. El DCF inverso dice que el precio descuenta un crecimiento del 14,3 % anual en 2027e-2033e con nuestro margen, frente al 8,9 % de nuestro caso base y al 7,5 % del mercado: el precio pide crecer el doble que el mercado durante siete años más, cuando en 2021-2025 Monster creció un 10,6 % anual. La rentabilidad implícita en el precio es del 6,5 % anual, por debajo del coste de capital (9,0 %) y del que pide el mercado (8,1 %). Con la prima implícita del mercado (4,2 %) el DCF sube a 32,94 USD, todavía un 30 % bajo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Alani Nu y Celsius, con la red de PepsiCo, y Ghost con Keurig, siguen quitando cuota a Monster en EE. UU.; la regulación (menores, SNAP, cafeína) frena la categoría; el aluminio y los aranceles comen 1,5 puntos de margen. Crecimiento 4 puntos menor y margen 1,5 puntos menor;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+17,5 % en 2026e y del 10 % al 5 % después, con el internacional como motor; margen EBITDA estable del 31-31,5 %; sin compras ni recompras nuevas.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internacional (China, India, Brasil) y la innovación (Ultra, Juice) mantienen el crecimiento de dos dígitos y el alcohol deja de perder: 2 puntos más de crecimiento y 0,8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47,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26,80 USD (-43,0 %).</w:t>
      </w:r>
    </w:p>
    <w:p>
      <w:pPr>
        <w:spacing w:after="100"/>
      </w:pPr>
      <w:r>
        <w:t xml:space="preserve">La asimetría es desfavorable en el DCF: incluso el alcista (33,60 USD) queda un 29 % bajo el precio y el bajista (17,50) un 63 %. El precio solo encaja con un crecimiento del 14 % anual durante siete años o con un coste de capital mucho menor que el nuestro. A 12 meses, con la regla de múltiplos, el bajista vale 34,61 USD (−26 %) y el alcista 53,00 (+13 %).</w:t>
      </w:r>
    </w:p>
    <w:p>
      <w:pPr>
        <w:pStyle w:val="Heading1"/>
      </w:pPr>
      <w:r>
        <w:t xml:space="preserve">22. Suma de partes</w:t>
      </w:r>
    </w:p>
    <w:p>
      <w:pPr>
        <w:pStyle w:val="Confianza"/>
        <w:spacing w:after="100"/>
      </w:pPr>
      <w:r>
        <w:t xml:space="preserve">Confianza: Media</w:t>
      </w:r>
    </w:p>
    <w:p>
      <w:pPr>
        <w:spacing w:after="100"/>
      </w:pPr>
      <w:r>
        <w:t xml:space="preserve">No aplica: la bebida energética (Monster Energy Drinks y Strategic Brands) es el 98 % de las ventas y más del 100 % del resultado de los segmentos; el alcohol pierde dinero (−127 M USD en 2025) y vale poco por separado (sus activos ya se han deteriorado en ≈ 230 M) [1]. Un cierre o venta del alcohol subiría el BPA ≈ 0,03-0,04 USD.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47,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26,77 USD (-43,1 % sobre 47,04).</w:t>
      </w:r>
    </w:p>
    <w:p>
      <w:pPr>
        <w:spacing w:after="100"/>
      </w:pPr>
      <w:r>
        <w:t xml:space="preserve">Pesos: DCF 50 %, escenarios 40 % y comparables 10 %. El DCF es el método adecuado para un negocio estable, sin deuda y con flujo libre previsible, pero aquí choca con el mercado: Monster lleva veinte años cotizando por encima de cualquier DCF razonable porque ha crecido más de lo que nadie proyectaba. Los comparables pesan poco: las grandes de bebidas (15-26 veces) crecen la mitad. La regla a 12 meses, que manda en la recomendación, da Mantener: la ponderada es del −0,3 % y el base del +6,2 %, lejos del 15 % y 12 % que pide Comprar, y el valor intrínseco está muy por debajo del precio [31].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(36.3x) a mitad de camino hacia abajo, hacia la mediana de 5 años (33.3x)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spacing w:after="100"/>
      </w:pPr>
      <w:r>
        <w:rPr>
          <w:b/>
          <w:bCs/>
        </w:rPr>
        <w:t xml:space="preserve">Objetivo a 12 meses (ponderado):</w:t>
      </w:r>
      <w:r>
        <w:t xml:space="preserve"> 46,89 USD · rentabilidad -0,3 % (base +6,2 %) · señal Mantener.</w:t>
      </w:r>
    </w:p>
    <w:p>
      <w:pPr>
        <w:spacing w:after="100"/>
      </w:pPr>
      <w:r>
        <w:t xml:space="preserve">Para comparar, con la regla v2 (historia al cierre, mismo precio): 35,3x / 36,3x / 36,3x, 8,7 %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(1,15 USD) coincide con el consenso (1,15) y el de 2027e (1,30) queda un 0,8 % por debajo (1,31) [23]: no discrepamos del negocio. El objetivo base (49,97 USD) está en el objetivo medio de los analistas (49,85) [23].</w:t>
      </w:r>
    </w:p>
    <w:p>
      <w:pPr>
        <w:keepNext/>
        <w:spacing w:after="100"/>
      </w:pPr>
      <w:r>
        <w:rPr>
          <w:b/>
          <w:bCs/>
        </w:rPr>
        <w:t xml:space="preserve">Del valor intrínseco al objetivo a 12 meses.</w:t>
      </w:r>
    </w:p>
    <w:p>
      <w:pPr>
        <w:spacing w:after="100"/>
      </w:pPr>
      <w:r>
        <w:t xml:space="preserve">El objetivo a 12 meses (46,89 USD, ponderado) queda un 0,3 % bajo el precio y el valor intrínseco (26,77) un 43 %. El base (49,97 USD, +6,2 %) supone que el BPA crece un 11,6 % anual hasta 1,44 USD en 2028e y que el múltiplo baja de 36,3 a 34,8 veces (a mitad de camino hacia la mediana adelantada de cinco años, 33,3); el bajista (34,61) es el PER de final de 2024 (27,1 veces) con un BPA un 11 % menor; el alcista (53,00) no tiene más PER que el base. Con la regla v2 (historia al cierre, mediana de 37,4) la ponderada sería del +8,7 % y el base del +10,8 %: tampoco llega a Comprar (15 % y 12 %). Con el precio del 21-oct (46,75 USD) cambia menos de un punto.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aluminio más caro; consenso de BPA de 0,30 USD y ventas de 2.492 M (+13 %)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Rob Gehring (América) a Coca-Cola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en el mercado principal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con inversores en Nueva York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objetivos a medio plazo, internacional y uso de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Rodney Sacks deja de ser empleado (sigue de presidente)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etapa de los fundadores en la gestión diaria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EE. UU. (4T26) y EMEA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Defienden el margen frente al aluminio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 la caja (4.201 M): recompras grandes o 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 3.000 M subiría el BPA ≈ 2-3 %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o venta del negocio de alcohol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+0,03-0,04 USD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sanitaria (menores, SNAP, cafeína, impuestos al azúcar)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Frena la categoría en algunos mercados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36,3 veces el BPA de 2027e frente a una mediana adelantada de cinco años de 33,3 y un mínimo de 27,1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 el PER vuelve a 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 12 % al año y caja neta del 5 %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por debajo del 10 %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Alani Nu y Celsius en la red de PepsiCo, Ghost con Keurig, marcas blancas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Monster gana cuota (+1,1 puntos) y quien pierde es Red Bull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Monster Energy Company en conveniencia por debajo del 34 % (Nielsen)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Aluminio y aranceles (prima Midwest)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EE. UU. y EMEA; coberturas parciales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sanitaria (venta a menores, SNAP, cafeína, impuestos al azúcar, directrices alimentarias)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versiones sin azúcar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Prohibición de venta a menores en EE. UU. o en un gran mercado de la 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Coca-Cola (distribución, 20,9 % del capital, 25 % de las ventas a dos embotelladores)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la red prioriza una marca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coordinación renovado en 2025 por cinco años; Coca-Cola gana con Monster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Coca-Cola lanza o compra una energética que compita en su red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equipo (fundador de 76 años sale de plantilla; el responsable de América se va a Coca-Cola)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Schlosberg (73 años) sigue de consejero delegado; banquillo con EMEA y estrategia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adicionales de la cúpula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mal usado (alcohol, caja ociosa, una compra grande)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han sido pequeñas (&lt; 400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encima de 2.000 M fuera de la bebida energética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 y poco directo (la IA no sustituye una lata de bebida; puede abaratar marketing y cadena de suministro a rivales pequeños)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ventaja está en la marca y en la red de distribución física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nuevas que ganen cuota solo con marketing digital barato</w:t>
            </w:r>
          </w:p>
        </w:tc>
      </w:tr>
    </w:tbl>
    <w:p>
      <w:pPr>
        <w:spacing w:after="160" w:before="0"/>
      </w:pPr>
    </w:p>
    <w:p>
      <w:pPr>
        <w:pStyle w:val="Heading2"/>
      </w:pPr>
      <w:r>
        <w:t xml:space="preserve">Pre-mortem</w:t>
      </w:r>
    </w:p>
    <w:p>
      <w:pPr>
        <w:spacing w:after="100"/>
      </w:pPr>
      <w:r>
        <w:t xml:space="preserve">Octubre de 2027: la acción ha perdido un 30 %. Los resultados no fueron malos (ventas +8 %), pero dejaron de ser excelentes: Alani Nu siguió ganando dos puntos al año en EE. UU. con la red de PepsiCo, el aluminio y las promociones restaron un punto y medio de margen, y una directriz federal pidió prohibir la venta a menores. El mercado dejó de pagar 36 veces por un crecimiento del 8 % y volvió al múltiplo de final de 2024 (27 veces). La caja siguió acumulándose sin uso.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±1-2 % a 3-5 años</w:t>
      </w:r>
    </w:p>
    <w:p>
      <w:pPr>
        <w:spacing w:after="100"/>
      </w:pPr>
      <w:r>
        <w:t xml:space="preserve">El riesgo de IA para Monster es bajo y poco directo: vende un producto físico de consumo diario que ninguna IA sustituye, con una marca y una red de distribución en frío de Coca-Cola que no se replican con software. Los efectos posibles son de segundo orden: la IA abarata el marketing digital y el diseño de productos, lo que ayuda a marcas pequeñas a entrar (Alani Nu creció en redes sociales), y puede mejorar la previsión de demanda y la cadena de suministro de Monster (SAP S/4HANA desde 2028 [9]). No cambia la tesis.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Monster es la salud del consumidor (cafeína, azúcar, venta a menores, marketing dirigido a jóvenes), el envase (latas de aluminio: reciclaje y energía), el agua de los embotelladores y la relación con deportistas y eventos de riesgo [1].</w:t>
      </w:r>
    </w:p>
    <w:p>
      <w:pPr>
        <w:pStyle w:val="Heading2"/>
      </w:pPr>
      <w:r>
        <w:t xml:space="preserve">Controversias</w:t>
      </w:r>
    </w:p>
    <w:p>
      <w:pPr>
        <w:spacing w:after="100"/>
      </w:pPr>
      <w:r>
        <w:t xml:space="preserve">Demandas por muertes y lesiones atribuidas a la cafeína en el pasado (cerradas o sin efecto material), regulación creciente de la venta a menores (Reino Unido 2026, directrices de EE. UU.) y litigios con competidores (Bang, ganado por Monster antes de comprar la marca en concurso) [1]. El 10-K no recoge litigios abiertos materiales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piensan hacer con 4.200 M USD de caja que rinden ≈ 3 % (recompras, dividendo, compras), y por qué no se recompró nada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5 % de la capitalización; una recompra grande subiría el BPA y la ponderada.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responderá Monster a Alani Nu y a Celsius en la red de PepsiCo, y qué cuota espera en conveniencia?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EE. UU. es el 61 %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Aluminio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coste de aluminio y prima Midwest falta por entrar en el 2S26 y en 2027, y qué parte cubren las subidas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son ≈ 0,03 USD de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Alcohol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plazo para que el alcohol deje de perder dinero, o una fecha para venderlo o cerrarlo?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restado ≈ 440 M de resultado en 2023-2025 entre pérdidas y deterioros.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distribución si Coca-Cola lanza una energética propia o compra otra marca, y qué derechos tiene sobre Monster con el 20,9 %?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Coca-Cola es la ventaja de distribución; Gehring se va a presidir Coca-Cola Norteamérica.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sustituye a Gehring en América y cuál es el plan de sucesión de Schlosberg?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fundadores han dirigido la empresa 36 años.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($MNST)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mensajes marcados alcistas y ninguno bajista: ven a Monster como refugio («verde mientras la tecnología cae») y esperan buenos resultados del 3T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Divididos: unos dicen que el crecimiento justifica la prima y otros que el precio está completo y sin margen de seguridad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objetivo a la baja (Wells Fargo) y al alza (Zacks); ventas de directivos sin debate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Refugio defensivo con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beta de 0,53 y ventas +20 %; pero el refugio se paga a 36 veces el beneficio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(+34,6 % fuera de EE. UU. en el 2T26), con margen algo menor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punto clave del informe: el múltiplo está por encima de su mediana adelantada de cinco años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Celsius y Alani Nu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Alani Nu gana cuota, pero Monster también (+1,1 p.); quien pierde es Red Bull y Celsius [28].</w:t>
            </w:r>
          </w:p>
        </w:tc>
      </w:tr>
    </w:tbl>
    <w:p>
      <w:pPr>
        <w:spacing w:after="160" w:before="0"/>
      </w:pPr>
    </w:p>
    <w:p>
      <w:pPr>
        <w:spacing w:after="100"/>
      </w:pPr>
      <w:r>
        <w:t xml:space="preserve">Sentimiento positivo entre particulares y neutral entre los que escriben análisis: nadie duda del negocio y la discusión es el precio. No hay capitulación ni miedo que aprovechar. No anticipa riesgos que el informe no tenga.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31 (18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18,1 % en 2030e frente al 15,0 %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20,0 % frente a 21,8 % real: genera una variación de circulante de 143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38,7 % frente a WACC 9,0 %: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comparan con el consenso); 2) Yahoo quoteSummary (solo el trimestre en curso); 3) MarketBeat (sin histórico de sorpresas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 sectorial corta de bebidas energéticas (sectores/)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sectores/ del repositorio (no hay ficha de bebidas energéticas ni de refrescos); 2) informes del repositorio de empresas del sector (solo PepsiCo, sin perímetro de energéticas); 3) hacerla ahora (el encargo no permite escribir fuera de la carpeta del informe)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Perímetro, tamaño y comparables documentados en esta nota con Ken Research, TBRC y Nielsen; ficha pendiente para el hilo principal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Ken Research (resumen público sin serie); 2) TBRC vía GII (solo previsión); 3) Red Bull y Monster (solo sus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dos ejercicios); 2) MarketBeat (solo el año en curso y el siguiente);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 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empresa de septiembre (solo directivos); 2) titulares de Seeking Alpha (RSS); 3) noticias de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explica como rotación y rebajas de objetivo, sin causa concreta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segmentos, clientes (CCEP, Coca-Cola Consolidated), relación con TCCC, deterioros del alcohol,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inversiones, recompras, split 2:1, compromisos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https://www.sec.gov/Archives/edgar/data/865752/000110465926092193/mnst-20260630x10q.htm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Reports 2026 Second Quarter Financial Results (nota de resultados y datos de Nielsen, exhibits 99.1 y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https://www.sec.gov/Archives/edgar/data/865752/000110465926092046/tm2622396d1_ex99-1.htm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1T26, 4T25, 3T25, 2T25, 1T25 y 4T24 (resultado operativo ajustado, BPA, ventas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https://www.sec.gov/Archives/edgar/data/865752/000110465926057188/tm2613885d1_ex99-1.htm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1T26 y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https://www.sec.gov/Archives/edgar/data/865752/000110465926057398/mnst-20260331x10q.htm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 2023 y 2022 (compra de Bang Energy por 363 M USD en 2023 y de CANarchy por 329 M en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https://www.sec.gov/Archives/edgar/data/865752/000110465924029425/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Monster Beverage (cuenta, balance y flujos 2016-2025): herramienta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split 2:1 de las acciones (registro el 24-jul-2026, cotiza ajustado desde el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https://www.sec.gov/Archives/edgar/data/865752/000110465926081842/tm2619964d1_8k.htm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Q2 2026 earnings call (resumen de la transcripción: aluminio, precios, internacional,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transcripción de la conferencia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https://www.webull.com/news/MNST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Nielsen de la categoría energética (EE. UU. a 13 y 4 semanas hasta el 25-jul-2026; EMEA, Asia, Latinoamérica): exhibit 99.2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https://www.sec.gov/Archives/edgar/data/865752/000110465926092046/tm2622396d1_ex99-2.htm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resultados del 2T26 (Celsius, Alani Nu, Rockstar; cuota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https://www.sec.gov/Archives/edgar/data/0001341766/000134176626000047/ex9912q2026.htm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Energy Drinks Market (ingresos netos de fabricantes 2025, cuotas, previsión a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https://www.kenresearch.com/global-energy-drinks-market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Drinks Global Market Report 2026 (valor de venta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https://www.giiresearch.com/report/tbrc1979999-energy-drinks-global-market-report.html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Bull: cifras de 2025 (facturación de 12.196 M EUR, 13.969 M de latas)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Bull GmbH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https://www.redbull.com/int-en/energydrink/company-profile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(ventas, márgenes, PER)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accionistas a 17-mar-2026,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https://www.sec.gov/Archives/edgar/data/865752/000110465926035990/tm261427d1_def14a.htm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(votos de consejeros y de remuneración; nuevo plan de recompras de 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https://www.sec.gov/Archives/edgar/data/865752/000110465926062567/tm2614725d1_8k.htm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consejero Mark J. Hall (efectiva el 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https://www.sec.gov/Archives/edgar/data/865752/000110465926070506/tm2616810d1_8k.htm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Matthew S. Burroughs, director de contabilidad y director financiero adjunto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https://www.sec.gov/Archives/edgar/data/865752/000110465926105498/tm2624805d1_8k.htm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Rob Gehring deja de ser consejero delegado de América el 30-nov-2026 para presidir Coca-Cola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https://www.sec.gov/Archives/edgar/data/865752/000110465926110965/tm2626151d1_8k.htm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Monster Beverage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https://www.sec.gov/cgi-bin/browse-edgar?action=getcompany&amp;CIK=0000865752&amp;type=4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MNST, SPY y XLP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https://finance.yahoo.com/quote/MNST/history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MNST y comparables (BPA y ventas estimados, objetivos, recomendaciones; precio de la sesión del 21-oct a las 12:38 de Nueva York):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https://finance.yahoo.com/quote/MNST/analysis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cambios de recomendación y objetivos (Wells Fargo, Piper Sandler, UBS, RBC, Stifel, TD Cowen, Deutsche Bank, Zacks)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https://www.marketbeat.com/stocks/NASDAQ/MNST/forecast/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MNST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https://seekingalpha.com/api/sa/combined/MNST.xml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Monster Beverage (resultados, analistas, directivos, split)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https://www.marketbeat.com/stocks/NASDAQ/MNST/news/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$MNST (25-sep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https://api.stocktwits.com/api/2/streams/symbol/MNST.json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sobre MNST (jul-oct 2026: «precio completo», «valoración justa», «sin margen de seguridad», «el crecimiento justifica la prima»)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https://seekingalpha.com/symbol/MNST/analysis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del analista: BPA por escenario, historia del PER en acciones de hoy, DCF (supuestos.mjs y propio.mjs)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(informes/monster-2026-10-21/notas)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informes/monster-2026-10-21/notas/propio.mjs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directivos</w:t>
      </w:r>
      <w:r>
        <w:t xml:space="preserve"> · Generado el 21 oct 2026.</w:t>
      </w:r>
    </w:p>
    <w:p>
      <w:pPr>
        <w:pStyle w:val="Nota"/>
        <w:spacing w:after="100"/>
      </w:pPr>
      <w:r>
        <w:t xml:space="preserve">Cifras en millones de USD, ejercicio a 31 de diciembre. Último ejercicio real: 2025; último trimestre: 2T26 (6-ago-2026); el 3T26 sale hacia el 5-nov-2026. BPA y acciones en acciones de hoy, después del split 2:1 del 11-ago-2026 [8] (y del de marzo de 2023 para 2016-2020). Precio: cierre del 20-oct-2026 (47,04 USD); la sesión del 21-oct estaba abierta (46,75 USD a las 16:38 UTC). Caja = efectivo + inversiones financieras a corto y largo. Sin ficha sectorial de bebidas energéticas (el encargo no permite escribir fuera de la carpeta): el perímetro del mercado sale de Ken Research y de los datos de Nielsen que publica Monster [10, 12].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Monster Beverage Corporation (MNST)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(32,94 – 50,17)</c:v>
                </c:pt>
                <c:pt idx="1">
                  <c:v>Precio objetivo de los analistas (35,00 – 57,00)</c:v>
                </c:pt>
                <c:pt idx="2">
                  <c:v>Comparables: PER NTM (17,78 – 22,38)</c:v>
                </c:pt>
                <c:pt idx="3">
                  <c:v>DCF (WACC y g ± 0,5) (25,10 – 32,14)</c:v>
                </c:pt>
                <c:pt idx="4">
                  <c:v>Escenarios (bajista – alcista) (17,50 – 33,60)</c:v>
                </c:pt>
                <c:pt idx="5">
                  <c:v>DCF con la prima implícita del mercado (4,2 %)</c:v>
                </c:pt>
                <c:pt idx="6">
                  <c:v>Precio actual (47,04)</c:v>
                </c:pt>
              </c:strCache>
            </c:strRef>
          </c:cat>
          <c:val>
            <c:numRef>
              <c:f>Hoja1!$B$2:$B$8</c:f>
              <c:numCache>
                <c:formatCode>#,##0.0</c:formatCode>
                <c:ptCount val="7"/>
                <c:pt idx="0">
                  <c:v>32.94</c:v>
                </c:pt>
                <c:pt idx="1">
                  <c:v>35</c:v>
                </c:pt>
                <c:pt idx="2">
                  <c:v>17.78</c:v>
                </c:pt>
                <c:pt idx="3">
                  <c:v>25.1</c:v>
                </c:pt>
                <c:pt idx="4">
                  <c:v>17.5</c:v>
                </c:pt>
                <c:pt idx="5">
                  <c:v>30.05</c:v>
                </c:pt>
                <c:pt idx="6">
                  <c:v>46.8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(32,94 – 50,17)</c:v>
                </c:pt>
                <c:pt idx="1">
                  <c:v>Precio objetivo de los analistas (35,00 – 57,00)</c:v>
                </c:pt>
                <c:pt idx="2">
                  <c:v>Comparables: PER NTM (17,78 – 22,38)</c:v>
                </c:pt>
                <c:pt idx="3">
                  <c:v>DCF (WACC y g ± 0,5) (25,10 – 32,14)</c:v>
                </c:pt>
                <c:pt idx="4">
                  <c:v>Escenarios (bajista – alcista) (17,50 – 33,60)</c:v>
                </c:pt>
                <c:pt idx="5">
                  <c:v>DCF con la prima implícita del mercado (4,2 %)</c:v>
                </c:pt>
                <c:pt idx="6">
                  <c:v>Precio actual (47,04)</c:v>
                </c:pt>
              </c:strCache>
            </c:strRef>
          </c:cat>
          <c:val>
            <c:numRef>
              <c:f>Hoja1!$C$2:$C$8</c:f>
              <c:numCache>
                <c:formatCode>#,##0.0</c:formatCode>
                <c:ptCount val="7"/>
                <c:pt idx="0">
                  <c:v>17.230000000000004</c:v>
                </c:pt>
                <c:pt idx="1">
                  <c:v>22</c:v>
                </c:pt>
                <c:pt idx="2">
                  <c:v>4.599999999999998</c:v>
                </c:pt>
                <c:pt idx="3">
                  <c:v>7.039999999999999</c:v>
                </c:pt>
                <c:pt idx="4">
                  <c:v>16.1</c:v>
                </c:pt>
                <c:pt idx="5">
                  <c:v>6.419999999999998</c:v>
                </c:pt>
                <c:pt idx="6">
                  <c:v>0.480000000000004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Monster Energy Drinks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6555.1</c:v>
                </c:pt>
                <c:pt idx="1">
                  <c:v>6864.6</c:v>
                </c:pt>
                <c:pt idx="2">
                  <c:v>7665.9</c:v>
                </c:pt>
              </c:numCache>
            </c:numRef>
          </c:val>
        </c:ser>
        <c:ser>
          <c:idx val="1"/>
          <c:order val="1"/>
          <c:tx>
            <c:strRef>
              <c:f>Hoja1!$C$1</c:f>
              <c:strCache>
                <c:ptCount val="1"/>
                <c:pt idx="0">
                  <c:v>Strategic Brands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376.6</c:v>
                </c:pt>
                <c:pt idx="1">
                  <c:v>432.2</c:v>
                </c:pt>
                <c:pt idx="2">
                  <c:v>468.7</c:v>
                </c:pt>
              </c:numCache>
            </c:numRef>
          </c:val>
        </c:ser>
        <c:ser>
          <c:idx val="2"/>
          <c:order val="2"/>
          <c:tx>
            <c:strRef>
              <c:f>Hoja1!$D$1</c:f>
              <c:strCache>
                <c:ptCount val="1"/>
                <c:pt idx="0">
                  <c:v>Alcohol Brands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184.9</c:v>
                </c:pt>
                <c:pt idx="1">
                  <c:v>172.3</c:v>
                </c:pt>
                <c:pt idx="2">
                  <c:v>134.7</c:v>
                </c:pt>
              </c:numCache>
            </c:numRef>
          </c:val>
        </c:ser>
        <c:ser>
          <c:idx val="3"/>
          <c:order val="3"/>
          <c:tx>
            <c:strRef>
              <c:f>Hoja1!$E$1</c:f>
              <c:strCache>
                <c:ptCount val="1"/>
                <c:pt idx="0">
                  <c:v>Other y corporativo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23.5</c:v>
                </c:pt>
                <c:pt idx="1">
                  <c:v>23.6</c:v>
                </c:pt>
                <c:pt idx="2">
                  <c:v>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Monster Energy Drinks</c:v>
                </c:pt>
                <c:pt idx="1">
                  <c:v>Strategic Brands</c:v>
                </c:pt>
                <c:pt idx="2">
                  <c:v>Alcohol Brands</c:v>
                </c:pt>
                <c:pt idx="3">
                  <c:v>Other y corporativo</c:v>
                </c:pt>
              </c:strCache>
            </c:strRef>
          </c:cat>
          <c:val>
            <c:numRef>
              <c:f>Hoja1!$B$2:$B$5</c:f>
              <c:numCache>
                <c:formatCode>General</c:formatCode>
                <c:ptCount val="4"/>
                <c:pt idx="0">
                  <c:v>92.4</c:v>
                </c:pt>
                <c:pt idx="1">
                  <c:v>5.7</c:v>
                </c:pt>
                <c:pt idx="2">
                  <c:v>1.6</c:v>
                </c:pt>
                <c:pt idx="3">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 y Canadá</c:v>
                </c:pt>
                <c:pt idx="1">
                  <c:v>EMEA</c:v>
                </c:pt>
                <c:pt idx="2">
                  <c:v>Latinoamérica</c:v>
                </c:pt>
                <c:pt idx="3">
                  <c:v>Asia-Pacífico</c:v>
                </c:pt>
              </c:strCache>
            </c:strRef>
          </c:cat>
          <c:val>
            <c:numRef>
              <c:f>Hoja1!$B$2:$B$5</c:f>
              <c:numCache>
                <c:formatCode>0"%"</c:formatCode>
                <c:ptCount val="4"/>
                <c:pt idx="0">
                  <c:v>61.2</c:v>
                </c:pt>
                <c:pt idx="1">
                  <c:v>22.9</c:v>
                </c:pt>
                <c:pt idx="2">
                  <c:v>8.4</c:v>
                </c:pt>
                <c:pt idx="3">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netos de fabricantes; 2025 de Ken Research y previsión con su TCAC del 7,5 %))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52643</c:v>
                </c:pt>
                <c:pt idx="1">
                  <c:v>56591</c:v>
                </c:pt>
                <c:pt idx="2">
                  <c:v>60835</c:v>
                </c:pt>
                <c:pt idx="3">
                  <c:v>65398</c:v>
                </c:pt>
                <c:pt idx="4">
                  <c:v>75576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Monster Beverage</c:v>
                </c:pt>
                <c:pt idx="1">
                  <c:v>Red Bull (privada)</c:v>
                </c:pt>
                <c:pt idx="2">
                  <c:v>Celsius Holdings (Celsius, Alani Nu, Rockstar)</c:v>
                </c:pt>
                <c:pt idx="3">
                  <c:v>PepsiCo</c:v>
                </c:pt>
                <c:pt idx="4">
                  <c:v>Keurig Dr Pepper (Ghost)</c:v>
                </c:pt>
                <c:pt idx="5">
                  <c:v>Eastroc Beverage</c:v>
                </c:pt>
                <c:pt idx="6">
                  <c:v>Carabao Group</c:v>
                </c:pt>
              </c:strCache>
            </c:strRef>
          </c:cat>
          <c:val>
            <c:numRef>
              <c:f>Hoja1!$B$2:$B$8</c:f>
              <c:numCache>
                <c:formatCode>0.0"%"</c:formatCode>
                <c:ptCount val="7"/>
                <c:pt idx="0">
                  <c:v>29.8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5541.4</c:v>
                </c:pt>
                <c:pt idx="1">
                  <c:v>6311.1</c:v>
                </c:pt>
                <c:pt idx="2">
                  <c:v>7140</c:v>
                </c:pt>
                <c:pt idx="3">
                  <c:v>7492.7</c:v>
                </c:pt>
                <c:pt idx="4">
                  <c:v>8294.3</c:v>
                </c:pt>
                <c:pt idx="5">
                  <c:v>9746</c:v>
                </c:pt>
                <c:pt idx="6">
                  <c:v>10720</c:v>
                </c:pt>
                <c:pt idx="7">
                  <c:v>11685</c:v>
                </c:pt>
                <c:pt idx="8">
                  <c:v>12678</c:v>
                </c:pt>
                <c:pt idx="9">
                  <c:v>13693</c:v>
                </c:pt>
                <c:pt idx="10">
                  <c:v>14651</c:v>
                </c:pt>
                <c:pt idx="11">
                  <c:v>15530</c:v>
                </c:pt>
                <c:pt idx="12">
                  <c:v>16307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1847.7</c:v>
                </c:pt>
                <c:pt idx="1">
                  <c:v>1645.9</c:v>
                </c:pt>
                <c:pt idx="2">
                  <c:v>2065.3</c:v>
                </c:pt>
                <c:pt idx="3">
                  <c:v>2146</c:v>
                </c:pt>
                <c:pt idx="4">
                  <c:v>2584.2000000000003</c:v>
                </c:pt>
                <c:pt idx="5">
                  <c:v>2982</c:v>
                </c:pt>
                <c:pt idx="6">
                  <c:v>3323</c:v>
                </c:pt>
                <c:pt idx="7">
                  <c:v>3646</c:v>
                </c:pt>
                <c:pt idx="8">
                  <c:v>3981</c:v>
                </c:pt>
                <c:pt idx="9">
                  <c:v>4313</c:v>
                </c:pt>
                <c:pt idx="10">
                  <c:v>4615</c:v>
                </c:pt>
                <c:pt idx="11">
                  <c:v>4892</c:v>
                </c:pt>
                <c:pt idx="12">
                  <c:v>5137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56.1</c:v>
                </c:pt>
                <c:pt idx="1">
                  <c:v>50.3</c:v>
                </c:pt>
                <c:pt idx="2">
                  <c:v>53.1</c:v>
                </c:pt>
                <c:pt idx="3">
                  <c:v>54</c:v>
                </c:pt>
                <c:pt idx="4">
                  <c:v>55.8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33.3</c:v>
                </c:pt>
                <c:pt idx="1">
                  <c:v>26.1</c:v>
                </c:pt>
                <c:pt idx="2">
                  <c:v>28.9</c:v>
                </c:pt>
                <c:pt idx="3">
                  <c:v>28.6</c:v>
                </c:pt>
                <c:pt idx="4">
                  <c:v>31.2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32.4</c:v>
                </c:pt>
                <c:pt idx="1">
                  <c:v>25.1</c:v>
                </c:pt>
                <c:pt idx="2">
                  <c:v>28</c:v>
                </c:pt>
                <c:pt idx="3">
                  <c:v>27.6</c:v>
                </c:pt>
                <c:pt idx="4">
                  <c:v>29.8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24.9</c:v>
                </c:pt>
                <c:pt idx="1">
                  <c:v>18.9</c:v>
                </c:pt>
                <c:pt idx="2">
                  <c:v>22.8</c:v>
                </c:pt>
                <c:pt idx="3">
                  <c:v>20.1</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0">
                  <c:v>16.8</c:v>
                </c:pt>
                <c:pt idx="1">
                  <c:v>17.6</c:v>
                </c:pt>
                <c:pt idx="2">
                  <c:v>26.9</c:v>
                </c:pt>
                <c:pt idx="3">
                  <c:v>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c:v>
                </c:pt>
                <c:pt idx="1">
                  <c:v>59</c:v>
                </c:pt>
                <c:pt idx="2">
                  <c:v>61</c:v>
                </c:pt>
                <c:pt idx="3">
                  <c:v>60</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109</c:v>
                </c:pt>
                <c:pt idx="2">
                  <c:v>106</c:v>
                </c:pt>
                <c:pt idx="3">
                  <c:v>78</c:v>
                </c:pt>
                <c:pt idx="4">
                  <c:v>80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61</c:v>
                </c:pt>
                <c:pt idx="1">
                  <c:v>52</c:v>
                </c:pt>
                <c:pt idx="2">
                  <c:v>62</c:v>
                </c:pt>
                <c:pt idx="3">
                  <c:v>49</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1095.5</c:v>
                </c:pt>
                <c:pt idx="1">
                  <c:v>696.9</c:v>
                </c:pt>
                <c:pt idx="2">
                  <c:v>1490.1</c:v>
                </c:pt>
                <c:pt idx="3">
                  <c:v>1656.2</c:v>
                </c:pt>
                <c:pt idx="4">
                  <c:v>1965.8999999999999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1377.5</c:v>
                </c:pt>
                <c:pt idx="1">
                  <c:v>1191.6</c:v>
                </c:pt>
                <c:pt idx="2">
                  <c:v>1631</c:v>
                </c:pt>
                <c:pt idx="3">
                  <c:v>1509</c:v>
                </c:pt>
                <c:pt idx="4">
                  <c:v>1905.4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40.5</c:v>
                </c:pt>
                <c:pt idx="1">
                  <c:v>31.3</c:v>
                </c:pt>
                <c:pt idx="2">
                  <c:v>34.2</c:v>
                </c:pt>
                <c:pt idx="3">
                  <c:v>32.3</c:v>
                </c:pt>
                <c:pt idx="4">
                  <c:v>38.7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c:v>
                </c:pt>
                <c:pt idx="1">
                  <c:v>9</c:v>
                </c:pt>
                <c:pt idx="2">
                  <c:v>9</c:v>
                </c:pt>
                <c:pt idx="3">
                  <c:v>9</c:v>
                </c:pt>
                <c:pt idx="4">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17.5</c:v>
                </c:pt>
                <c:pt idx="2">
                  <c:v>21.4</c:v>
                </c:pt>
                <c:pt idx="3">
                  <c:v>21.3</c:v>
                </c:pt>
                <c:pt idx="4">
                  <c:v>26.8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-1.72</c:v>
                </c:pt>
                <c:pt idx="1">
                  <c:v>-1.66</c:v>
                </c:pt>
                <c:pt idx="2">
                  <c:v>-1.61</c:v>
                </c:pt>
                <c:pt idx="3">
                  <c:v>-0.54</c:v>
                </c:pt>
                <c:pt idx="4">
                  <c:v>-1.26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329.5</c:v>
                </c:pt>
                <c:pt idx="2">
                  <c:v>363.4</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13.8</c:v>
                </c:pt>
                <c:pt idx="1">
                  <c:v>771</c:v>
                </c:pt>
                <c:pt idx="2">
                  <c:v>659</c:v>
                </c:pt>
                <c:pt idx="3">
                  <c:v>3771.9</c:v>
                </c:pt>
                <c:pt idx="4">
                  <c:v>103.6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Coca-Cola Company</c:v>
                </c:pt>
                <c:pt idx="1">
                  <c:v>Hilton H. Schlosberg (con sociedades familiares)</c:v>
                </c:pt>
                <c:pt idx="2">
                  <c:v>Rodney C. Sacks (con sociedades familiares)</c:v>
                </c:pt>
                <c:pt idx="3">
                  <c:v>Vanguard</c:v>
                </c:pt>
                <c:pt idx="4">
                  <c:v>BlackRock</c:v>
                </c:pt>
                <c:pt idx="5">
                  <c:v>Consejeros y directivos en conjunto</c:v>
                </c:pt>
              </c:strCache>
            </c:strRef>
          </c:cat>
          <c:val>
            <c:numRef>
              <c:f>Hoja1!$B$2:$B$7</c:f>
              <c:numCache>
                <c:formatCode>0.0"%"</c:formatCode>
                <c:ptCount val="6"/>
                <c:pt idx="0">
                  <c:v>20.9</c:v>
                </c:pt>
                <c:pt idx="1">
                  <c:v>7.7</c:v>
                </c:pt>
                <c:pt idx="2">
                  <c:v>7.5</c:v>
                </c:pt>
                <c:pt idx="3">
                  <c:v>6.5</c:v>
                </c:pt>
                <c:pt idx="4">
                  <c:v>5.2</c:v>
                </c:pt>
                <c:pt idx="5">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-10.7</c:v>
                </c:pt>
                <c:pt idx="1">
                  <c:v>42.7</c:v>
                </c:pt>
                <c:pt idx="2">
                  <c:v>-22.2</c:v>
                </c:pt>
                <c:pt idx="3">
                  <c:v>29.1</c:v>
                </c:pt>
                <c:pt idx="4">
                  <c:v>45.5</c:v>
                </c:pt>
                <c:pt idx="5">
                  <c:v>3.8</c:v>
                </c:pt>
                <c:pt idx="6">
                  <c:v>5.7</c:v>
                </c:pt>
                <c:pt idx="7">
                  <c:v>13.5</c:v>
                </c:pt>
                <c:pt idx="8">
                  <c:v>-8.8</c:v>
                </c:pt>
                <c:pt idx="9">
                  <c:v>45.9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3">
                  <c:v>26.1</c:v>
                </c:pt>
                <c:pt idx="4">
                  <c:v>31.2</c:v>
                </c:pt>
                <c:pt idx="5">
                  <c:v>27.9</c:v>
                </c:pt>
                <c:pt idx="6">
                  <c:v>24.3</c:v>
                </c:pt>
                <c:pt idx="7">
                  <c:v>27.9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27.9</c:v>
                </c:pt>
                <c:pt idx="1">
                  <c:v>27.9</c:v>
                </c:pt>
                <c:pt idx="2">
                  <c:v>27.9</c:v>
                </c:pt>
                <c:pt idx="3">
                  <c:v>27.9</c:v>
                </c:pt>
                <c:pt idx="4">
                  <c:v>27.9</c:v>
                </c:pt>
                <c:pt idx="5">
                  <c:v>27.9</c:v>
                </c:pt>
                <c:pt idx="6">
                  <c:v>27.9</c:v>
                </c:pt>
                <c:pt idx="7">
                  <c:v>27.9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2011</c:v>
                </c:pt>
                <c:pt idx="1">
                  <c:v>2132</c:v>
                </c:pt>
                <c:pt idx="2">
                  <c:v>2362</c:v>
                </c:pt>
                <c:pt idx="3">
                  <c:v>2592</c:v>
                </c:pt>
                <c:pt idx="4">
                  <c:v>2822</c:v>
                </c:pt>
                <c:pt idx="5">
                  <c:v>3045</c:v>
                </c:pt>
                <c:pt idx="6">
                  <c:v>3255</c:v>
                </c:pt>
                <c:pt idx="7">
                  <c:v>3447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14512</c:v>
                </c:pt>
                <c:pt idx="1">
                  <c:v>15601</c:v>
                </c:pt>
                <c:pt idx="2">
                  <c:v>20649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47,04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c:v>
                </c:pt>
                <c:pt idx="1">
                  <c:v>28.05</c:v>
                </c:pt>
                <c:pt idx="2">
                  <c:v>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(32,94 – 50,17)</c:v>
                </c:pt>
                <c:pt idx="1">
                  <c:v>Precio objetivo de los analistas (35,00 – 57,00)</c:v>
                </c:pt>
                <c:pt idx="2">
                  <c:v>Comparables: PER NTM (17,78 – 22,38)</c:v>
                </c:pt>
                <c:pt idx="3">
                  <c:v>DCF (WACC y g ± 0,5) (25,10 – 32,14)</c:v>
                </c:pt>
                <c:pt idx="4">
                  <c:v>Escenarios (bajista – alcista) (17,50 – 33,60)</c:v>
                </c:pt>
                <c:pt idx="5">
                  <c:v>DCF con la prima implícita del mercado (4,2 %)</c:v>
                </c:pt>
                <c:pt idx="6">
                  <c:v>Precio actual (47,04)</c:v>
                </c:pt>
              </c:strCache>
            </c:strRef>
          </c:cat>
          <c:val>
            <c:numRef>
              <c:f>Hoja1!$B$2:$B$8</c:f>
              <c:numCache>
                <c:formatCode>#,##0.0</c:formatCode>
                <c:ptCount val="7"/>
                <c:pt idx="0">
                  <c:v>32.94</c:v>
                </c:pt>
                <c:pt idx="1">
                  <c:v>35</c:v>
                </c:pt>
                <c:pt idx="2">
                  <c:v>17.78</c:v>
                </c:pt>
                <c:pt idx="3">
                  <c:v>25.1</c:v>
                </c:pt>
                <c:pt idx="4">
                  <c:v>17.5</c:v>
                </c:pt>
                <c:pt idx="5">
                  <c:v>30.05</c:v>
                </c:pt>
                <c:pt idx="6">
                  <c:v>46.8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(32,94 – 50,17)</c:v>
                </c:pt>
                <c:pt idx="1">
                  <c:v>Precio objetivo de los analistas (35,00 – 57,00)</c:v>
                </c:pt>
                <c:pt idx="2">
                  <c:v>Comparables: PER NTM (17,78 – 22,38)</c:v>
                </c:pt>
                <c:pt idx="3">
                  <c:v>DCF (WACC y g ± 0,5) (25,10 – 32,14)</c:v>
                </c:pt>
                <c:pt idx="4">
                  <c:v>Escenarios (bajista – alcista) (17,50 – 33,60)</c:v>
                </c:pt>
                <c:pt idx="5">
                  <c:v>DCF con la prima implícita del mercado (4,2 %)</c:v>
                </c:pt>
                <c:pt idx="6">
                  <c:v>Precio actual (47,04)</c:v>
                </c:pt>
              </c:strCache>
            </c:strRef>
          </c:cat>
          <c:val>
            <c:numRef>
              <c:f>Hoja1!$C$2:$C$8</c:f>
              <c:numCache>
                <c:formatCode>#,##0.0</c:formatCode>
                <c:ptCount val="7"/>
                <c:pt idx="0">
                  <c:v>17.230000000000004</c:v>
                </c:pt>
                <c:pt idx="1">
                  <c:v>22</c:v>
                </c:pt>
                <c:pt idx="2">
                  <c:v>4.599999999999998</c:v>
                </c:pt>
                <c:pt idx="3">
                  <c:v>7.039999999999999</c:v>
                </c:pt>
                <c:pt idx="4">
                  <c:v>16.1</c:v>
                </c:pt>
                <c:pt idx="5">
                  <c:v>6.419999999999998</c:v>
                </c:pt>
                <c:pt idx="6">
                  <c:v>0.480000000000004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