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Autotrader Group plc (antes Auto Trader Group plc)</w:t>
      </w:r>
    </w:p>
    <w:p>
      <w:pPr>
        <w:spacing w:after="60"/>
        <w:rPr>
          <w:color w:val="52514E"/>
          <w:sz w:val="22"/>
          <w:szCs w:val="22"/>
        </w:rPr>
      </w:pPr>
      <w:r>
        <w:rPr>
          <w:color w:val="52514E"/>
          <w:sz w:val="22"/>
          <w:szCs w:val="22"/>
        </w:rPr>
        <w:t xml:space="preserve">AUTO · London Stock Exchange (Main Market) · ISIN GB00BVYVFW23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5,12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+11,5 % (base +11,9 %)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6,80 GBP · mercado 7,67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3.913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Autotrader Group plc (antes Auto Trader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 / GB00BVYVFW23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Manchester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plc.autotrader.co.uk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8,29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763,7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3.913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4.417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18,4 M GBP/día (3,7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5,60 GBP</w:t>
      </w:r>
      <w:r>
        <w:t xml:space="preserve"> frente a 5,12 · Rentabilidad a 12 meses </w:t>
      </w:r>
      <w:r>
        <w:rPr>
          <w:b/>
          <w:bCs/>
        </w:rPr>
        <w:t xml:space="preserve">+11,5 % (base +11,9 %)</w:t>
      </w:r>
      <w:r>
        <w:t xml:space="preserve"> · Valor intrínseco 6,80 GBP · con la prima implícita del mercado: 7,67 (+49,7 %) · Alcista / bajista +55,3 % / -29,2 %</w:t>
      </w:r>
    </w:p>
    <w:p>
      <w:pPr>
        <w:spacing w:after="100"/>
      </w:pPr>
      <w:r>
        <w:rPr>
          <w:b/>
        </w:rPr>
        <w:t xml:space="preserve">La recomendación y por qué.</w:t>
      </w:r>
      <w:r>
        <w:t xml:space="preserve"> Mantener, con convicción media. El objetivo a 12 meses es de 5,60 GBP: rentabilidad ponderada del 11,5 % con el dividendo y del 11,9 % en el caso base, por debajo del 15 % y el 12 % que pide la compra. El valor intrínseco es de 6,80 GBP (+32,7 % sobre 5,124 GBP) y el objetivo medio de los analistas (5,59 GBP) cae dentro de nuestro rango. El negocio vale más de lo que cotiza, pero el método no supone que el múltiplo perdido vuelva en un año, y sin eso el BPA (+9,6 %) y el dividendo (2,3 %) no llegan al 15 %. La convicción es media porque la ponderada está a 3,5 puntos del umbral; subiría si el 1S FY2027 (5-nov-2026) muestra forecourts estables y la guía confirmada, y bajaría si los forecourts caen más de un 2 %.</w:t>
      </w:r>
    </w:p>
    <w:p>
      <w:pPr>
        <w:spacing w:after="100"/>
      </w:pPr>
      <w:r>
        <w:rPr>
          <w:b/>
        </w:rPr>
        <w:t xml:space="preserve">El negocio.</w:t>
      </w:r>
      <w:r>
        <w:t xml:space="preserve"> Auto Trader tiene más del 75 % de los minutos en portales de coches del Reino Unido, 11 veces su competidor más cercano [1]. Ha subido el ARPR de 1.546 a 2.995 GBP al mes en nueve años [2, 11]. Margen EBITDA del 66 % y ROIC del 50,9 %, 41,8 puntos sobre el WACC del 9,1 %: </w:t>
      </w:r>
      <w:r>
        <w:rPr>
          <w:b/>
        </w:rPr>
        <w:t xml:space="preserve">calidad, Sí</w:t>
      </w:r>
      <w:r>
        <w:t xml:space="preserve">. La sostenibilidad del crecimiento es </w:t>
      </w:r>
      <w:r>
        <w:rPr>
          <w:b/>
        </w:rPr>
        <w:t xml:space="preserve">Sí</w:t>
      </w:r>
      <w:r>
        <w:t xml:space="preserve">: el 4,1 % anual del caso base sale del precio y del producto sin capital nuevo, como cada año desde FY2023 (+78-117 GBP de precio al año), aunque los forecourts ya no suman [2, 3, 4].</w:t>
      </w:r>
    </w:p>
    <w:p>
      <w:pPr>
        <w:spacing w:after="100"/>
      </w:pPr>
      <w:r>
        <w:rPr>
          <w:b/>
        </w:rPr>
        <w:t xml:space="preserve">Por qué el método no la compra.</w:t>
      </w:r>
      <w:r>
        <w:t xml:space="preserve"> La mediana de su PER adelantado de cinco años es de 22,0 veces y hoy cotiza a 12,0 veces nuestro BPA de FY2028e: 1,8 veces menos, el umbral exacto del selector de método, que trata la caída como de régimen y aplica la v2 (base = PER de hoy). Con la v3 sin selector (que supone que vuelve un 10 % del múltiplo) daría 22,5 % y Comprar. El desrate es de todo el sector (Rightmove 15,5 veces) por el miedo a la IA, más el frenazo propio por Deal Builder: sin datos para llamarlo temporal, la v2 decide con razón.</w:t>
      </w:r>
    </w:p>
    <w:p>
      <w:pPr>
        <w:spacing w:after="100"/>
      </w:pPr>
      <w:r>
        <w:rPr>
          <w:b/>
        </w:rPr>
        <w:t xml:space="preserve">Finanzas.</w:t>
      </w:r>
      <w:r>
        <w:t xml:space="preserve"> Convierte en caja el 103 % del beneficio; la deuda neta ajustada (con recompras y dividendo pagados desde el balance) es de 550 M, 1,3 veces el EBITDA. Nuestro beneficio neto de FY2029e (339,5 M) supera al del consenso (325,7 M); nuestro BPA es menor (0,4685 frente a 0,4919) solo porque no contamos recompras no anunciadas [56].</w:t>
      </w:r>
    </w:p>
    <w:p>
      <w:pPr>
        <w:spacing w:after="100"/>
      </w:pPr>
      <w:r>
        <w:rPr>
          <w:b/>
        </w:rPr>
        <w:t xml:space="preserve">Valoración.</w:t>
      </w:r>
      <w:r>
        <w:t xml:space="preserve"> El DCF da 6,81 GBP; el DCF inverso dice que el precio supone ingresos casi planos (+0,2 % anual hasta FY2034e) o un margen del 52,3 %, frente al +4,1 % y el 67 % de nuestro caso base, en línea con el consenso [56]. Cotiza a 10,7 veces el EBITDA, percentil 11 de su década.</w:t>
      </w:r>
    </w:p>
    <w:p>
      <w:pPr>
        <w:spacing w:after="100"/>
      </w:pPr>
      <w:r>
        <w:rPr>
          <w:b/>
        </w:rPr>
        <w:t xml:space="preserve">Riesgos y catalizadores.</w:t>
      </w:r>
      <w:r>
        <w:t xml:space="preserve"> El mayor es la IA: si asistentes o agentes de compra (o Amazon Autos) se quedan con la búsqueda, el bajista vale 3,63 GBP (−29,2 %); hoy menos del 1 % del tráfico llega de la IA [1]. El segundo, la salida lenta de concesionarios por Deal Builder. Los cortos bajan del 10,1 % al 6,55 % [53]; los comentaristas la ven sobrevendida. Catalizadores: el 1S27 el 5-nov-2026 y las recompras (quedan ≈200 M de los ≈500 M de FY2027) [51, 73].</w:t>
      </w:r>
    </w:p>
    <w:p>
      <w:pPr>
        <w:spacing w:after="100"/>
      </w:pPr>
      <w:r>
        <w:rPr>
          <w:b/>
        </w:rPr>
        <w:t xml:space="preserve">Qué cambiaría la decisión.</w:t>
      </w:r>
      <w:r>
        <w:t xml:space="preserve"> Compra robusta por debajo de 4,97 GBP (con el objetivo fijo, v3 y v2 pasan); venta por encima de 6,35 GBP. El límite sube desde 4,62 GBP (10-oct) sobre todo porque el base de la v2 es el PER del día y el precio subió un 4,8 %. Revisaríamos al alza si la empresa anuncia recompras de ≈400 M para FY2028 (el BPA de FY2029e subiría un 6 % neto de intereses y la v2 pasaría el umbral, 15,3 %) y a la baja si los forecourts del 1S27 caen más de un 2 % o se rebaja la guía.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el valor intrínseco es una tesis a 2-3 años · Objetivo a 12 meses: </w:t>
      </w:r>
      <w:r>
        <w:rPr>
          <w:b/>
          <w:bCs/>
        </w:rPr>
        <w:t xml:space="preserve">5,60 GBP</w:t>
      </w:r>
      <w:r>
        <w:t xml:space="preserve"> (rentabilidad +11,5 % (base +11,9 %)) · Valor intrínseco: 6,80 GBP (+32,7 % sobre 5,12) · con la prima implícita del mercado: 7,67 (+49,7 %)</w:t>
      </w:r>
    </w:p>
    <w:p>
      <w:pPr>
        <w:spacing w:after="100"/>
      </w:pPr>
      <w:r>
        <w:t xml:space="preserve">Auto Trader es el mercado de coches de segunda mano del Reino Unido: más del 75 % de los minutos en portales de coches y 11 veces la audiencia del segundo [1]. Ese dominio le da poder de precios: el ARPR casi se ha duplicado en nueve años, hasta 2.995 GBP al mes, con un margen EBITDA del 66 %, un ROIC del 50,9 % y una conversión de beneficio en caja del 103 % [2, 11].</w:t>
      </w:r>
    </w:p>
    <w:p>
      <w:pPr>
        <w:spacing w:after="100"/>
      </w:pPr>
      <w:r>
        <w:t xml:space="preserve">El precio de 5,124 GBP, un 38 % por debajo del máximo de 52 semanas, descuenta casi el fin del crecimiento: con nuestros márgenes, ingresos que crecen un 0,2 % al año hasta FY2034e; con nuestro crecimiento, un margen del 52,3 %. Cotiza a 10,7 veces el EBITDA, en el percentil 11 de su década y por debajo de clasificados con menos margen [7, 56, 57, 58, 59, 60, 61, 62, 63, 64]. La posición corta del 6,55 % es una apuesta explícita contra el foso [53].</w:t>
      </w:r>
    </w:p>
    <w:p>
      <w:pPr>
        <w:spacing w:after="100"/>
      </w:pPr>
      <w:r>
        <w:t xml:space="preserve">El mercado acierta en que el crecimiento se ha frenado (+3,9 % en FY2026), en que Deal Builder dañó la relación con los concesionarios (−1,7 % de forecourts en el 2S26) y en que la IA es un riesgo de régimen que todavía no se puede medir [2]. Probablemente exagera la caída: la guía de FY2027 sigue en pie, los consejeros compran y la recompra retira un 12 % del capital al año. Pero para que la acción rinda un 15 % en un año hace falta que el múltiplo vuelva, y eso pide datos (audiencia y ARPR de los próximos semestres) que aún no hay.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0,37 = 3,73 · 12,0x × 0,47 = 5,62 · 15,6x × 0,50 = 7,86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(22x) es 1,8 veces el PER de hoy (12x);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(nuestro base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 / -29,2 %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4,97 y 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4,97 GBP, pasaría a Comprar (con el objetivo fijo, compra robusta).</w:t>
      </w:r>
    </w:p>
    <w:p>
      <w:pPr>
        <w:pStyle w:val="ListParagraph"/>
        <w:numPr>
          <w:ilvl w:val="0"/>
          <w:numId w:val="2"/>
        </w:numPr>
        <w:spacing w:after="60"/>
      </w:pPr>
      <w:r>
        <w:t xml:space="preserve">Si el precio supera 6,35 GBP, pasaríamos a Vender.</w:t>
      </w:r>
    </w:p>
    <w:p>
      <w:pPr>
        <w:pStyle w:val="ListParagraph"/>
        <w:numPr>
          <w:ilvl w:val="0"/>
          <w:numId w:val="2"/>
        </w:numPr>
        <w:spacing w:after="60"/>
      </w:pPr>
      <w:r>
        <w:t xml:space="preserve">Si la empresa anuncia recompras para FY2028 de al menos ≈400 M, el BPA de FY2029e subiría un ≈6 % neto de intereses y la v2 pasaría el umbral (15,3 %): revisaríamos a Comprar.</w:t>
      </w:r>
    </w:p>
    <w:p>
      <w:pPr>
        <w:pStyle w:val="ListParagraph"/>
        <w:numPr>
          <w:ilvl w:val="0"/>
          <w:numId w:val="2"/>
        </w:numPr>
        <w:spacing w:after="60"/>
      </w:pPr>
      <w:r>
        <w:t xml:space="preserve">Si los forecourts del 1S27 caen más de un 2 % interanual o se rebaja la guía de beneficio operativo de FY2027 (395-415 M), bajaríamos el caso base.</w:t>
      </w:r>
    </w:p>
    <w:p>
      <w:pPr>
        <w:pStyle w:val="ListParagraph"/>
        <w:numPr>
          <w:ilvl w:val="0"/>
          <w:numId w:val="2"/>
        </w:numPr>
        <w:spacing w:after="60"/>
      </w:pPr>
      <w:r>
        <w:t xml:space="preserve">Si las visitas mensuales caen dos semestres seguidos, revisaríamos el caso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(asistentes de compra, agentes) y Amazon Autos van a quitarle a Auto Trader parte de la búsqueda del coche, y que el rechazo a Deal Builder demuestra que ha agotado su poder de precios: ingresos casi planos y un múltiplo de portal en declive.</w:t>
      </w:r>
    </w:p>
    <w:p>
      <w:pPr>
        <w:keepNext/>
        <w:spacing w:after="100"/>
      </w:pPr>
      <w:r>
        <w:rPr>
          <w:b/>
          <w:bCs/>
        </w:rPr>
        <w:t xml:space="preserve">Lo que creemos nosotros.</w:t>
      </w:r>
    </w:p>
    <w:p>
      <w:pPr>
        <w:spacing w:after="100"/>
      </w:pPr>
      <w:r>
        <w:t xml:space="preserve">El crecimiento será menor que en la década pasada (+4 % frente al 8 %), pero el foso sigue intacto: la audiencia es 11 veces la del segundo y menos del 1 % del tráfico llega de la IA [1, 2]. El conflicto de Deal Builder costó un 1,7 % de forecourts, no una huida. A un año, sin embargo, no vemos razón con fecha para que el múltiplo vuelva.</w:t>
      </w:r>
    </w:p>
    <w:p>
      <w:pPr>
        <w:keepNext/>
        <w:spacing w:after="100"/>
      </w:pPr>
      <w:r>
        <w:rPr>
          <w:b/>
          <w:bCs/>
        </w:rPr>
        <w:t xml:space="preserve">Por qué podemos tener razón.</w:t>
      </w:r>
    </w:p>
    <w:p>
      <w:pPr>
        <w:spacing w:after="100"/>
      </w:pPr>
      <w:r>
        <w:t xml:space="preserve">Porque los datos que el mercado teme todavía no aparecen: visitas de 83,3 millones al mes en el 1S26, el ARPR sigue subiendo (+5 % en FY2026) y la guía de FY2027 se mantiene [2, 12]. Si la IA desintermediara el portal, se vería primero en las visitas y en los minutos, que publica cada semestre: es una tesis que se puede comprobar cada seis meses, y la primera prueba es el 5-nov-2026.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más del 75 % de los minutos en portales de coches, 11 veces el segundo [1].</w:t>
      </w:r>
    </w:p>
    <w:p>
      <w:pPr>
        <w:pStyle w:val="ListParagraph"/>
        <w:numPr>
          <w:ilvl w:val="0"/>
          <w:numId w:val="2"/>
        </w:numPr>
        <w:spacing w:after="60"/>
      </w:pPr>
      <w:r>
        <w:rPr>
          <w:b/>
        </w:rPr>
        <w:t xml:space="preserve">Poder de precios</w:t>
      </w:r>
      <w:r>
        <w:t xml:space="preserve">: ARPR de 1.546 a 2.995 GBP al mes en nueve años [2, 11].</w:t>
      </w:r>
    </w:p>
    <w:p>
      <w:pPr>
        <w:pStyle w:val="ListParagraph"/>
        <w:numPr>
          <w:ilvl w:val="0"/>
          <w:numId w:val="2"/>
        </w:numPr>
        <w:spacing w:after="60"/>
      </w:pPr>
      <w:r>
        <w:rPr>
          <w:b/>
        </w:rPr>
        <w:t xml:space="preserve">Caja y rentabilidad</w:t>
      </w:r>
      <w:r>
        <w:t xml:space="preserve">: margen EBITDA del 66 %, ROIC del 50,9 % y conversión en caja del 103 %.</w:t>
      </w:r>
    </w:p>
    <w:p>
      <w:pPr>
        <w:pStyle w:val="ListParagraph"/>
        <w:numPr>
          <w:ilvl w:val="0"/>
          <w:numId w:val="2"/>
        </w:numPr>
        <w:spacing w:after="60"/>
      </w:pPr>
      <w:r>
        <w:rPr>
          <w:b/>
        </w:rPr>
        <w:t xml:space="preserve">Precio de crisis</w:t>
      </w:r>
      <w:r>
        <w:t xml:space="preserve">: 10,7 veces el EBITDA, percentil 11 de su década; el DCF inverso pide +0,2 % de crecimiento anual.</w:t>
      </w:r>
    </w:p>
    <w:p>
      <w:pPr>
        <w:pStyle w:val="ListParagraph"/>
        <w:numPr>
          <w:ilvl w:val="0"/>
          <w:numId w:val="2"/>
        </w:numPr>
        <w:spacing w:after="60"/>
      </w:pPr>
      <w:r>
        <w:rPr>
          <w:b/>
        </w:rPr>
        <w:t xml:space="preserve">Recompras y compras de consejeros</w:t>
      </w:r>
      <w:r>
        <w:t xml:space="preserve">: c. 500 M de recompras en FY2027 (≈300 M hechos) y los ocho consejeros compraron en mayo-junio [2, 35, 36, 37, 38, 73].</w:t>
      </w:r>
    </w:p>
    <w:p>
      <w:pPr>
        <w:pStyle w:val="Heading2"/>
      </w:pPr>
      <w:r>
        <w:t xml:space="preserve">En contra</w:t>
      </w:r>
    </w:p>
    <w:p>
      <w:pPr>
        <w:pStyle w:val="ListParagraph"/>
        <w:numPr>
          <w:ilvl w:val="0"/>
          <w:numId w:val="2"/>
        </w:numPr>
        <w:spacing w:after="60"/>
      </w:pPr>
      <w:r>
        <w:rPr>
          <w:b/>
        </w:rPr>
        <w:t xml:space="preserve">Objetivo a 12 meses corto</w:t>
      </w:r>
      <w:r>
        <w:t xml:space="preserve">: +11,5 % ponderado con la regla vigente; sin vuelta del múltiplo no llega al 15 %.</w:t>
      </w:r>
    </w:p>
    <w:p>
      <w:pPr>
        <w:pStyle w:val="ListParagraph"/>
        <w:numPr>
          <w:ilvl w:val="0"/>
          <w:numId w:val="2"/>
        </w:numPr>
        <w:spacing w:after="60"/>
      </w:pPr>
      <w:r>
        <w:rPr>
          <w:b/>
        </w:rPr>
        <w:t xml:space="preserve">Guía incumplida</w:t>
      </w:r>
      <w:r>
        <w:t xml:space="preserve">: ingresos de concesionarios +4 % en FY2026 frente al 5-7 % prometido, y abril de 2026 plano [2].</w:t>
      </w:r>
    </w:p>
    <w:p>
      <w:pPr>
        <w:pStyle w:val="ListParagraph"/>
        <w:numPr>
          <w:ilvl w:val="0"/>
          <w:numId w:val="2"/>
        </w:numPr>
        <w:spacing w:after="60"/>
      </w:pPr>
      <w:r>
        <w:rPr>
          <w:b/>
        </w:rPr>
        <w:t xml:space="preserve">Concesionarios molestos</w:t>
      </w:r>
      <w:r>
        <w:t xml:space="preserve">: −236 forecourts (−1,7 %) en el 2S26 por el lanzamiento de Deal Builder [2, 25].</w:t>
      </w:r>
    </w:p>
    <w:p>
      <w:pPr>
        <w:pStyle w:val="ListParagraph"/>
        <w:numPr>
          <w:ilvl w:val="0"/>
          <w:numId w:val="2"/>
        </w:numPr>
        <w:spacing w:after="60"/>
      </w:pPr>
      <w:r>
        <w:rPr>
          <w:b/>
        </w:rPr>
        <w:t xml:space="preserve">Riesgo de la IA y de Amazon Autos</w:t>
      </w:r>
      <w:r>
        <w:t xml:space="preserve">: el propio informe anual lo reconoce como riesgo principal; bajista de −29,2 % [1].</w:t>
      </w:r>
    </w:p>
    <w:p>
      <w:pPr>
        <w:pStyle w:val="ListParagraph"/>
        <w:numPr>
          <w:ilvl w:val="0"/>
          <w:numId w:val="2"/>
        </w:numPr>
        <w:spacing w:after="60"/>
      </w:pPr>
      <w:r>
        <w:rPr>
          <w:b/>
        </w:rPr>
        <w:t xml:space="preserve">Posición corta del 6,55 %</w:t>
      </w:r>
      <w:r>
        <w:t xml:space="preserve">, de las más altas del FTSE 100 [53].</w:t>
      </w:r>
    </w:p>
    <w:p>
      <w:pPr>
        <w:pStyle w:val="Heading2"/>
      </w:pPr>
      <w:r>
        <w:t xml:space="preserve">Qué tiene que pasar para que la tesis funcione</w:t>
      </w:r>
    </w:p>
    <w:p>
      <w:pPr>
        <w:spacing w:after="100"/>
      </w:pPr>
      <w:r>
        <w:t xml:space="preserve">La tesis depende de que los forecourts se estabilicen y el ARPR siga subiendo por encima de la inflación. La señal de que no ocurre sería un 1S27 (5-nov-2026) con forecourts por debajo de −2 % interanual, o una caída de las visitas mensuales desde los 83,3 millones del 1S26. La señal de que el múltiplo puede volver: forecourts de nuevo al alza y visitas estables dos semestres seguidos.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 (FY2026); −1,7 %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interanual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rechazo a Deal Builder se convierte en salida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 GBP/mes (FY2026, +5 %)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poder de precios que el precio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millones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semestres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395-415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FY2026 se incumplió.</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agregada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 (13-oct-2026)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apuesta del mercado contra el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Autotrader nació en 1977 como Thames Valley Trader, una revista regional de anuncios de coches fundada por John Madejski, Paul Gibbons y Peter Taylor, y adoptó la marca Auto Trader en 1988 [28]. Abrió su web en 1996 y, tras décadas de doble canal, publicó la última edición impresa en junio de 2013 [28]. Guardian Media Group la controló a través de Trader Media hasta que Apax la compró en enero de 2014 por 600 M GBP; salió a bolsa en Londres en marzo de 2015 [1, 28]. Desde entonces ha sumado negocios complementarios: datos de vehículos (KeeResources, 2019), subastas entre profesionales (Dealer Auction, empresa conjunta con Cox Automotive) y alquiler de coches nuevos (Autorama, 2022) [6, 8, 28]. En 2025 convirtió Deal Builder en parte de su oferta básica y en noviembre de ese año los concesionarios organizaron una campaña de bajas en redes sociales [1, 25]. Ya en 2011 hubo una petición de concesionarios contra una subida de tarifas [28]. En enero de 2026 pasó a llamarse Autotrader Group plc [1,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Thames Valley Trader, revista regional de anuncios clasificados de coches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cabeceras regionales se agrupan bajo la marca Auto Trader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Autotrader.co.uk, su primer mercado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 la última edición impresa en junio, tras 36 años, y queda como negocio solo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Apax Partners compra el negocio a Guardian Media Group por 600 M GBP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en marzo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Dealer Auction, empresa conjunta con Cox Automotive para subastas de coches entre profesionales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KeeResources (octubre), su proveedor de datos de vehículos, para controlar la taxonomía de su plataforma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Ofrece anuncios gratis a los concesionarios en los confinamientos: el ARPR del ejercicio 2021 cae a 1.324 GBP al mes (2020: 1.949)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en marzo la compra de Autorama (Vanarama), plataforma de alquiler de coches nuevos; la operación se cierra en el ejercicio 2023 [5,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Deal Builder pasa a formar parte de la oferta básica en mayo; en noviembre los concesionarios organizan una campaña de bajas en redes sociales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su nombre a Autotrader Group plc (14 de enero) y anuncia c.600 M GBP de retribución al accionista para el ejercicio 2027 [1,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Autotrader Group gestiona el mayor mercado digital de coches del Reino Unido. Su plataforma reúne a compradores (81,7 millones de visitas al mes y 548 millones de minutos mensuales en el ejercicio 2026) con una media de 13.942 puntos de venta de concesionarios (forecourts) que anuncian 451.000 coches en vivo [1]. Vende tres cosas: paquetes de anuncios y productos de visibilidad a concesionarios (Trade, 531,3 M GBP en 2026, de ellos Retailer 501,1 M, Home Trader 16,7 M y Other 13,5 M); servicios al consumidor, sobre todo anuncios de particulares y servicios de motor como seguros y financiación (Consumer Services, 38,8 M); y publicidad de marcas y agencias (Manufacturer &amp; Agency, 15,2 M) [1, 16]. Además vende datos, valoraciones y API a más de 220 socios tecnológicos (155 millones de llamadas al mes) y, a través de Autorama, intermedia el alquiler de coches nuevos (39,0 M de ingresos) [1]. Todo el negocio está en el Reino Unido; la sede está en Manchester.</w:t>
      </w:r>
    </w:p>
    <w:p>
      <w:pPr>
        <w:pStyle w:val="Heading2"/>
      </w:pPr>
      <w:r>
        <w:t xml:space="preserve">Cómo gana dinero</w:t>
      </w:r>
    </w:p>
    <w:p>
      <w:pPr>
        <w:spacing w:after="100"/>
      </w:pPr>
      <w:r>
        <w:t xml:space="preserve">El grueso de los ingresos es una suscripción mensual: los concesionarios contratan un paquete de anuncios según el número de coches que anuncian, con preaviso de 30 días y facturación mensual a mes vencido, y añaden productos de visibilidad y datos [1]. Los ingresos de Retailer son forecourts por ingreso medio por concesionario (ARPR, 2.995 GBP al mes en 2026, +5 %) [1, 16]. El ARPR crece por tres palancas: precio (+117 GBP en 2026), producto (+72 GBP) y volumen de coches pagados (−48 GBP) [16]. Casi todo el coste es fijo (personal, tecnología, marketing), así que el margen operativo del negocio Autotrader se mantiene en el 70 % (408,0 M GBP sobre 585,3 M) [1]. Los particulares pagan por adelantado anuncios de dos a seis semanas [1]. La estacionalidad es baja; la palanca de volumen depende del stock de coches usados que tengan los concesionarios.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auditor describe un gran volumen de transacciones sin concentración significativa, y los ingresos de concesionarios se reparten entre 13.942 forecourts de media en 2026 (14.013 en 2025, 13.783 en 2024) [1, 16]. Los contratos son mensuales con 30 días de preaviso, pero la base es estable porque más del 80 % de las visitas llega directo a Autotrader y su audiencia supone más del 75 % de los minutos en portales de coches [1]. El poder de precios se ve en el ARPR: de 1.546 GBP al mes en el ejercicio 2017 a 2.995 GBP en 2026, con +12 % en 2024, +5 % en 2025 y +5 % en 2026 [11, 16]. La subida de tarifas de abril bajó del 8 % en 2025 al 5,5 % en 2026 [27]. Para 2027 la empresa espera +85-95 GBP de la palanca precio y +65-75 GBP de producto, con −30-40 GBP de stock y forecourts un 1-2 % más bajos [16]. El límite apareció en noviembre de 2025: la campaña de concesionarios contra el despliegue acelerado de Deal Builder coincidió con 236 forecourts menos (−1,7 %) en el segundo semestre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 de concesionarios (número)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menos (−1,7 %) en el segundo semestre del FY2026; guía FY2027: −1-2 %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(+141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+117, producto +72, stock −48 GBP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precio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producto del 1-abr-2025, con Co-Driver incluido; guía FY2027: 85-95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stock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stock de pago desde noviembre de 2025; guía FY2027: −30-40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producto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Co-Driver y más concesionarios de coche nuevo, con menor penetración de paquetes; guía FY2027: 65-75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anunciados de media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Usados 428.000 (429.000) y nuevos 23.000 (20.000), con una oferta de stock gratuita al inicio del año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Minutos de uso al mes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 millones de visitantes únicos al mes; más del 80 % de las visitas llegan directas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Vehículos entregados por Autorama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3.804 originados en Autotrader (976); comisión media por unidad 1.167 GBP (1.627)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de coches (sobre todo usados) en el Reino Unido: portales donde concesionarios y particulares anuncian vehículos y por los que pagan suscripciones o anuncios. No hay estadística pública de su tamaño en libras, así que el informe mide el mercado subyacente: las transacciones de coches usados que publica la SMMT con datos de la DVLA (7,81 millones en el año natural 2025) [17, 18], contrastadas con la serie de Autotrader en ejercicio a marzo (7,7 millones en los 12 meses a marzo de 2026, con 2,1 millones de matriculaciones nuevas) [1]. Se usa la serie de la SMMT por ser la fuente oficial y anual. La concentración se mide por cuota de minutos de audiencia en portales de coches (Comscore), que publica Autotrader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7,81 millones de transacciones de coches usados en 2025 (+2,2 %) [18]; 7,7 millones en los 12 meses a marzo de 2026 según Autotrader [1]. Con 2,1 millones de matriculaciones nuevas, el mercado total se acerca a 10 millones de transacciones al año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ransacciones de coches usados (año natural, SMM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compraventas de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7,81 millones de transacciones en 2025, tercer año de crecimiento (+2,2 %); en 2022 cayeron un 8,5 % hasta 6,89 millones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coches de 5-7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2,5 millones de matriculaciones perdidas en la pandemia llevan a una caída prevista del 17 % de la oferta de coches de 5-7 años en los dos próximos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eléctricos usados crecieron un 45,7 % en 2025 hasta 274.815 (3,5 % del mercado) [18]; los eléctricos nuevos llegaron al 23,4 % de las matriculaciones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coches en línea (digital retailing)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operaciones enviadas por Deal Builder pasaron de 14.000 en 2024 a 137.000 en 2026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compra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de la audiencia de Autotrader llega desde asistentes de IA; la empresa usa más de 50 modelos de IA y ya tiene integración con ChatGPT vía MCP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 los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limitó la subida de tarifas de 2026 al 5,5 % (8 % en 2025) citando el alza de costes laborales de los concesionarios tras los presupuestos [27]; forecourts −1,7 % en el segundo semestre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Autotrader tiene más del 75 % de los minutos en portales de coches y es 11 veces mayor en tiempo que su competidor más cercano (un grupo de cuatro marcas) y 22 veces mayor que CarGurus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14.000 forecourts muy fragmentados, pero capaces de organizarse: un grupo de protesta en Facebook reunió 1.900 miembros en noviembre de 2025 y la subida de tarifas bajó del 8 % al 5,5 % [25,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personal, nube y datos; Autotrader compró en 2019 a su proveedor de datos de vehículos (KeeResources) para controlar la taxonomía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audiencia es la barrera (6 veces más tiempo que todos sus rivales juntos), pero la empresa espera que Amazon lance Amazon Autos en el Reino Unido y vigila a grandes tecnológicas y redes sociales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podría desintermediar los portales o dirigir al comprador a los anuncios sin que el concesionario pague visibilidad; hoy menos del 1 % del tráfico viene de asistentes de IA [1].</w:t>
            </w:r>
          </w:p>
        </w:tc>
      </w:tr>
    </w:tbl>
    <w:p>
      <w:pPr>
        <w:spacing w:after="160" w:before="0"/>
      </w:pPr>
    </w:p>
    <w:p>
      <w:pPr>
        <w:pStyle w:val="Heading2"/>
      </w:pPr>
      <w:r>
        <w:t xml:space="preserve">Ciclo</w:t>
      </w:r>
    </w:p>
    <w:p>
      <w:pPr>
        <w:spacing w:after="100"/>
      </w:pPr>
      <w:r>
        <w:t xml:space="preserve">Las compraventas de usados llevan tres años creciendo y en 2025 alcanzaron 7,81 millones, aún por debajo del nivel previo a la pandemia que Autotrader sitúa cerca de 10 millones de transacciones totales [1, 18]. El crecimiento se frena (+1 % en los 12 meses a marzo de 2026) y la oferta de coches de 5-7 años caerá un 17 % [1]. En 2020 las transacciones bajaron a 6,75 millones y Autotrader regaló anuncios: su ARPR cayó a 1.324 GBP al mes en el ejercicio 2021 [7, 17]. En 2022 las transacciones cayeron un 8,5 % [17]. No hay datos citables de 2008-09 en las fuentes leídas.</w:t>
      </w:r>
    </w:p>
    <w:p>
      <w:pPr>
        <w:pStyle w:val="Heading2"/>
      </w:pPr>
      <w:r>
        <w:t xml:space="preserve">Regulación</w:t>
      </w:r>
    </w:p>
    <w:p>
      <w:pPr>
        <w:spacing w:after="100"/>
      </w:pPr>
      <w:r>
        <w:t xml:space="preserve">La ley de mercados digitales y consumidores (DMCC) dio a la CMA poderes directos de sanción: el 27 de marzo de 2026 abrió una investigación sobre reseñas en línea que incluye a Autotrader y a su moderador Feefo [1]. La FCA confirmó el 30 de marzo de 2026 un plan de compensación por comisiones en financiación de coches, paralizado tras recursos de varios prestamistas; Autotrader cree no tener responsabilidad directa [1]. Sus filiales reguladas por la FCA (intermediación de crédito en Deal Builder y alquiler) siguen el régimen de directivos y Consumer Duty [1]. El mandato ZEV, las ayudas a eléctricos de menos de 37.000 GBP y un impuesto por milla a eléctricos previsto para 2028 condicionan la oferta de coches [1].</w:t>
      </w:r>
    </w:p>
    <w:p>
      <w:pPr>
        <w:pStyle w:val="Heading2"/>
      </w:pPr>
      <w:r>
        <w:t xml:space="preserve">Tendencias y disrupción</w:t>
      </w:r>
    </w:p>
    <w:p>
      <w:pPr>
        <w:spacing w:after="100"/>
      </w:pPr>
      <w:r>
        <w:t xml:space="preserve">La compra se digitaliza: Deal Builder permite valorar el coche usado, pedir financiación y reservar en línea, y sus operaciones pasaron de 14.000 a 137.000 en dos años [16]. La IA generativa cambia la búsqueda: Autotrader lanzó búsqueda por lenguaje natural, descripciones automáticas Co-Driver (2,7 millones generadas) e integración con ChatGPT por MCP, mientras menos del 1 % de su tráfico viene de asistentes de IA [1, 16]. La empresa considera la IA agéntica un riesgo de desintermediación [1]. Entran marcas chinas y crece el eléctrico (23,4 % de las matriculaciones nuevas) [1]. Amazon prepara Amazon Autos en el Reino Unido [1]. Autotrader gana si se mantiene como fuente de datos de referencia; pierde si los agentes de IA capturan la relación con el comprador.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de coches del Reino Unido por audiencia: más del 75 % de los minutos en portales de coches, 11 veces el tiempo de su competidor más cercano y 6 veces el de todos sus rivales principales juntos [1]. En alquiler de coches nuevos (Autorama) es un actor menor, con 39,0 M GBP de ingresos y pérdidas operativas de 2,0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 (CarGurus UK y PistonHeads)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907,0 M USD, de ellos 79,7 M fuera de EE. UU. (Reino Unido y Canadá); 8.360 concesionarios de pago internacionales [19]. En el Reino Unido Autotrader le supera 22 veces en minutos y 74 veces a PistonHeads [16].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Motors.co.uk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Portal de anuncios para concesionarios; Autotrader le supera 47 veces en minutos [16]. Sin cuentas leídas.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eBay y Gumtree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Clasificados generalistas con fuerte peso del particular; Autotrader les supera 41 veces (eBay) y 25 veces (Gumtree) en minutos [16]. Cuota conjunta: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Carwow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Comparador de coches nuevos y de venta de coches usados a concesionarios; Autotrader le supera 66 veces en minutos [16]. Privada, sin cuentas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portal de coches en EE. UU.: ingresos de 723,2 M USD y beneficio operativo de 60,3 M en 2025 [20].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 (carsales)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ingresos 1.253 M AUD, EBITDA proforma 700 M y amortizaciones 101 M [21]. Margen EBIT proforma (antes de partidas significativas).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RMV.L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 inmobiliario de referencia: ingresos 425,1 M GBP y beneficio operativo de 287,9 M en 2025 (subyacente 297,7 M, 70 %); ARPA 1.621 GBP al mes (+6 %)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Scout24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G24.DE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Clasificado inmobiliario alemán: ingresos 649,6 M EUR, EBITDA 341,3 M y EBIT 291,7 M en 2025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veces más tiempo que todos sus rivales principales juntos, 67 % de su audiencia no visita otros portales y 451.000 coches en vivo; la ventaja frente al competidor más cercano pasó de 10 a 11 veces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mensuales con 30 días de preaviso, pero datos y API integrados en los sistemas de los clientes (155 millones de llamadas al mes, 220 socios); la campaña de bajas de noviembre de 2025 dejó menos de 100 bajas o rebajas según el CEO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visitas llega directo (app, URL o búsqueda de la marca) y solo el 4 % de tráfico pagado; marca con casi 50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70 % en Autotrader frente al 26,9 % de CarGurus y el 8,3 % de Cars.com; marketing de solo 21,9 M GBP (3,5 % de los ingresos)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nacional de unos 14.000 forecourts donde el segundo actor por minutos es 22 veces menor; los rivales internacionales (CarGurus) solo facturan 79,7 M USD fuera de EE. UU. [1, 2, 5].</w:t>
            </w:r>
          </w:p>
        </w:tc>
      </w:tr>
    </w:tbl>
    <w:p>
      <w:pPr>
        <w:spacing w:after="160" w:before="0"/>
      </w:pPr>
    </w:p>
    <w:p>
      <w:pPr>
        <w:pStyle w:val="Heading2"/>
      </w:pPr>
      <w:r>
        <w:t xml:space="preserve">Amenazas</w:t>
      </w:r>
    </w:p>
    <w:p>
      <w:pPr>
        <w:spacing w:after="100"/>
      </w:pPr>
      <w:r>
        <w:t xml:space="preserve">Tres amenazas con hechos. La primera, los propios clientes: el despliegue obligatorio de Deal Builder, con reserva por 99 GBP y un botón que sustituía a «Mensaje», generó en noviembre de 2025 una campaña de bajas y 236 forecourts menos en el semestre, y la subida de tarifas bajó al 5,5 % [1, 25, 27]. La segunda, la IA agéntica: la empresa reconoce el riesgo de que los asistentes desintermedien el portal o lleven al comprador al anuncio sin que el concesionario pague visibilidad, aunque hoy aporta menos del 1 % del tráfico [1]. La tercera, un entrante con capital: la empresa espera que Amazon lance Amazon Autos en el Reino Unido [1]. Los rivales actuales están lejos: ninguno supera la vigésima parte del tiempo de Autotrader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8,0 %</w:t>
      </w:r>
      <w:r>
        <w:t xml:space="preserve">, EBITDA </w:t>
      </w:r>
      <w:r>
        <w:rPr>
          <w:b/>
          <w:bCs/>
        </w:rPr>
        <w:t xml:space="preserve">7,7 %</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311,4 M en el FY2017 a 624,3 M en el FY2026 [2, 11]. El FY2021 no es comparable: los descuentos a concesionarios por la COVID-19 hundieron el ARPR un 32 % hasta 1.324 GBP y los ingresos un 29 % [7]; el FY2022 recuperó (+65 %) y el margen operativo volvió al 70 % [6]. Desde el FY2023 el grupo incluye Autorama, un negocio de alquiler de coches nuevos con margen negativo y coste de ventas de vehículos (15,7-29,9 M al año), que diluye el margen operativo del grupo hasta el 63 % frente al ~70 % de Autotrader [2, 4].</w:t>
      </w:r>
    </w:p>
    <w:p>
      <w:pPr>
        <w:spacing w:after="100"/>
      </w:pPr>
      <w:r>
        <w:t xml:space="preserve">El crecimiento del FY2026 (+4 %) se apoyó en el ARPR (+5 %, 2.995 GBP al mes), con el precio aportando 117 GBP, el producto 72 GBP y el stock restando 48 GBP; los forecourts medios bajaron un 0,5 % hasta 13.942 [2]. El segundo semestre creció un 3 % y el cuarto trimestre menos, por la reacción de los concesionarios al despliegue de Deal Builder [2]. Desde el FY2025 el impuesto británico sobre servicios digitales se presenta aparte (10,2 M y 10,6 M) [2, 3]. El tipo impositivo saltó del 19 % al 25 % desde el FY2024 [4].</w:t>
      </w:r>
    </w:p>
    <w:p>
      <w:pPr>
        <w:pStyle w:val="Heading2"/>
      </w:pPr>
      <w:r>
        <w:t xml:space="preserve">Ajustes y partidas no recurrentes</w:t>
      </w:r>
    </w:p>
    <w:p>
      <w:pPr>
        <w:spacing w:after="100"/>
      </w:pPr>
      <w:r>
        <w:t xml:space="preserve">Se usan cifras reportadas. El EBITDA es el beneficio operativo más amortizaciones y depreciaciones (incluida la de derechos de uso); incluye el 49 % de Dealer Auction por el método de la participación (participadas_en_ebitda, 0,9-4,1 M al año) [2]. Partidas no recurrentes dentro del EBITDA: el pago diferido de 49,9 M por Autorama, condicionado a la permanencia de los vendedores y por eso registrado como gasto de personal en costes centrales: 38,8 M en el FY2023 y 11,1 M en el FY2024 [4]. Fuera del resultado operativo: plusvalías por venta de filiales de 8,7 M (FY2019) y 19,1 M (FY2023), incluidas en el resultado financiero de la tabla para que cuadre con el beneficio antes de impuestos [4, 8]. La amortización de intangibles de Autorama (13,3 M en el FY2026) es recurrente hasta su vencimiento y se queda en el EBIT [2]. El FY2017 tuvo 369 días y el FY2018, 365 [10]. FY2017-FY2018 sin NIIF 16; FY2019 reexpresado con NIIF 16 en las cuentas del FY2020 [8, 10]. La cuenta se presenta como costes operativos por naturaleza (personal, marketing, coste de vehículos, otros), sin coste de ventas ni gastos generales por función: formato «naturaleza», con coste_ventas = coste de los vehículos de Autorama.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primer semestre (6-nov-2025) la dirección mantuvo la guía del año y puso el foco en la IA: Co-Driver, lanzado en el evento de precios del 1-abr-2025, y una cartera de productos de IA sobre sus datos propios; reconoció que el 18 % de su audiencia llega por búsqueda orgánica y que los asistentes de IA serán una interfaz alternativa [12]. Deal Builder ganó unos 2.000 concesionarios en el semestre, hasta más de 4.000 [12].</w:t>
      </w:r>
    </w:p>
    <w:p>
      <w:pPr>
        <w:spacing w:after="100"/>
      </w:pPr>
      <w:r>
        <w:t xml:space="preserve">En los resultados anuales (21-may-2026) el discurso cambió: el crecimiento del segundo semestre se quedó en el 3 %, el cuarto trimestre fue más flojo y la dirección atribuyó parte a la reacción de los concesionarios a la velocidad y la forma del despliegue de Deal Builder; pausó el despliegue automático, abrió sesiones de escucha y grupos asesores de clientes e introdujo «request a reservation» antes de retomarlo [2]. Los ingresos de concesionarios crecieron un 4 % frente a la guía de 5-7 % dada en mayo de 2025 [2, 3]. El consejo afirmó que la cotización no refleja los fundamentales y anunció c. 600 M de retorno en el FY2027 (c. 500 M en recompras), con apalancamiento de hasta c. 1,0x [2]. Para el FY2027 avanzó ingresos de Autotrader planos en abril, recuperación en el segundo semestre y beneficio operativo de 395-415 M [2]. También insistió en que menos del 1 % de la audiencia llega desde asistentes de IA generativa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(FY2023: Autorama (Vanarama), comprada el 22-jun-2022 por 150 M en caja más 50 M diferidos en acciones: consolida unos nueve meses y medio del ejercicio [4, 5]. Venta de la filial irlandesa con una plusvalía de 19,1 M, fuera del resultado operativo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Tras la salida a bolsa de 2015 el grupo llegó con 363 M de deuda bruta y patrimonio negativo en el FY2017, fruto de la reserva de reorganización de −1.060,8 M [10]. La ampliación de capital de 183,2 M de la COVID-19 en el FY2021 y la caja generada llevaron a caja neta en el FY2022 [6, 7]. La compra de Autorama (FY2023) se financió en parte con el RCF (60 M dispuestos) y en el FY2025 la deuda bancaria volvió a cero [3, 4]. En el FY2026 la empresa aceleró las recompras y dispuso 165 M; la deuda bancaria neta fue de 146,8 M y el apalancamiento de 0,3x [2]. El circulante es negativo y estable: clientes de 82,1 M frente a acreedores de 60,1 M, con existencias mínimas (4,3 M de vehículos de Autorama) [2]. El patrimonio cayó de 569,4 M a 407,1 M en el FY2026 por las amortizaciones de acciones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2.238</w:t>
      </w:r>
      <w:r>
        <w:t xml:space="preserve">, conversión </w:t>
      </w:r>
      <w:r>
        <w:rPr>
          <w:b/>
          <w:bCs/>
        </w:rPr>
        <w:t xml:space="preserve">103 %</w:t>
      </w:r>
      <w:r>
        <w:t xml:space="preserve"> del beneficio neto; adquisiciones 221, dividendos 615, recompras 1.398.</w:t>
      </w:r>
    </w:p>
    <w:p>
      <w:pPr>
        <w:spacing w:after="100"/>
      </w:pPr>
      <w:r>
        <w:t xml:space="preserve">La conversión en caja es muy alta y estable: el efectivo generado por las operaciones fue de 418,0 M en el FY2026, un 106 % del beneficio operativo, con circulante casi neutro [2]. El flujo operativo es después de impuestos (95,2 M pagados en el FY2026) y los intereses bancarios se pagan en financiación [2]. El capex de mantenimiento es mínimo: 1,4-4,0 M al año entre el FY2019 y el FY2025 [3, 4, 6, 7, 8]; el FY2026 sube a 27,4 M por el acondicionamiento de la nueva sede de Manchester (25,1 M, no recurrente), compensado en parte por 4,5 M de ventas de inmovilizado, entre ellas la oficina de Hemel Hempstead [2]. Las compras de intangibles son casi nulas (0,1 M en el FY2026), sin capitalización significativa de desarrollo. El FY2021 es anómalo por la COVID-19 (124,7 M) y la ampliación de capital de 183,2 M [7]. Las adquisiciones del FY2023 (153,6 M) son Autorama (144,2 M netos de caja), un pago aplazado de una compra anterior (8,1 M) y 1,3 M en participaciones [4]. Los dividendos de Dealer Auction (4,9 M en el FY2026) van en inversión, no en el flujo operativo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al grupo desde el FY2017; tras un concurso obligatorio, el consejo lo volvió a nombrar para el FY2027 y el socio responsable rotó en 2025 [1, 2]. La opinión del FY2026 es favorable, con dos asuntos clave: la recuperabilidad del fondo de comercio de Autorama y el reconocimiento de ingresos de concesionarios, que el auditor considera de bajo riesgo por el gran número de transacciones pequeñas [1]. El fondo de comercio de Autorama (92,5 M) solo tiene 16,8 M de holgura y depende de que las entregas de coches crezcan un 44 % anual durante cinco años; con un 40 % la holgura desaparece [1]. No hay capitalización relevante de desarrollo (intangibles comprados por 0,1 M en el FY2026) [2]. Los pagos en acciones fueron de 9,2 M (3,1 % del beneficio) y la empresa prevé 14 M en el FY2027 [2]. El impuesto pagado (95,2 M) coincide con el contable (94,9 M) [2]. El pago diferido de Autorama (49,9 M) se llevó a resultados como gasto de personal en FY2023-FY2024, lo que penaliza esos dos años [4]. El patrimonio es bajo por una reserva de reorganización de −1.060,8 M heredada de la salida a bolsa, no por pérdidas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con poca holgura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 16,8 M sobre un valor contable de 118,1 M; el escenario combinado de la empresa daría un deterioro de 30,3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diferido de compra registrado como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 M (FY2023) y 11,1 M (FY2024) en costes centrales; ya terminado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M en el FY2026 y c. 14 M previstos en el FY2027, un 2 % de los ingresos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regulatorias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opiniones de consumidores (marzo de 2026) sin provisión; la empresa dice no tener exposición directa al plan de compensación de la FCA por financiación de coches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la reserva de reorganización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de −1.060,8 M de la salida a bolsa; distorsiona el ROE y el Altman Z, no la solvencia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428 M en FY2026 (el 74 % del capital invertido medio); ha subido más de un 5 % en 1 de 9 años: compra única grande. ROIC publicado 50,9 %; sin fondo de comercio, 197,2 %.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54,3 % · </w:t>
      </w:r>
      <w:r>
        <w:rPr>
          <w:b/>
          <w:bCs/>
        </w:rPr>
        <w:t xml:space="preserve">WACC</w:t>
      </w:r>
      <w:r>
        <w:t xml:space="preserve">: 9,1 %.</w:t>
      </w:r>
    </w:p>
    <w:p>
      <w:pPr>
        <w:spacing w:after="100"/>
      </w:pPr>
      <w:r>
        <w:rPr>
          <w:b/>
        </w:rPr>
        <w:t xml:space="preserve">Auto Trader crea valor como pocas empresas cotizadas.</w:t>
      </w:r>
      <w:r>
        <w:t xml:space="preserve"> El ROIC después de impuestos ha estado entre el 46 % y el 56 % todos los años de la década salvo FY2021, cuando bajó al 29,4 % por los meses de anuncios gratis del confinamiento; en FY2026 fue del 50,9 %, 41,8 puntos por encima del WACC del 9,1 %; sin el fondo de comercio de la compra de 2014 sería del 197 %. Lo sostiene el margen, no la rotación: un 66 % de EBITDA con un capital invertido de unos 600 M, casi todo fondo de comercio de la compra de 2014 [1, 2]. El negocio apenas necesita capital: el capex normal es el 0,6-0,7 % de las ventas y el circulante, el 4-5 %. La única inversión que no ha rendido es Autorama, con 92,5 M de fondo de comercio y pérdidas en los cuatro años [1, 2]. Entre los clasificados, solo Rightmove tiene un margen mayor (72 % frente a 66 %) [58].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 M y crédito sindicado revolvente (RCF) de 200 M con 165 M dispuestos a 31-mar-2026; el 15-may-2026 se activó el acordeón de 100 M y la línea quedó en 300 M, toda con vencimiento en febrero de 2030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RCF: deuda bancaria neta / EBITDA no superior a 3,5x y EBITDA / intereses netos no inferior a 3,0x; apalancamiento de 0,3x a marzo de 2026, con holgura amplia, y la empresa prevé c. 1,0x tras las recompras del FY2027 [2]. Margen del RCF: SONIA más 1,2-2,1 % según el apalancamiento [2]. Arrendamientos de 42,6 M, casi todos de la nueva sede de Circle Square en Manchester (pasivo inicial de 40,1 M en junio de 2025) [2]. Préstamo de financiación de stock de vehículos de Autorama (intereses de 0,3 M), fuera de la deuda bancaria neta [2]. Superávit de pensiones de prestación definida pequeño (0,2 M en el FY2025, cero en el FY2026) [2]. Pasivos contingentes: investigación de la CMA sobre opiniones de consumidores (27-mar-2026) y plan de compensación de la FCA por comisiones de financiación de coches, sin exposición directa según la empresa [2].</w:t>
      </w:r>
    </w:p>
    <w:p>
      <w:pPr>
        <w:pStyle w:val="Heading1"/>
      </w:pPr>
      <w:r>
        <w:t xml:space="preserve">12. Asignación de capital</w:t>
      </w:r>
    </w:p>
    <w:p>
      <w:pPr>
        <w:pStyle w:val="Confianza"/>
        <w:spacing w:after="100"/>
      </w:pPr>
      <w:r>
        <w:t xml:space="preserve">Confianza: Alta</w:t>
      </w:r>
    </w:p>
    <w:p>
      <w:pPr>
        <w:spacing w:after="100"/>
      </w:pPr>
      <w:r>
        <w:t xml:space="preserve">La prioridad declarada es invertir en el negocio y devolver aproximadamente un tercio del beneficio neto en dividendos; el resto se recompra [2]. En el FY2026 devolvió 463,2 M: 94,1 M en dividendos y 369,1 M en 58,5 M de acciones (6,6 % del capital) a un precio medio de 630,1 p, financiadas en parte con 165 M del RCF [2]. Para el FY2027 prevé devolver c. 600 M (c. 500 M en recompras y un tercio del beneficio en dividendos), con un apalancamiento de c. 1,0x, y pidió en la junta de 2026 autorización para recomprar hasta el 15 % del capital [2]. El dividendo final propuesto es de 7,8 p (11,6 p en el año, +9 %) [2]. Casi todas las acciones recompradas se amortizan; una parte va a autocartera para los planes de empleados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Trade Delivery (mercado de transporte de vehículos entre profesionales)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Autotrader; sin deterioro publicado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de Dealer Auction (empresa conjunta con Cox Automotive)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en caja y aportación del negocio Smart Buying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la participada de 4,1 M y dividendos de 4,9 M en el FY2026; valor contable de 46,6 M [2,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KeeResources (datos de vehículos)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de datos integrado en la plataforma; sin deterioro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AutoConvert (plataforma de financiación de coches)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 M de ingresos en el FY2021; integrado en Autotrader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Autorama (Vanarama), alquiler de vehículos nuevos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M en caja (en parte con el RCF) y 50 M diferidos en acciones condicionados a permanencia (49,9 M pagados)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plan: pérdidas operativas de 11,2 M, 8,8 M, 4,3 M y 2,0 M en FY2023-FY2026, más 13,3 M anuales de amortización de intangibles; holgura de su fondo de comercio de solo 16,8 M [1, 2, 4]. En el año natural 2021 tenía un EBITDA negativo de 6 M [6].</w:t>
            </w:r>
          </w:p>
        </w:tc>
      </w:tr>
    </w:tbl>
    <w:p>
      <w:pPr>
        <w:spacing w:after="160" w:before="0"/>
      </w:pPr>
    </w:p>
    <w:p>
      <w:pPr>
        <w:spacing w:after="100"/>
      </w:pPr>
      <w:r>
        <w:t xml:space="preserve">Entre el FY2017 y el FY2026 la empresa recompró acciones por unos 1.398 M y pagó dividendos por unos 615 M, frente a unos 220 M pagados en caja por compras de empresas [2, 3, 4, 5, 6, 7, 8, 9, 10, 11]. Las acciones diluidas bajaron de 991,8 millones a 862,7 millones (−13 %) pese a la ampliación de 2020 [2, 11]. La ampliación de 183,2 M a 400 p en la COVID-19 se recompró después a precios más altos (673,0 p de media en el FY2024 y 630,1 p en el FY2026) [2, 4, 7]. Las compras pequeñas de datos y tecnología encajaron; la mayor, Autorama, no ha dado beneficio en cuatro años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Auto Trader en 2007 para dirigir el paso de revista a negocio digital; consejero desde abril de 2017 como director de operaciones y financiero desde julio de 2017, y CEO desde el 1 de marzo de 2020. Antes, fusiones y adquisiciones en Telstra y consultor en PwC [1]. Entre FY2020 y FY2026 los ingresos del grupo pasaron de 368,9 a 624,3 M GBP (con la compra de Autorama) y el beneficio operativo de 258,9 a 392,7 M; el ARPR, de 1.949 a 2.995 GBP al mes [2, 8]. Tiene 3.519.827 acciones con su cónyuge (0,452 % según el aviso de agosto de 2026), equivalentes al 2.255 % de su salario a 31-mar-2026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Auto Trader desde 2012 en finanzas comerciales, información financiera, precios y relación con inversores; director financiero adjunto y designado antes de su nombramiento en marzo de 2020. Antes fue corredor de derivados de fletes en GFI y trabajó en una empresa emergente (Swapit). Contable colegiado (CIMA) [1]. Su participación (153.406 acciones a 31-mar-2026, más 4.377 compradas y 36.453 retenidas en 2026) es una estimación propia sobre 768,0 M de derechos de voto [1, 36, 40,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designado desde el 1 de julio de 2023 y presidente desde la junta de septiembre de 2023. Antes, consejero delegado de Tesco UK &amp; ROI (2015-2018) y de Pets at Home y Halfords; preside Greggs plc y Travel Counsellors; expresidente de N Brown. Contable colegiado [1]. Ha comprado unas 16.277 acciones en el mercado en mayo y junio de 2026 (unos 75.000 GBP) [35, 37, 38]. El consejo ya ha aprobado prorrogar su mandato hasta el 30-jun-2029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Faiers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(COO), salida en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años en Auto Trader; anunció el 31-oct-2025 que dejaba la compañía para ser consejera delegada de otra cotizada británica (Moonpig plc). Salió del consejo el 9-dic-2025 y de la plantilla el 27-feb-2026 [1, 32, 33]. Sin indemnización por cese y sin trato de good leaver: sus PSP y bonos diferidos de 2023-2025 caducaron [1]. No se ha nombrado sustituto directo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Claire Baty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 y directora de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Auto Trader desde julio de 2015; responsable de gobierno corporativo, servicios jurídicos, cumplimiento normativo, compras y gestión de riesgos. Antes, secretaria adjunta del consejo de Betfair Group y secretaria del consejo de Centaur Media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2021: ARPR con crecimiento de un dígito alto sobre FY2020 (1.949 GBP al mes), margen operativo en línea con FY2020 (70 %) y concesionarios en línea con FY2020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de 2.210 GBP (+13 % sobre FY2020), margen operativo del 70 % y 13.964 concesionarios de media (+5 %)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2022: buen año de ARPR, con la palanca de producto por encima de 2021 y por debajo de 2022, precio similar al año anterior, stock plano, concesionarios ligeramente a la baja y margen del 70 %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+10 % (2.437 GBP): producto 137 GBP (2022: 121), precio 90 GBP (74), stock plano; 13.913 concesionarios (2022: 13.964); margen de Auto Trader del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junio de 2023: ARPR con un crecimiento similar al de FY2023 (+10 %), producto en torno a 137 GBP, precio algo por encima de 90 GBP, stock plano; margen de Auto Trader del 70 %; reducir las pérdidas de Autorama (15 M GBP anualizadas); costes centrales de unos 18 M GBP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+12 % (2.721 GBP): producto 136, precio 114 y stock +34 GBP; margen del 71 %; pérdida de Autorama de 8,8 M GBP; costes centrales de 21,1 M GBP, por encima de lo previsto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2024: palancas del ARPR de +90-100 GBP (precio), +120-130 GBP (producto) y +20-40 GBP (stock); concesionarios ligeramente a la baja; margen de Auto Trader del 69 % con el impuesto digital (DST); menores pérdidas en Autorama [4]. En noviembre de 2024 rebajó el stock a ligeramente negativo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+5 % (+133 GBP): precio +78, producto +77 y stock −22 GBP; concesionarios +2 % (14.013); margen de Auto Trader del 70 %; pérdida de Autorama de 4,3 M GBP [2,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mayo de 2025, mantenida en noviembre de 2025: ingresos de concesionarios +5-7 %; palanca de precio de +90-100 GBP y de producto de +70-80 GBP; stock ligeramente negativo; Consumer Services y Manufacturer &amp; Agency estables; margen de Auto Trader mantenido; menores pérdidas en Autorama [3,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concesionarios +4 % (501,1 M GBP); precio +117, producto +72 y stock −48 GBP; Consumer Services −8 %; concesionarios −0,5 % (13.942); margen de Auto Trader del 70 %; pérdida de Autorama de 2,0 M GBP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y formado en casa: Nathan Coe es consejero delegado desde 2020 y lleva en la empresa desde 2007; Jamie Warner, director financiero desde 2020, desde 2012 [1]. La guía anual se cumplió de FY2022 a FY2024. Después se quedó corta: en FY2025 fallaron las palancas del ARPR (+133 GBP frente a los +230-270 previstos) y en FY2026 los ingresos de concesionarios crecieron un 4 % frente al 5-7 % de la guía, que se había mantenido en noviembre [2, 3, 4, 12]. La salida de la directora de operaciones (diciembre de 2025) no se ha cubierto con un relevo directo. La propia evaluación del consejo pide una planificación de la sucesión ejecutiva más estructurada, también para emergencias [1]. Para FY2027 la dirección guía un beneficio operativo de 395-415 M GBP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Geeta Gopalan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Auditoría,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James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Jasvinder Gakhal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Megan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(presidenta), 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Adam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0,32 / ventas 0,51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8,27 % en acciones y 1,65 %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10,36 % antes de sep-2025; 9,95 % (23-sep-2025); 10,00 % (11-may-2026); 9,92 % (28-may-2026) [1, 44,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en febrero de 2026 (5,12 %); máximo del 5,42 %; baja al 4,76 % en mayo de 2026 y vuelve al 5,27 % (16-sep-2026) [1,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 torno al 5 % (5,05 % en oct-2025; 4,99 % en abr-2026; 5,05 % en jun-2026); 4,96 % (24-jul-2026)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3 % el 22-may-2026 (24.885.477 acciones)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5.501.335 acciones en autocartera sobre 773.509.507 emitidas a 30-sep-2026; 58,5 M de acciones recompradas en FY2026 (6,65 %), la mayoría amortizadas [1, 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Amanda James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Jamie Warner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Geeta Gopalan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Jasvinder Gakhal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Adam Jay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Megan Quinn (consejera, con su cónyuge)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Jamie Warner (CFO),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Bonus anual (máximo del 150 % del salario del CEO): 75 % beneficio operativo y 25 % hitos estratégicos. En FY2026 pagó el 39,7 % del máximo: 392,7 M GBP de beneficio frente a un umbral de 380 M y un máximo de 415 M, más la mitad del tramo de Deal Builder pese a las quejas de los concesionarios [1]. PSP (250 % del salario): 70 % crecimiento del BPA (7-13 % anual en el plan de 2025, 6-12 % en el de 2026), 20 % ingresos y 10 % indicadores culturales; no mide ROIC, TSR ni caja. El plan de 2023 consolidó el 44,6 % [1]. Recuperación de 3 años (bonus) y 6 años (PSP), dos años de tenencia y acciones por el 200 % del salario. La COO salió sin indemnización [1].</w:t>
      </w:r>
    </w:p>
    <w:p>
      <w:pPr>
        <w:pStyle w:val="Heading2"/>
      </w:pPr>
      <w:r>
        <w:t xml:space="preserve">Operaciones vinculadas, estructura de control y defensas</w:t>
      </w:r>
    </w:p>
    <w:p>
      <w:pPr>
        <w:spacing w:after="100"/>
      </w:pPr>
      <w:r>
        <w:t xml:space="preserve">Sin accionista de control: el mayor es BlackRock, con el 9,92 % (parte en instrumentos), seguido de Fidelity (5,27 %), Baillie Gifford (4,96 %) y Norges Bank (3,06 %) [44, 45, 46, 47]. Una sola clase de acciones, un voto por acción, sin límites de voto ni restricciones a la transmisión [1]. El único contrato con cláusula de cambio de control es la línea de crédito sindicada, ampliada a 300 M GBP en mayo de 2026. Los planes de acciones pueden consolidarse en caso de OPA, y no hay indemnizaciones pactadas por cambio de control [1]. Las únicas operaciones vinculadas son la remuneración de consejeros y directivos [1]. La junta de 2026 renovó la autorización para recomprar hasta el 15 % del capital y para convocar juntas con 14 días de preaviso (95,56 % a favor) [1, 29].</w:t>
      </w:r>
    </w:p>
    <w:p>
      <w:pPr>
        <w:pStyle w:val="Heading2"/>
      </w:pPr>
      <w:r>
        <w:t xml:space="preserve">Señales de alerta</w:t>
      </w:r>
    </w:p>
    <w:p>
      <w:pPr>
        <w:pStyle w:val="ListParagraph"/>
        <w:numPr>
          <w:ilvl w:val="0"/>
          <w:numId w:val="2"/>
        </w:numPr>
        <w:spacing w:after="60"/>
      </w:pPr>
      <w:r>
        <w:t xml:space="preserve">Investigación de la CMA (27-mar-2026), con sus nuevos poderes de protección al consumidor, sobre las reseñas en línea de Autotrader y de su moderador Feefo. Figura como pasivo contingente sin importe [1].</w:t>
      </w:r>
    </w:p>
    <w:p>
      <w:pPr>
        <w:pStyle w:val="ListParagraph"/>
        <w:numPr>
          <w:ilvl w:val="0"/>
          <w:numId w:val="2"/>
        </w:numPr>
        <w:spacing w:after="60"/>
      </w:pPr>
      <w:r>
        <w:t xml:space="preserve">Salida de la directora de operaciones, Catherine Faiers (anunciada el 31-oct-2025, efectiva el 9-dic-2025), para ser consejera delegada de Moonpig plc. No hay sustituto directo y el consejo se ha reducido a dos ejecutivos [1, 32, 33].</w:t>
      </w:r>
    </w:p>
    <w:p>
      <w:pPr>
        <w:pStyle w:val="ListParagraph"/>
        <w:numPr>
          <w:ilvl w:val="0"/>
          <w:numId w:val="2"/>
        </w:numPr>
        <w:spacing w:after="60"/>
      </w:pPr>
      <w:r>
        <w:t xml:space="preserve">Auditor: KPMG desde FY2017. Tras el concurso obligatorio de febrero de 2026 se le reelige a partir de FY2027 (99,58 % en la junta de 2026) [29, 34].</w:t>
      </w:r>
    </w:p>
    <w:p>
      <w:pPr>
        <w:pStyle w:val="ListParagraph"/>
        <w:numPr>
          <w:ilvl w:val="0"/>
          <w:numId w:val="2"/>
        </w:numPr>
        <w:spacing w:after="60"/>
      </w:pPr>
      <w:r>
        <w:t xml:space="preserve">La consejera Amanda James también es consejera y presidenta de la comisión de auditoría de Rightmove plc, otro portal británico de anuncios [1].</w:t>
      </w:r>
    </w:p>
    <w:p>
      <w:pPr>
        <w:pStyle w:val="ListParagraph"/>
        <w:numPr>
          <w:ilvl w:val="0"/>
          <w:numId w:val="2"/>
        </w:numPr>
        <w:spacing w:after="60"/>
      </w:pPr>
      <w:r>
        <w:t xml:space="preserve">Bonus FY2026: se pagó el 50 % del tramo estratégico ligado a Deal Builder, el producto cuyo despliegue rechazaron parte de los concesionarios [1].</w:t>
      </w:r>
    </w:p>
    <w:p>
      <w:pPr>
        <w:pStyle w:val="ListParagraph"/>
        <w:numPr>
          <w:ilvl w:val="0"/>
          <w:numId w:val="2"/>
        </w:numPr>
        <w:spacing w:after="60"/>
      </w:pPr>
      <w:r>
        <w:t xml:space="preserve">La reelección del presidente es la votación con más voto en contra del consejo (3,37 % en 2024, 3,24 % en 2025 y 2,75 % en 2026), aunque es bajo [29, 30,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FY27 se dio con los resultados del 21-may-2026 y no se ha cambiado desde entonces (la junta del 16-jul-2026 no publicó actualización) [16, 51]. Beneficio operativo del grupo de 395-415 M GBP (392,7 M en FY26) con el margen operativo sin ventas de vehículos y accesorios al menos estable, y crecimiento del BPA básico de al menos un dígito alto gracias a recompras aceleradas [16]. Los ingresos de Autotrader estuvieron planos en abril de 2026; la empresa espera volver a crecer en el segundo semestre. Palancas del ARPR: precio +85-95 GBP, producto +65-75 GBP y stock −30-40 GBP; concesionarios medios −1-2 % en el año. Autorama con un pequeño beneficio y unos 40 M de ventas de vehículos. Retorno al accionista de ≈600 M GBP en FY27 (≈500 M en recompras y un tercio del beneficio neto en dividendos), con un apalancamiento de ≈1,0x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19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10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8,00</w:t>
            </w:r>
          </w:p>
        </w:tc>
      </w:tr>
    </w:tbl>
    <w:p>
      <w:pPr>
        <w:spacing w:after="160" w:before="0"/>
      </w:pPr>
    </w:p>
    <w:p>
      <w:pPr>
        <w:pStyle w:val="Heading2"/>
      </w:pPr>
      <w:r>
        <w:t xml:space="preserve">Revisiones de estimaciones</w:t>
      </w:r>
    </w:p>
    <w:p>
      <w:pPr>
        <w:spacing w:after="100"/>
      </w:pPr>
      <w:r>
        <w:t xml:space="preserve">Ninguna fuente gratuita publica la serie de revisiones a 3 y 12 meses en texto (MarketScreener solo la da en gráfico) [57]. Lo verificable: entre el 9 y el 15-oct el consenso apenas cambia (BPA FY29e de 0,4868 a 0,4919 GBP; ingresos FY29e de 716,5 a 718,2 M), y el EBIT de FY27e (412,6 M) sigue en la parte alta de la guía de 395-415 M [56]. El BPA del consenso supone que siguen las recompras: el beneficio neto de FY2029e (325,7 M) entre su BPA (0,4919) implica unos 662 M de acciones, un 13 % menos que hoy. La recomendación media es Mantener (6 compras, 10 mantener y 3 ventas) y el precio objetivo medio sigue en 5,59 GBP (de 4,10 a 8,00) [56,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bl>
    <w:p>
      <w:pPr>
        <w:spacing w:after="160" w:before="0"/>
      </w:pPr>
    </w:p>
    <w:p>
      <w:pPr>
        <w:spacing w:after="100"/>
      </w:pPr>
      <w:r>
        <w:t xml:space="preserve">La acción cae un 33,9 % en un año frente a una subida del 13,8 % del FTSE 100, y está un 38 % por debajo del máximo de 8,29 GBP del 6-nov-2025 [52]. La caída máxima de cinco años, del 53 %, va del 23-may-2025 al 28-may-2026, el periodo en que la empresa integró Deal Builder en su oferta básica con rechazo de parte de los concesionarios [1, 52]. Las mayores caídas diarias fueron el 21-may-2026 (−8,8 %), día de los resultados de FY26 con ingresos planos en abril, y el 7-nov-2025 (−5,9 %), tras los semestrales [16, 52]. Desde el mínimo de 4,19 GBP del 28-may-2026 sube un 22 %, con recompras de 62,1 M de acciones (≈7,5 % del capital) en seis meses [55, 73]; en la semana del corte rebotó con todo el sector de clasificados (Rightmove y Scout24 también suben) sin noticia propia. La posición corta agregada es del 6,55 % del capital (6,77 % una semana antes y 10,1 % en el pico del invierno), de las más altas del FTSE 100 [53].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marzo de cada ejercicio [52]. FY2021 se excluye: el beneficio de abril de 2020 a marzo de 2021 cayó por la gratuidad de los anuncios concedida a los concesionarios durante el confinamiento (cuatro meses gratis y uno con un 25 % de descuento; beneficio operativo −38 %, a 161,2 M GBP) [7], y el múltiplo de los últimos 12 meses a marzo de 2021 sale inflado. El cierre de FY2026, 4,695 GBP, es el más bajo desde el de marzo de 2020 (4,391 GBP, en pleno desplome por la pandemia) pese a que el BPA básico pasó de 0,256 GBP en FY2022 a 0,341 en FY2026 [1, 56]: la compresión es de múltiplo, no de beneficio.</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los dos líderes británicos o alemanes más parecidos (Rightmove, Scout24),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10,8x / 12,0x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12,3x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7,9x / 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8,9 + 0,20 × crecimiento; R² = 0,09. El crecimiento explica poco los múltiplos de estos comparables (R² &lt; 0,3): la regresión no se usa en la valoración.</w:t>
      </w:r>
    </w:p>
    <w:p>
      <w:pPr>
        <w:spacing w:after="100"/>
      </w:pPr>
      <w:r>
        <w:t xml:space="preserve">Auto Trader cotiza a 10,7 veces el EBITDA de los últimos 12 meses y 9,9 veces el de los próximos, con descuento sobre la mediana de sus comparables (12,3 y 10,8 veces) pese a tener el segundo margen más alto del grupo (66 % frente a una mediana del 55,9 %) y un crecimiento algo menor (consenso de +4-5 % frente al 7,3 %) [7, 56, 57, 58, 59, 60, 61, 62, 63, 64]. La mediana de EV/EBITDA y PER da 5,96 GBP; el PER de los próximos 12 meses del consenso (12,6 veces) queda por debajo de la mediana del grupo (15,5 veces). </w:t>
      </w:r>
      <w:r>
        <w:rPr>
          <w:b/>
        </w:rPr>
        <w:t xml:space="preserve">El descuento no se explica por el negocio sino por el miedo</w:t>
      </w:r>
      <w:r>
        <w:t xml:space="preserve">: Rightmove (12,3 veces), el negocio más parecido, sufre el mismo debate de la IA y cotiza con prima. Los dos comparables más baratos (Cars.com, 4,3 veces, y CarGurus, 8,0 veces) tienen márgenes de la mitad o menos y cuotas mucho menores en sus mercados. Usaríamos el EV/EBITDA de los próximos 12 meses; con la mediana del grupo, la acción vale lo que marca hoy el consenso de los analistas.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[66]. Valor empresa en GBP al tipo del 8-oct-2026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[70]. Valor empresa y múltiplos estimación propia: 6.200 M menos la caja neta de 31,5 M de 2023, sobre el EBITDA (269,6 M) y las ventas (364,3 M) de 2023 según MarketScreener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[71].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(24,5x – 26,2x)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 – 13,47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cerradas con múltiplo publicado se pagaron a 25-26,5x el EBITDA (AutoScout24 en 2019 y las dos mitades de Trader Interactive en 2021-2022) [66, 67, 68], en un entorno de tipos bajos. La propuesta de REA por Rightmove, el comparable más directo de Auto Trader por mercado y margen, implicaba ≈23x el EBITDA de 2023 y una prima del 41 %, y el consejo la rechazó por insuficiente [70]. Las primas en las exclusiones de bolsa recientes rondan el 41-54 % [69, 70, 71]. Auto Trader cotiza a ≈10x el EBITDA de FY26 [56]. Su tamaño, ≈3.700 M GBP de capitalización, está al alcance del capital privado que compró Adevinta y AutoScout24. El valor empresa se convierte a GBP con los tipos del Banco de Inglaterra del 8-oct-2026 [65];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+3,6 %: la guía da un beneficio operativo de 395-415 M con palancas del ARPR de +120-130 GBP (precio +85-95, producto +65-75 y stock −30-40) y forecourts −1-2 %, lo que deja los ingresos de concesionarios en +2,5-3 %; Autorama sube sus ventas de vehículos a ≈40 M [2]. Los ingresos de abril fueron planos [2]. El consenso da +3,9 % (648,6 M) [56]. FY2028e-FY2030e +4,5-5,0 %: el ARPR ha subido entre 77 y 136 GBP al año por precio desde FY2023 [2, 3, 4] y el parque de 37 millones de coches no cae; por debajo del 8 % anual de la década, que incluye la recuperación del confinamiento. Baja al 3,0 % en FY2034e.</w:t>
      </w:r>
    </w:p>
    <w:p>
      <w:pPr>
        <w:keepNext/>
        <w:spacing w:after="100"/>
      </w:pPr>
      <w:r>
        <w:rPr>
          <w:b/>
          <w:bCs/>
        </w:rPr>
        <w:t xml:space="preserve">Márgenes.</w:t>
      </w:r>
    </w:p>
    <w:p>
      <w:pPr>
        <w:spacing w:after="100"/>
      </w:pPr>
      <w:r>
        <w:t xml:space="preserve">Margen EBITDA del 66,0 % en FY2027e, el mismo de FY2026 sin Dealer Auction (412,0 M sobre 624,3 M) [2], con el impuesto digital (10,6 M) y la inversión en Deal Builder dentro. Sube hasta el 67 % desde FY2029e, por debajo del 69-71 % de FY2018-FY2022, antes de que Autorama y la inversión en producto rebajaran el del grupo [2, 6]. El consenso da un 66,3 % en FY2027e y un 66,7 % en FY2029e [56].</w:t>
      </w:r>
    </w:p>
    <w:p>
      <w:pPr>
        <w:keepNext/>
        <w:spacing w:after="100"/>
      </w:pPr>
      <w:r>
        <w:rPr>
          <w:b/>
          <w:bCs/>
        </w:rPr>
        <w:t xml:space="preserve">Inversión y circulante.</w:t>
      </w:r>
    </w:p>
    <w:p>
      <w:pPr>
        <w:spacing w:after="100"/>
      </w:pPr>
      <w:r>
        <w:t xml:space="preserve">Capex del 1,4 % de las ventas en FY2027e que sube al 2,0 % en FY2033e: el normal de un portal (0,6-0,7 % de FY2019-FY2025) más las altas de derechos de uso de la sede nueva (NIIF 16). El 4,4 % de FY2026 fue la obra de la sede (25,1 M), que no se repite [2]. La amortización baja del 3,6 % al 2,0 % a medida que se amortizan los intangibles de las compras y converge con el capex. Circulante del 4,2 % de las ventas, el de FY2026; la tasa impositiva, la general británica del 25 %.</w:t>
      </w:r>
    </w:p>
    <w:p>
      <w:pPr>
        <w:keepNext/>
        <w:spacing w:after="100"/>
      </w:pPr>
      <w:r>
        <w:rPr>
          <w:b/>
          <w:bCs/>
        </w:rPr>
        <w:t xml:space="preserve">Coste del capital.</w:t>
      </w:r>
    </w:p>
    <w:p>
      <w:pPr>
        <w:spacing w:after="100"/>
      </w:pPr>
      <w:r>
        <w:t xml:space="preserve">Tasa libre del 5,39 %, el gilt a 10 años del Banco de Inglaterra del 13-oct-2026 [54]. Beta de 0,77: la mensual a 5 años frente al FTSE 100 (0,66), ajustada por Blume; la semanal a 5 años es 0,84 [52]. Prima de mercado del 5,5 % y sin prima adicional: vende en el Reino Unido y cotiza en el FTSE 100. Coste de la deuda del 5,9 % (crédito revolvente referenciado al SONIA) y un 10 % de deuda a valor de mercado. WACC del 9,11 %. Con la prima implícita del mercado (4,20 %), el WACC baja al 8,2 % [72].</w:t>
      </w:r>
    </w:p>
    <w:p>
      <w:pPr>
        <w:keepNext/>
        <w:spacing w:after="100"/>
      </w:pPr>
      <w:r>
        <w:rPr>
          <w:b/>
          <w:bCs/>
        </w:rPr>
        <w:t xml:space="preserve">Valor terminal.</w:t>
      </w:r>
    </w:p>
    <w:p>
      <w:pPr>
        <w:spacing w:after="100"/>
      </w:pPr>
      <w:r>
        <w:t xml:space="preserve">Crecimiento a perpetuidad del 3,0 %: inflación británica esperada de algo más del 2,5 % y casi nada real, por debajo de la tasa libre menos medio punto (4,89 %). El múltiplo de salida implícito es de 12,2 veces el EBITDA, por debajo de la media de la propia Auto Trader en la década (17,1 veces) y de los comparables con más margen (Rightmove, 12,3 veces hoy) [58].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(reinvierte el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 (histórico: 54,3 %)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-37 M, con un capex bruto medio del 1,7 %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forecourts −1-2 %, palanca de precio +85-95 GBP (≈3 % del ARPR), producto y stock +35 GBP netos y Autorama con ≈40 M de ventas de vehículos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estables y precio en línea con FY2023-FY2026 (+78-117 GBP al año) [2,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(Deal Builder, Co-Driver) como en FY2025-FY2026 (+72-77 GBP) [2, 3].</w:t>
            </w:r>
          </w:p>
        </w:tc>
      </w:tr>
    </w:tbl>
    <w:p>
      <w:pPr>
        <w:spacing w:after="160" w:before="0"/>
      </w:pPr>
    </w:p>
    <w:p>
      <w:pPr>
        <w:spacing w:after="100"/>
      </w:pPr>
      <w:r>
        <w:t xml:space="preserve">El crecimiento del caso base (4,1 % anual) no necesita capital: sale del precio y del producto, y la empresa ha demostrado ese poder de precios cada año de la década salvo FY2021 (el ARPR pasó de 1.546 a 2.995 GBP al mes) [2, 11]. La palanca de precio de FY2023-FY2026 fue de +78 a +117 GBP al año, el 3-4 % del ARPR [2, 3, 4], y la guía de FY2027 pide +85-95 GBP [2]. El foso (más del 75 % de los minutos en portales de coches) la sostiene [1]. El límite está en el volumen: los forecourts caen y el mercado de usados apenas crece (+0,9 % anual en 2021-2025) [17], así que el caso base no cuenta con ellos.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9,1 %)</w:t>
            </w:r>
          </w:p>
        </w:tc>
      </w:tr>
    </w:tbl>
    <w:p>
      <w:pPr>
        <w:spacing w:after="160" w:before="0"/>
      </w:pPr>
    </w:p>
    <w:p>
      <w:pPr>
        <w:spacing w:after="100"/>
      </w:pPr>
      <w:r>
        <w:t xml:space="preserve">El DCF da 6,81 GBP por acción, un 32,9 % por encima del precio de 5,124 GBP, con un 65 % del valor en el terminal. </w:t>
      </w:r>
      <w:r>
        <w:rPr>
          <w:b/>
        </w:rPr>
        <w:t xml:space="preserve">El precio descuenta que Auto Trader casi deja de crecer.</w:t>
      </w:r>
      <w:r>
        <w:t xml:space="preserve"> El DCF inverso dice que, con nuestros márgenes, el precio supone que los ingresos crecen un 0,2 % al año de FY2027e a FY2034e, frente al +4,1 % de nuestro caso base; o, con nuestro crecimiento, que el margen EBITDA cae del 67 % al 52,3 %. Visto de otro modo, comprar a este precio rinde un 10,9 % anual si se cumple el caso base, frente a un WACC del 9,1 %. Ninguna de esas dos cosas ha pasado nunca: en los diez ejercicios solo cayeron los ingresos en FY2021, por los anuncios gratis del confinamiento, y el margen EBITDA del grupo no ha bajado del 62,8 % [2, 3, 4, 5, 6, 7, 8, 9, 10, 11]. Lo que el precio descuenta es que la IA o un rival grande (Amazon, los asistentes de compra) rompan el foso. Es posible, pero no hay aún ningún dato que lo muestre: menos del 1 % del tráfico llega de asistentes de IA [1]. Frente al 10-oct, el valor baja de 6,92 a 6,81 GBP por la beta (0,77 frente a 0,75) y por restar del puente el dividendo de 7,8 p pagado el 9-oct.</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rechazo a Deal Builder se convierte en una salida lenta de concesionarios (−2 % de forecourts al año, como en el 2S26) y los asistentes de IA y Amazon Autos se quedan con parte de la búsqueda: Auto Trader pierde el poder de precios, como Hemnet en Suecia (ventas −16 % en 2026e) [64]. Ingresos casi planos durante ocho años, margen EBITDA del 61 %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con ingresos de +3,6 % y las palancas del ARPR siguen aportando +100-130 GBP al año; los forecourts se estabilizan. Crecimiento medio del 4,1 % y margen EBITDA del 67 % desde FY2029.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Builder se convierte en la palanca de producto que fue Co-Driver (el 86 % de los concesionarios ya lo usa) y el ARPR vuelve a subir como en FY2022-FY2024 (+136 GBP de producto en FY2024) [2, 4]. Crecimiento medio del 6 % y margen del 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GBP) · precio actual 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6,25 GBP (+22,0 %).</w:t>
      </w:r>
    </w:p>
    <w:p>
      <w:pPr>
        <w:spacing w:after="100"/>
      </w:pPr>
      <w:r>
        <w:t xml:space="preserve">La asimetría es aceptable pero no holgada: el alcista vale 7,96 GBP (+55,3 %) y el bajista 3,63 (−29,2 %), una asimetría de 1,89 veces. El bajista no es cosmético: deja los ingresos planos ocho años (−0,9 % de media), quita seis puntos de margen y baja el crecimiento a perpetuidad al 1,5 %, algo que a Auto Trader no le ha pasado nunca y que se parece a lo que hoy le pasa a Hemnet [64]. El valor ponderado por probabilidad es de 6,25 GBP, un 22 % sobre el precio. Con la prima de riesgo que hoy pide el mercado (4,20 %), el bajista queda en 4,17 GBP (−18,6 %) y la asimetría sube a 4,56 veces.</w:t>
      </w:r>
    </w:p>
    <w:p>
      <w:pPr>
        <w:pStyle w:val="Heading1"/>
      </w:pPr>
      <w:r>
        <w:t xml:space="preserve">22. Suma de partes</w:t>
      </w:r>
    </w:p>
    <w:p>
      <w:pPr>
        <w:pStyle w:val="Confianza"/>
        <w:spacing w:after="100"/>
      </w:pPr>
      <w:r>
        <w:t xml:space="preserve">Confianza: Alta</w:t>
      </w:r>
    </w:p>
    <w:p>
      <w:pPr>
        <w:spacing w:after="100"/>
      </w:pPr>
      <w:r>
        <w:t xml:space="preserve">No aplica: Autorama pesa el 6 % de los ingresos y apenas aporta beneficio, y desde FY2027 la empresa reporta un único segmento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GBP) · precio actual 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6,80 GBP (+32,7 % sobre 5,12).</w:t>
      </w:r>
    </w:p>
    <w:p>
      <w:pPr>
        <w:spacing w:after="100"/>
      </w:pPr>
      <w:r>
        <w:t xml:space="preserve">Pesos: DCF 50 %, comparables 25 %, escenarios 20 %, transacciones 5 % y suma de partes 0 %. El DCF manda porque el negocio es estable, casi no necesita capital y su caja es predecible: la conversión de beneficio en caja fue del 103 % en la década. Los comparables pesan un 25 % porque el mercado de clasificados en línea es amplio y comparable en márgenes, aunque hoy todos cotizan con el mismo miedo a la IA. Las transacciones (13,12 GBP, 22,9-26,5 veces el EBITDA) llevan prima de control y son de 2019-2024, con tipos más bajos: solo un 5 %, como recordatorio de lo que pagan los compradores estratégicos (REA ofreció 22,9 veces por Rightmove en 2024) [70]. La dispersión es grande: de 5,96 GBP (comparables) a 6,81 GBP (DCF), todos por encima del precio de 5,124 GBP. El valor objetivo es de 6,80 GBP (+32,7 %). </w:t>
      </w:r>
      <w:r>
        <w:rPr>
          <w:b/>
        </w:rPr>
        <w:t xml:space="preserve">Pero el objetivo a 12 meses, que es el que decide, es de 5,60 GBP</w:t>
      </w:r>
      <w:r>
        <w:t xml:space="preserve">: el selector de método trata a Auto Trader como desrateada (la mediana adelantada de 22,0 veces es 1,8 veces el PER de hoy, 12,0 veces) y aplica la regla v2, que no supone ninguna vuelta del múltiplo en un año.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r>
    </w:tbl>
    <w:p>
      <w:pPr>
        <w:spacing w:after="160" w:before="0"/>
      </w:pPr>
    </w:p>
    <w:p>
      <w:pPr>
        <w:spacing w:after="100"/>
      </w:pPr>
      <w:r>
        <w:rPr>
          <w:b/>
          <w:bCs/>
        </w:rPr>
        <w:t xml:space="preserve">Objetivo a 12 meses (ponderado):</w:t>
      </w:r>
      <w:r>
        <w:t xml:space="preserve"> 5,60 GBP · rentabilidad +11,5 % (base +11,9 %) · señal Mantener.</w:t>
      </w:r>
    </w:p>
    <w:p>
      <w:pPr>
        <w:spacing w:after="100"/>
      </w:pPr>
      <w:r>
        <w:t xml:space="preserve">Para comparar, con la regla v2 (historia al cierre, mismo precio): 10,2x / 12,0x / 15,6x, 11,5 % Mantener; con el tope anterior del base (×1,3, 14-oct mediodía): 44,2 % Comprar; con la v3 sin el selector (tope ×1,1): 22,5 % Comprar. Decide la v2, elegida por el selector de método (desrateada: la mediana adelantada (22x) es 1,8 veces el PER de hoy (12x); la historia es de otro régimen y decide la v2; METODO-VIGENTE.md).</w:t>
      </w:r>
    </w:p>
    <w:p>
      <w:pPr>
        <w:keepNext/>
        <w:spacing w:after="100"/>
      </w:pPr>
      <w:r>
        <w:rPr>
          <w:b/>
          <w:bCs/>
        </w:rPr>
        <w:t xml:space="preserve">Frente al consenso (solo contraste).</w:t>
      </w:r>
    </w:p>
    <w:p>
      <w:pPr>
        <w:spacing w:after="100"/>
      </w:pPr>
      <w:r>
        <w:t xml:space="preserve">Nuestro BPA base de FY2029e (0,4685) queda un 4,8 % por debajo del consenso (0,4919), pero nuestro beneficio neto es mayor (339,5 M frente a 325,7 M): toda la diferencia es el número de acciones. El consenso supone que las recompras siguen al ritmo de ≈400-500 M al año (≈662 M de acciones en FY2029e); nosotros solo contamos la recompra anunciada para FY2027 (724,7 M). El objetivo medio de los analistas (5,59 GBP) queda entre nuestro base y nuestro alcista.</w:t>
      </w:r>
    </w:p>
    <w:p>
      <w:pPr>
        <w:keepNext/>
        <w:spacing w:after="100"/>
      </w:pPr>
      <w:r>
        <w:rPr>
          <w:b/>
          <w:bCs/>
        </w:rPr>
        <w:t xml:space="preserve">Del valor intrínseco al objetivo a 12 meses.</w:t>
      </w:r>
    </w:p>
    <w:p>
      <w:pPr>
        <w:spacing w:after="100"/>
      </w:pPr>
      <w:r>
        <w:t xml:space="preserve">Valor intrínseco de 6,80 GBP (+32,7 %) frente a un objetivo a 12 meses ponderado de 5,60 GBP (+11,5 % con el dividendo; base +11,9 %). La distancia pasa del 25 %: la tesis del valor intrínseco es a más de un año. La cierra un múltiplo que vuelva hacia el de los comparables (15,5 veces) o hacia su historia (22 veces), y eso solo llegará si los semestres demuestran que la audiencia y el precio por cliente aguantan la IA y el conflicto de Deal Builder. El primer dato es el 1S FY2027, el 5-nov-2026. Sin vuelta del múltiplo, la rentabilidad a un año es la del BPA (+9,6 % de FY2028e a FY2029e) más el dividendo.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(beneficio operativo de 395-415 M): ingresos de concesionarios, forecourts tras el rechazo a Deal Builder y ARPR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paquetes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palanca de precio del ARPR; una subida por debajo de la inflación confirmaría la pérdida de poder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Continua (≈600 M en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c. 500 M y dividendos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este precio, la recompra retira ≈12 % del capital al año; ya van ≈300 M desde abril (62,1 M de acciones) y quedan ≈200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las reseñas en línea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sanción o de cambios en el producto; sin importe estimado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Amazon Autos en 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de desintermediación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política de remuneración y plan de sucesión ejecutiva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estructura en la sucesión; posible cambio de métricas del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si la caída de forecourts de FY2026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IA: asistentes de compra y agentes que buscan coches sin pasar por el portal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3,63 GBP, −47 % sobre el valor base (6,81)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de precios y stock (155 millones de llamadas al mes) e integración con ChatGPT por MCP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mensuales y minutos de uso a la baja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concesionarios y del poder de precios por el rechazo a Deal Builder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≈0,5 GBP por acción (estimación propia con la sensibilidad); en el objetivo a 12 meses, un BPA −10 % deja la rentabilidad en ≈0 %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Disculpa pública del consejero delegado y menos de 100 bajas o rebajas declaradas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por debajo de −2 % interanual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Amazon Autos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75 % de los minutos en portales de coches y 11 veces la audiencia del segundo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lanzamiento o acuerdos con grupos de concesionarios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coche usado y de los concesionarios (tipos, financiación, quiebras)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año de forecourts −5 % quitaría ≈4 % de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no por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de usados de la SMMT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(reseñas en línea), impuesto digital y la compensación de la FCA en la financiación de coches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impuesto digital ya cuesta 10,6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FCA no afecta directamente a Auto Trader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CMA o subida del impuesto digital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(92,5 M) con poca holgura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deterioro no movería la caja; ≈0,12 GBP por acción en libros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Autorama apenas pesa en el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Autorama por debajo del +40 % anual del test de deterioro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el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10,1 %: el DCF baja a 5,78 GBP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ajustada de 550 M, 1,3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6 %</w:t>
            </w:r>
          </w:p>
        </w:tc>
      </w:tr>
    </w:tbl>
    <w:p>
      <w:pPr>
        <w:spacing w:after="160" w:before="0"/>
      </w:pPr>
    </w:p>
    <w:p>
      <w:pPr>
        <w:pStyle w:val="Heading2"/>
      </w:pPr>
      <w:r>
        <w:t xml:space="preserve">Pre-mortem</w:t>
      </w:r>
    </w:p>
    <w:p>
      <w:pPr>
        <w:spacing w:after="100"/>
      </w:pPr>
      <w:r>
        <w:t xml:space="preserve">Octubre de 2029: la acción ha caído un 40 %, a unos 2,90 GBP. La historia más probable empieza en el semestre de noviembre de 2026: los forecourts caen otro 2 % y la dirección rebaja la palanca de precio del evento de abril de 2027 para frenar las bajas. Con los concesionarios en contra, Deal Builder no despega y el ARPR crece menos que la inflación por primera vez desde FY2021. En 2027 Amazon Autos llega al Reino Unido con grupos de concesionarios grandes y los asistentes de IA empiezan a mandar compradores directamente a las webs de los concesionarios; las visitas mensuales de Auto Trader bajan dos semestres seguidos. El margen aguanta un año gracias a los costes, pero el mercado deja de verlo como un monopolio y el múltiplo baja a 7-8 veces el EBITDA, como Cars.com o CarGurus. Las recompras, hechas a precios más altos, no lo evitan. El indicador que lo habría anticipado: los forecourts del 2S26 (−1,7 %) y unos ingresos de abril de 2026 planos.</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Amenaza: −47 % si se cumple el bajista (3,63 GBP frente a 6,81); oportunidad: +17 % si se cumple el alcista (7,96)</w:t>
      </w:r>
    </w:p>
    <w:p>
      <w:pPr>
        <w:spacing w:after="100"/>
      </w:pPr>
      <w:r>
        <w:t xml:space="preserve">Toca casi todo el ingreso: Auto Trader cobra a los concesionarios porque concentra la búsqueda del comprador (más del 75 % de los minutos en portales de coches) [1]. Si asistentes como ChatGPT o agentes de compra buscan el coche y mandan al comprador directo a la web del concesionario, el portal pierde su razón de cobrar; Amazon Autos, con audiencia propia, sería la vía física de esa desintermediación [1]. Hoy menos del 1 % del tráfico llega de asistentes de IA, la empresa está integrada en ChatGPT por MCP y usa la IA para abaratar costes y vender producto (Co-Driver, Deal Builder) [1, 2]. Las pruebas de analistas y prensa con agentes en 2026 encontraron que los chatbots acaban enviando a los portales para ver ofertas reales [75]. Señal: visitas mensuales o minutos a la baja dos semestres seguidos, o un acuerdo de un gran grupo de concesionarios con un agente o con Amazon.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 portal digital, lo material es la gestión de datos, la relación con los clientes y el clima a través de su papel en la transición al eléctrico. Datos: no hubo sanciones por seguridad de datos o brechas en el ejercicio 2026, y los incidentes se notifican a la ICO [1]. Emisiones: 144,1 mil toneladas de CO2 en alcances 1, 2 y 3 (93,2 mil en 2025), un 55 % más por la obra de la nueva sede y por los coches que Autorama pasa por su balance; casi todo es alcance 3 [1]. Objetivos validados por SBTi: −50 % de alcances 1 y 2 y −46,2 % del alcance 3 para el ejercicio 2030/31, y cero neto en 2040 [1]. Personas: el compromiso de los empleados cayó del 91 % al 72 % tras reestructuraciones, la caída de la acción y las protestas de concesionarios [1].</w:t>
      </w:r>
    </w:p>
    <w:p>
      <w:pPr>
        <w:pStyle w:val="Heading2"/>
      </w:pPr>
      <w:r>
        <w:t xml:space="preserve">Controversias</w:t>
      </w:r>
    </w:p>
    <w:p>
      <w:pPr>
        <w:spacing w:after="100"/>
      </w:pPr>
      <w:r>
        <w:t xml:space="preserve">La CMA abrió el 27 de marzo de 2026 una investigación sobre reseñas en línea que incluye a Autotrader y a su moderador Feefo, con sus nuevos poderes de sanción directa [1]. El plan de compensación de la FCA por comisiones de financiación de coches (marzo de 2026, paralizado por recursos) no le afecta directamente según la empresa [1]. En noviembre de 2025 los concesionarios organizaron en redes una campaña de bajas contra Deal Builder [25, 26]. No constan sanciones por protección de datos en el ejercicio 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concesionarios se han dado de baja o han rebajado su paquete por Deal Builder desde noviembre de 2025, y cuántos han vuelto?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forecourts son la base del ingreso; cayeron un 1,7 % en el 2S26.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precio aplicará en el evento de abril de 2027 y qué peso tendrá Deal Builder en la palanca de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ARPR deja de crecer.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los contactos llega hoy de asistentes de IA y cómo cobra Auto Trader esa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pesa en el bajista y en la posición corta del 6,55 %.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de concesionarios negocian con Amazon Autos y qué exclusividades tiene Auto Trader con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audiencia propia es la única amenaza creíble al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dará beneficio Autorama y qué pasa si las entregas no crecen al 44 % anual que supone el test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compra grande y no ha dado beneficio en cuatro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precio seguirá recomprando y con qué apalancamiento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630 p de media en FY2026, un 23 % por encima del precio de hoy; y el consenso supone que la recompra sigue después de FY2027.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cubre las funciones de la directora de operaciones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propio consejo pide más estructura.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(Stockwatch)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caída como una sobrerreacción alimentada por las posiciones cortas y recomienda comprar poco a poco; acepta que la IA es un riesgo real pero cree que el precio ya lo descuenta de sobra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(Shares for the future)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Respeta el negocio pero ve riesgos que se acumulan: IA, rechazo de los concesionarios a Deal Builder y menor crecimiento; aun así lo considera apto para invertir a largo plazo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Dealer Magazine (concesionarios)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indicadores de precio renovados de Autotrader, una fuente de quejas de los concesionarios desde hace años, siguen siendo polémicos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de concesionarios en Facebook (vía Car Dealer Magazine y AM-online)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Contexto de hace once meses: un grupo de concesionarios amenazó con cancelaciones masivas por Deal Builder y las subidas de precio; la empresa rebajó la reserva en línea a una solicitud que el concesionario acepta [77, 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en parte: cotiza a 10,7 veces el EBITDA, en el percentil 11 de su década, y el DCF inverso pide ingresos casi planos (+0,2 % anual); pero el objetivo a 12 meses con la regla vigente (+11,5 %) no llega al umbral de compra.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Deal Builder y la relación con los concesionarios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los forecourts cayeron un 1,7 % en el 2S26 y los ingresos de abril fueron planos, aunque las bajas declaradas fueron menos de 100.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que la propia empresa reconoce, pero hoy menos del 1 % del tráfico llega de asistentes de 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baja al 6,55 % (FCA, 13-oct-2026), desde el 10,1 % del invierno, frente a recompras de c. 500 M en FY2027 (≈300 M hechos) y compras de los ocho consejeros.</w:t>
            </w:r>
          </w:p>
        </w:tc>
      </w:tr>
    </w:tbl>
    <w:p>
      <w:pPr>
        <w:spacing w:after="160" w:before="0"/>
      </w:pPr>
    </w:p>
    <w:p>
      <w:pPr>
        <w:spacing w:after="100"/>
      </w:pPr>
      <w:r>
        <w:t xml:space="preserve">El sentimiento de los inversores es mejor que el precio y el de los concesionarios, peor. Los comentaristas que siguen el valor lo ven sobrevendido, recomiendan comprar poco a poco y achacan buena parte de la caída a los bajistas [74, 75]; uno de ellos probó los chatbots y vio que acaban enviando a los portales para ver ofertas reales [75]. Los concesionarios siguen quejándose de precios e indicadores de precio [76]. Esa división es la tesis: si la queja de los clientes no se traduce en bajas, el precio descuenta un daño que no llega. No hay euforia ni capitulación: la posición corta se ha reducido a la mitad desde el invierno y la acción rebota con todo el sector en la semana del corte, sin noticia propia. Los foros con más debate de particulares (Reddit, LSE Chat, ADVFN) no se pudieron leer (bloqueo de red).</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78 (55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4,2 % frente a 4,2 %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siete clasificados de cuatro países y dos negocios en caída (Cars.com y Hemnet), el crecimiento no explica el múltiplo (R² = 0,09); no se usa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semestrales: no comparan con el consenso; 2) página de consenso de analistas de la web de inversores: solo da el consenso vigente, no el previo a cada semestre; 3) prensa: no buscado para no agotar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FY26 y 1S26: sin turno de preguntas; 2) centro de resultados de la web: no publica transcripciones; 3) webcast en edge.media-server.com: audio,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FY26: solo SONIA + 1,2-2,1 %; 2) gastos financieros de 2,8 M sobre una deuda media incierta (dispuesta casi toda en el segundo semestre); 3) nota de prensa: no da el tipo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libras del mercado británico de anuncios de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presentación de Autotrader 2026 (solo volúmenes de la SMMT); 2) web de datos de la SMMT (unidades, no valor); 3) informes de mercado de pago no accesibles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(solo la caída del 17 % de la oferta de coches de 5-7 años); 2) SMMT, sin previsión de usados publicada; 3) presentación de resultados, sin previsión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Motors.co.uk, Carwow y Cinch; cuota de Facebook Marketplace y Cinch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Autotrader (Comscore sin Cinch ni Facebook); 2) informe anual 2026 (sin cifras de rivales); 3) Companies House requiere abrir cuentas escaneadas una a una,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Working Responsibly 2026, sin calificaciones; 2) ficha de Sustainalytics, cargada por JavaScript sin dato legible; 3) búsqueda web, solo agregadores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(variación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páginas finances y consensus: la serie de revisiones solo aparece en gráfico; 2) Stock Analysis, forecast: los años 2028-2029 y el historial requieren suscripción; 3) RNS de la empresa: no publica consenso compilado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publica ROE y ROA; 2) Stock Analysis exigía una consulta por empresa con otro proveedor (mezcla de fuentes); 3) cálculo desde informes anuales de siete empresas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y ev_ebitda de Adevinta (2023) y ev_ebitda de Domain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la oferta de Permira y Blackstone y anuncio de Domain a la ASX: dan valor de las acciones o valor empresa pero no EBITDA ni múltiplo; 2) búsqueda del documento de oferta de Adevinta y del informe del experto independiente de Domain: no localizados en fuente primaria; 3) prensa sectorial: cifras de EBITDA contradictorias (137,1 frente a 37,1 M AUD en Domain)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publica flotante; 2) MarketScreener finances: no muestra capitalización ni flotante en la página leída; 3) RNS de derechos de voto: solo el número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r/investing): bloqueado para la lectura automática; 2) LSE Chat (lse.co.uk) y AM-online: 403; 3) búsqueda de foros y comentarios de lectores de 2026: solo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FY26 (press release,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https://plc.autotrader.co.uk/media/umddcnxx/full-year-press-release-fy25.pdf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https://plc.autotrader.co.uk/media/cjxgyjih/full-year-press-release-fy24.pdf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https://plc.autotrader.co.uk/media/3dbbyupi/fy-press-release-fy23-final_no_pw-0106.pdf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FY22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https://plc.autotrader.co.uk/media/swsdgt4q/2022_press_release_final_.pdf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FY21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https://plc.autotrader.co.uk/media/rdthmxvx/2021_press_release_final_ws.pdf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FY20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https://plc.autotrader.co.uk/media/qgpi103h/auto-trader-group-plc-full-year-results-25-june-2020.pdf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FY19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https://plc.autotrader.co.uk/media/s5gjpgac/auto-trader-group-plc-full-year-results-6-june-2019.pdf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FY18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https://plc.autotrader.co.uk/media/fmfeocnj/auto-trader-group-plc-full-year-results-7-june-2018.pdf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FY17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https://plc.autotrader.co.uk/media/olvhktab/auto-trader-group-plc-full-year-results-8-june-20171.pdf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https://plc.autotrader.co.uk/media/ayhdcjt1/half-year-press-release-fy26.pdf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https://plc.autotrader.co.uk/media/olal5vsi/half-year-financial-results-press-release-fy25-final.pdf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https://plc.autotrader.co.uk/media/bj3hx5ro/half-year-financial-results-press-release-fy24-final-no-pwd.pdf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https://plc.autotrader.co.uk/media/m5xnve3m/half-year-financial-results-press-release-fy23-final.pdf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presentation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https://plc.autotrader.co.uk/media/x0akwm5z/analyst-presentation-fy26.pdf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car sales data (transacciones mensuales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https://www.smmt.co.uk/vehicle-data/used-car-sales/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https://www.sec.gov/Archives/edgar/data/1494259/000119312526059435/carg-20251231.htm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https://www.sec.gov/Archives/edgar/data/1683606/000119312526076546/cars-20251231.htm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Full Year Results, year ended 30 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https://announcements.asx.com.au/asxpdf/20260810/pdf/072l1lzz9zjdz3.pdf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https://www.scout24.com/media/scout24/Investor_Relations/Berichte_und_Praesentationen/2025/Scout24_Annual_Report_2025_EN.pdf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dealers threaten mass cancellation of Auto Trader contracts in light of Deal Builder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https://cardealermagazine.co.uk/car-dealers-threaten-mass-cancellation-of-auto-trader-in-light-of-deal-builder-roll-out/320049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CEO apologises for Deal Builder roll out as he pledges to make product 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https://cardealermagazine.co.uk/auto-trader-ceo-apologises-for-deal-builder-roll-out-as-he-pledges-to-make-product-work/320199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boss confirms package prices will rise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https://cardealermagazine.co.uk/autotrader-boss-confirms-package-prices-will-rise-again-and-explains-why-in-car-dealer-podcast/321583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https://en.wikipedia.org/wiki/Autotrader_Group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(16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https://www.investegate.co.uk/announcement/rns/autotrader-group-plc--auto/result-of-agm/9672971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(18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https://www.investegate.co.uk/announcement/rns/autotrader-group-plc--auto/result-of-agm/9117132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(19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https://www.investegate.co.uk/announcement/rns/autotrader-group-plc--auto/result-of-agm/8426523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 (salida de la COO)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https://www.investegate.co.uk/announcement/rns/autotrader-group-plc--auto/board-change/9205125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to Board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https://www.investegate.co.uk/announcement/rns/autotrader-group-plc--auto/update-to-board-change/9283168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Tender Outcome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https://www.investegate.co.uk/announcement/rns/autotrader-group-plc--auto/audit-tender-outcome/9427001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M. Davies y A. James,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https://www.investegate.co.uk/announcement/rns/autotrader-group-plc--auto/director-pdmr-shareholding/9580697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consejeros, 21-22 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https://www.investegate.co.uk/announcement/rns/autotrader-group-plc--auto/director-pdmr-shareholding/9583912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https://www.investegate.co.uk/announcement/rns/autotrader-group-plc--auto/director-pdmr-shareholding/9587532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https://www.investegate.co.uk/announcement/rns/autotrader-group-plc--auto/director-pdmr-shareholding/9642462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(concesión LTIP y bono diferido,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https://www.investegate.co.uk/announcement/rns/autotrader-group-plc--auto/director-pdmr-shareholding/9634886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de PSP y DABP y venta para impuestos,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https://www.investegate.co.uk/announcement/rns/autotrader-group-plc--auto/director-pdmr-shareholding/9675790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https://www.investegate.co.uk/announcement/rns/autotrader-group-plc--auto/director-pdmr-shareholding/9736440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SAYE de J. Warner, 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https://www.investegate.co.uk/announcement/rns/autotrader-group-plc--auto/director-pdmr-shareholding/9403416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https://www.investegate.co.uk/announcement/rns/autotrader-group-plc--auto/director-pdmr-shareholding/9494621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https://www.investegate.co.uk/announcement/rns/autotrader-group-plc--auto/holding-s-in-company/9592827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(FIL Limited,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https://www.investegate.co.uk/announcement/rns/autotrader-group-plc--auto/holding-s-in-company/9778292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(Baillie Gifford,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https://www.investegate.co.uk/announcement/rns/autotrader-group-plc--auto/holding-s-in-company/9689261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(Norges Bank,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https://www.investegate.co.uk/announcement/rns/autotrader-group-plc--auto/holding-s-in-company/9586324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https://www.investegate.co.uk/announcement/rns/autotrader-group-plc--auto/total-voting-rights/9801755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https://www.investegate.co.uk/announcement/rns/autotrader-group-plc--auto/holding-s-in-company/9129577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5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https://www.investegate.co.uk/announcement/rns/autotrader-group-plc--auto/transaction-in-own-shares/9806782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Half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https://www.investegate.co.uk/announcement/rns/autotrader-group-plc--auto/notice-of-half-year-results/9800267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AUTO.L, ^FTSE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https://finance.yahoo.com/quote/AUTO.L/history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https://www.bankofengland.co.uk/boeapps/database/_iadb-fromshowcolumns.asp?csv.x=yes&amp;Datefrom=01/Oct/2026&amp;Dateto=15/Oct/2026&amp;SeriesCodes=IUDMNPY&amp;CSVF=TN&amp;UsingCodes=Y&amp;VPD=Y&amp;VFD=N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anuncios diarios de abril a octubre de 2026 (113 sesiones,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https://www.investegate.co.uk/company/AUTO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https://www.marketscreener.com/quote/stock/AUTO-TRADER-GROUP-PLC-21296406/finances/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(LON: AUTO)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https://stockanalysis.com/quote/lon/AUTO/forecast/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 (múltiplos del 9-oct llevados al cierre del 14-oct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https://www.investegate.co.uk/announcement/rns/autotrader-group-plc--auto/transaction-in-own-shares/9818109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an oversold FTSE 100 share to average into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https://www.ii.co.uk/analysis-commentary/stockwatch-oversold-ftse-100-share-average-ii539722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for the future: a FTSE 100 company to fear and respect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https://www.ii.co.uk/analysis-commentary/shares-future-ftse-100-company-fear-and-respect-ii539686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Briefing: What do dealers think of Autotrader's revamped Price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https://cardealermagazine.co.uk/weekly-briefing-what-do-dealers-think-of-autotraders-revamped-price-indicators/327892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defends its pricing as bosses deny Deal Builder is responsible for falling share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https://cardealermagazine.co.uk/auto-trader-defends-its-pricing-as-bosses-deny-deal-builder-is-responsible-for-falling-share-value/320741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faces tougher road to growth as dealers push back, rivals circle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https://www.am-online.com/news/autotrader-faces-tougher-road-to-growth-as-dealers-push-back-rivals-circle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15 oct 2026.</w:t>
      </w:r>
    </w:p>
    <w:p>
      <w:pPr>
        <w:pStyle w:val="Nota"/>
        <w:spacing w:after="100"/>
      </w:pPr>
      <w:r>
        <w:t xml:space="preserve">Se valora la acción ordinaria de la Bolsa de Londres (AUTO), que cotiza en peniques; precio y valores por acción se dan en libras (512,4 p = 5,124 GBP, cierre del miércoles 14-oct-2026: la sesión del 15-oct no había cerrado al hacer el análisis) [52]. El ejercicio cierra el 31 de marzo y se nombra por el año en que termina (FY2026 = abr-25 a mar-26). Las acciones (763,7 M diluidas) son las del 9-oct-2026, después de 62,1 M de acciones recompradas desde el balance; el puente es del 31-mar-2026 y resta en otros ajustes esas recompras (≈301,3 M con el impuesto de timbre) y el dividendo final de 7,8 p pagado el 9-oct (≈59,7 M): 361,0 M [2, 48, 55, 73]. Las cuentas FY2021-FY2026 se cotejaron con el XBRL del regulador (cuentas.mjs con el nombre nuevo, «Autotrader»): ingresos, EBIT, beneficio y BPA coinciden; la deuda va al nominal del crédito (165 M) y no al valor en libros (163,4 M). La cuenta se presenta por naturaleza; el EBITDA excluye el resultado de Dealer Auction (49 %), que se valora en el puente a valor contable, igual que hace el consenso [2, 56]. FY2017 y FY2018 no aplican la NIIF 16 y FY2017 tuvo 369 días [11]. Auto Trader publica semestres, no trimestres; los segundos semestres se obtienen restando el primero del año [2]. No hay transcripciones gratuitas de las conferencias. Comparables y consenso de un solo proveedor (MarketScreener), contrastado con Stock Analysis [56, 57]; los múltiplos de los comparables son del 9-oct llevados al cierre del 14-oct con la variación de su precio; sin ROIC de los comparables. Ficha sectorial: sectores/portales-clasificados-2026-10-15.md.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Autotrader Group plc (antes Auto Trader Group plc) (AUTO)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5,12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(4,17 – 6,32)</c:v>
                </c:pt>
                <c:pt idx="3">
                  <c:v>Comparables: PER NTM (5,21 – 7,77)</c:v>
                </c:pt>
                <c:pt idx="4">
                  <c:v>Transacciones precedentes (EV/EBITDA) (12,54 – 13,47)</c:v>
                </c:pt>
                <c:pt idx="5">
                  <c:v>DCF (WACC y g ± 0,5) (5,93 – 8,03)</c:v>
                </c:pt>
                <c:pt idx="6">
                  <c:v>Escenarios (bajista – alcista) (3,63 – 7,96)</c:v>
                </c:pt>
                <c:pt idx="7">
                  <c:v>DCF con la prima implícita del mercado (4,2 %)</c:v>
                </c:pt>
                <c:pt idx="8">
                  <c:v>Precio actual (5,12)</c:v>
                </c:pt>
              </c:strCache>
            </c:strRef>
          </c:cat>
          <c:val>
            <c:numRef>
              <c:f>Hoja1!$B$2:$B$10</c:f>
              <c:numCache>
                <c:formatCode>#,##0.0</c:formatCode>
                <c:ptCount val="9"/>
                <c:pt idx="0">
                  <c:v>4.19</c:v>
                </c:pt>
                <c:pt idx="1">
                  <c:v>4.1</c:v>
                </c:pt>
                <c:pt idx="2">
                  <c:v>4.17</c:v>
                </c:pt>
                <c:pt idx="3">
                  <c:v>5.21</c:v>
                </c:pt>
                <c:pt idx="4">
                  <c:v>12.54</c:v>
                </c:pt>
                <c:pt idx="5">
                  <c:v>5.93</c:v>
                </c:pt>
                <c:pt idx="6">
                  <c:v>3.63</c:v>
                </c:pt>
                <c:pt idx="7">
                  <c:v>7.33</c:v>
                </c:pt>
                <c:pt idx="8">
                  <c:v>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(4,17 – 6,32)</c:v>
                </c:pt>
                <c:pt idx="3">
                  <c:v>Comparables: PER NTM (5,21 – 7,77)</c:v>
                </c:pt>
                <c:pt idx="4">
                  <c:v>Transacciones precedentes (EV/EBITDA) (12,54 – 13,47)</c:v>
                </c:pt>
                <c:pt idx="5">
                  <c:v>DCF (WACC y g ± 0,5) (5,93 – 8,03)</c:v>
                </c:pt>
                <c:pt idx="6">
                  <c:v>Escenarios (bajista – alcista) (3,63 – 7,96)</c:v>
                </c:pt>
                <c:pt idx="7">
                  <c:v>DCF con la prima implícita del mercado (4,2 %)</c:v>
                </c:pt>
                <c:pt idx="8">
                  <c:v>Precio actual (5,12)</c:v>
                </c:pt>
              </c:strCache>
            </c:strRef>
          </c:cat>
          <c:val>
            <c:numRef>
              <c:f>Hoja1!$C$2:$C$10</c:f>
              <c:numCache>
                <c:formatCode>#,##0.0</c:formatCode>
                <c:ptCount val="9"/>
                <c:pt idx="0">
                  <c:v>4.099999999999999</c:v>
                </c:pt>
                <c:pt idx="1">
                  <c:v>3.9000000000000004</c:v>
                </c:pt>
                <c:pt idx="2">
                  <c:v>2.1500000000000004</c:v>
                </c:pt>
                <c:pt idx="3">
                  <c:v>2.5599999999999996</c:v>
                </c:pt>
                <c:pt idx="4">
                  <c:v>0.9300000000000015</c:v>
                </c:pt>
                <c:pt idx="5">
                  <c:v>2.0999999999999996</c:v>
                </c:pt>
                <c:pt idx="6">
                  <c:v>4.33</c:v>
                </c:pt>
                <c:pt idx="7">
                  <c:v>1.6799999999999997</c:v>
                </c:pt>
                <c:pt idx="8">
                  <c:v>0.05000000000000071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Autotrader</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262.8</c:v>
                </c:pt>
                <c:pt idx="1">
                  <c:v>432.7</c:v>
                </c:pt>
                <c:pt idx="2">
                  <c:v>473</c:v>
                </c:pt>
                <c:pt idx="3">
                  <c:v>529.7</c:v>
                </c:pt>
                <c:pt idx="4">
                  <c:v>564.8</c:v>
                </c:pt>
                <c:pt idx="5">
                  <c:v>585.3</c:v>
                </c:pt>
              </c:numCache>
            </c:numRef>
          </c:val>
        </c:ser>
        <c:ser>
          <c:idx val="1"/>
          <c:order val="1"/>
          <c:tx>
            <c:strRef>
              <c:f>Hoja1!$C$1</c:f>
              <c:strCache>
                <c:ptCount val="1"/>
                <c:pt idx="0">
                  <c:v>Autorama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2">
                  <c:v>27.2</c:v>
                </c:pt>
                <c:pt idx="3">
                  <c:v>41.2</c:v>
                </c:pt>
                <c:pt idx="4">
                  <c:v>36.3</c:v>
                </c:pt>
                <c:pt idx="5">
                  <c:v>39</c:v>
                </c:pt>
              </c:numCache>
            </c:numRef>
          </c:val>
        </c:ser>
        <c:ser>
          <c:idx val="2"/>
          <c:order val="2"/>
          <c:tx>
            <c:strRef>
              <c:f>Hoja1!$D$1</c:f>
              <c:strCache>
                <c:ptCount val="1"/>
                <c:pt idx="0">
                  <c:v>Costes centrales (compra de Autorama)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Autotrader</c:v>
                </c:pt>
                <c:pt idx="1">
                  <c:v>Autorama</c:v>
                </c:pt>
                <c:pt idx="2">
                  <c:v>Costes centrales (compra de Autorama)</c:v>
                </c:pt>
              </c:strCache>
            </c:strRef>
          </c:cat>
          <c:val>
            <c:numRef>
              <c:f>Hoja1!$B$2:$B$4</c:f>
              <c:numCache>
                <c:formatCode>General</c:formatCode>
                <c:ptCount val="3"/>
                <c:pt idx="0">
                  <c:v>93.8</c:v>
                </c:pt>
                <c:pt idx="1">
                  <c:v>6.2</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transacciones de coches usados (año natural, SMMT))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6.75</c:v>
                </c:pt>
                <c:pt idx="1">
                  <c:v>7.53</c:v>
                </c:pt>
                <c:pt idx="2">
                  <c:v>6.89</c:v>
                </c:pt>
                <c:pt idx="3">
                  <c:v>7.24</c:v>
                </c:pt>
                <c:pt idx="4">
                  <c:v>7.64</c:v>
                </c:pt>
                <c:pt idx="5">
                  <c:v>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Auto Trader</c:v>
                </c:pt>
                <c:pt idx="1">
                  <c:v>CarGurus (CarGurus UK y PistonHeads)</c:v>
                </c:pt>
                <c:pt idx="2">
                  <c:v>Motors.co.uk</c:v>
                </c:pt>
                <c:pt idx="3">
                  <c:v>eBay y Gumtree</c:v>
                </c:pt>
                <c:pt idx="4">
                  <c:v>Carwow</c:v>
                </c:pt>
                <c:pt idx="5">
                  <c:v>Cars.com</c:v>
                </c:pt>
                <c:pt idx="6">
                  <c:v>CAR Group (carsales)</c:v>
                </c:pt>
                <c:pt idx="7">
                  <c:v>Rightmove</c:v>
                </c:pt>
                <c:pt idx="8">
                  <c:v>Scout24</c:v>
                </c:pt>
              </c:strCache>
            </c:strRef>
          </c:cat>
          <c:val>
            <c:numRef>
              <c:f>Hoja1!$B$2:$B$10</c:f>
              <c:numCache>
                <c:formatCode>0.0"%"</c:formatCode>
                <c:ptCount val="9"/>
                <c:pt idx="0">
                  <c:v>62.2</c:v>
                </c:pt>
                <c:pt idx="1">
                  <c:v>26.9</c:v>
                </c:pt>
                <c:pt idx="5">
                  <c:v>8.3</c:v>
                </c:pt>
                <c:pt idx="6">
                  <c:v>47.8</c:v>
                </c:pt>
                <c:pt idx="7">
                  <c:v>67.7</c:v>
                </c:pt>
                <c:pt idx="8">
                  <c:v>44.9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311.4</c:v>
                </c:pt>
                <c:pt idx="1">
                  <c:v>330.1</c:v>
                </c:pt>
                <c:pt idx="2">
                  <c:v>355.1</c:v>
                </c:pt>
                <c:pt idx="3">
                  <c:v>368.9</c:v>
                </c:pt>
                <c:pt idx="4">
                  <c:v>262.8</c:v>
                </c:pt>
                <c:pt idx="5">
                  <c:v>432.7</c:v>
                </c:pt>
                <c:pt idx="6">
                  <c:v>500.2</c:v>
                </c:pt>
                <c:pt idx="7">
                  <c:v>570.9</c:v>
                </c:pt>
                <c:pt idx="8">
                  <c:v>601.1</c:v>
                </c:pt>
                <c:pt idx="9">
                  <c:v>624.3</c:v>
                </c:pt>
                <c:pt idx="10">
                  <c:v>647</c:v>
                </c:pt>
                <c:pt idx="11">
                  <c:v>676</c:v>
                </c:pt>
                <c:pt idx="12">
                  <c:v>710</c:v>
                </c:pt>
                <c:pt idx="13">
                  <c:v>744</c:v>
                </c:pt>
                <c:pt idx="14">
                  <c:v>777</c:v>
                </c:pt>
                <c:pt idx="15">
                  <c:v>808</c:v>
                </c:pt>
                <c:pt idx="16">
                  <c:v>837</c:v>
                </c:pt>
                <c:pt idx="17">
                  <c:v>862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211.1</c:v>
                </c:pt>
                <c:pt idx="1">
                  <c:v>227.7</c:v>
                </c:pt>
                <c:pt idx="2">
                  <c:v>251.7</c:v>
                </c:pt>
                <c:pt idx="3">
                  <c:v>262.2</c:v>
                </c:pt>
                <c:pt idx="4">
                  <c:v>165.1</c:v>
                </c:pt>
                <c:pt idx="5">
                  <c:v>307.90000000000003</c:v>
                </c:pt>
                <c:pt idx="6">
                  <c:v>328</c:v>
                </c:pt>
                <c:pt idx="7">
                  <c:v>375.3</c:v>
                </c:pt>
                <c:pt idx="8">
                  <c:v>393.9</c:v>
                </c:pt>
                <c:pt idx="9">
                  <c:v>412</c:v>
                </c:pt>
                <c:pt idx="10">
                  <c:v>427</c:v>
                </c:pt>
                <c:pt idx="11">
                  <c:v>449</c:v>
                </c:pt>
                <c:pt idx="12">
                  <c:v>475</c:v>
                </c:pt>
                <c:pt idx="13">
                  <c:v>498</c:v>
                </c:pt>
                <c:pt idx="14">
                  <c:v>521</c:v>
                </c:pt>
                <c:pt idx="15">
                  <c:v>542</c:v>
                </c:pt>
                <c:pt idx="16">
                  <c:v>561</c:v>
                </c:pt>
                <c:pt idx="17">
                  <c:v>577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100</c:v>
                </c:pt>
                <c:pt idx="1">
                  <c:v>100</c:v>
                </c:pt>
                <c:pt idx="2">
                  <c:v>100</c:v>
                </c:pt>
                <c:pt idx="3">
                  <c:v>100</c:v>
                </c:pt>
                <c:pt idx="4">
                  <c:v>100</c:v>
                </c:pt>
                <c:pt idx="5">
                  <c:v>100</c:v>
                </c:pt>
                <c:pt idx="6">
                  <c:v>96.9</c:v>
                </c:pt>
                <c:pt idx="7">
                  <c:v>95.1</c:v>
                </c:pt>
                <c:pt idx="8">
                  <c:v>95.6</c:v>
                </c:pt>
                <c:pt idx="9">
                  <c:v>95.2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67.8</c:v>
                </c:pt>
                <c:pt idx="1">
                  <c:v>69</c:v>
                </c:pt>
                <c:pt idx="2">
                  <c:v>70.9</c:v>
                </c:pt>
                <c:pt idx="3">
                  <c:v>71.1</c:v>
                </c:pt>
                <c:pt idx="4">
                  <c:v>62.8</c:v>
                </c:pt>
                <c:pt idx="5">
                  <c:v>71.2</c:v>
                </c:pt>
                <c:pt idx="6">
                  <c:v>65.6</c:v>
                </c:pt>
                <c:pt idx="7">
                  <c:v>65.7</c:v>
                </c:pt>
                <c:pt idx="8">
                  <c:v>65.5</c:v>
                </c:pt>
                <c:pt idx="9">
                  <c:v>66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65.2</c:v>
                </c:pt>
                <c:pt idx="1">
                  <c:v>66.8</c:v>
                </c:pt>
                <c:pt idx="2">
                  <c:v>68.4</c:v>
                </c:pt>
                <c:pt idx="3">
                  <c:v>69.3</c:v>
                </c:pt>
                <c:pt idx="4">
                  <c:v>60.4</c:v>
                </c:pt>
                <c:pt idx="5">
                  <c:v>69.5</c:v>
                </c:pt>
                <c:pt idx="6">
                  <c:v>62.8</c:v>
                </c:pt>
                <c:pt idx="7">
                  <c:v>62.5</c:v>
                </c:pt>
                <c:pt idx="8">
                  <c:v>62.1</c:v>
                </c:pt>
                <c:pt idx="9">
                  <c:v>62.2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49.7</c:v>
                </c:pt>
                <c:pt idx="1">
                  <c:v>51.9</c:v>
                </c:pt>
                <c:pt idx="2">
                  <c:v>55.7</c:v>
                </c:pt>
                <c:pt idx="3">
                  <c:v>55.6</c:v>
                </c:pt>
                <c:pt idx="4">
                  <c:v>48.6</c:v>
                </c:pt>
                <c:pt idx="5">
                  <c:v>56.6</c:v>
                </c:pt>
                <c:pt idx="6">
                  <c:v>46.8</c:v>
                </c:pt>
                <c:pt idx="7">
                  <c:v>45</c:v>
                </c:pt>
                <c:pt idx="8">
                  <c:v>47</c:v>
                </c:pt>
                <c:pt idx="9">
                  <c:v>47.1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16</c:v>
                </c:pt>
                <c:pt idx="1">
                  <c:v>15.2</c:v>
                </c:pt>
                <c:pt idx="2">
                  <c:v>12.3</c:v>
                </c:pt>
                <c:pt idx="3">
                  <c:v>16</c:v>
                </c:pt>
                <c:pt idx="4">
                  <c:v>7.8</c:v>
                </c:pt>
                <c:pt idx="5">
                  <c:v>2.8</c:v>
                </c:pt>
                <c:pt idx="6">
                  <c:v>5</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61</c:v>
                </c:pt>
                <c:pt idx="2">
                  <c:v>58</c:v>
                </c:pt>
                <c:pt idx="3">
                  <c:v>55</c:v>
                </c:pt>
                <c:pt idx="4">
                  <c:v>83</c:v>
                </c:pt>
                <c:pt idx="5">
                  <c:v>56</c:v>
                </c:pt>
                <c:pt idx="6">
                  <c:v>53</c:v>
                </c:pt>
                <c:pt idx="7">
                  <c:v>53</c:v>
                </c:pt>
                <c:pt idx="8">
                  <c:v>51</c:v>
                </c:pt>
                <c:pt idx="9">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8</c:v>
                </c:pt>
                <c:pt idx="7">
                  <c:v>5</c:v>
                </c:pt>
                <c:pt idx="8">
                  <c:v>4</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121</c:v>
                </c:pt>
                <c:pt idx="1">
                  <c:v>119</c:v>
                </c:pt>
                <c:pt idx="2">
                  <c:v>110</c:v>
                </c:pt>
                <c:pt idx="3">
                  <c:v>114</c:v>
                </c:pt>
                <c:pt idx="4">
                  <c:v>81</c:v>
                </c:pt>
                <c:pt idx="5">
                  <c:v>123</c:v>
                </c:pt>
                <c:pt idx="6">
                  <c:v>114</c:v>
                </c:pt>
                <c:pt idx="7">
                  <c:v>112</c:v>
                </c:pt>
                <c:pt idx="8">
                  <c:v>102</c:v>
                </c:pt>
                <c:pt idx="9">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166.8</c:v>
                </c:pt>
                <c:pt idx="1">
                  <c:v>177.1</c:v>
                </c:pt>
                <c:pt idx="2">
                  <c:v>204.3</c:v>
                </c:pt>
                <c:pt idx="3">
                  <c:v>184.89999999999998</c:v>
                </c:pt>
                <c:pt idx="4">
                  <c:v>117.8</c:v>
                </c:pt>
                <c:pt idx="5">
                  <c:v>264.4</c:v>
                </c:pt>
                <c:pt idx="6">
                  <c:v>257.3</c:v>
                </c:pt>
                <c:pt idx="7">
                  <c:v>277.6</c:v>
                </c:pt>
                <c:pt idx="8">
                  <c:v>296.90000000000003</c:v>
                </c:pt>
                <c:pt idx="9">
                  <c:v>290.8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154.7</c:v>
                </c:pt>
                <c:pt idx="1">
                  <c:v>171.3</c:v>
                </c:pt>
                <c:pt idx="2">
                  <c:v>197.7</c:v>
                </c:pt>
                <c:pt idx="3">
                  <c:v>205.1</c:v>
                </c:pt>
                <c:pt idx="4">
                  <c:v>127.8</c:v>
                </c:pt>
                <c:pt idx="5">
                  <c:v>244.7</c:v>
                </c:pt>
                <c:pt idx="6">
                  <c:v>233.9</c:v>
                </c:pt>
                <c:pt idx="7">
                  <c:v>256.9</c:v>
                </c:pt>
                <c:pt idx="8">
                  <c:v>282.6</c:v>
                </c:pt>
                <c:pt idx="9">
                  <c:v>293.9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48.7</c:v>
                </c:pt>
                <c:pt idx="1">
                  <c:v>53</c:v>
                </c:pt>
                <c:pt idx="2">
                  <c:v>54.6</c:v>
                </c:pt>
                <c:pt idx="3">
                  <c:v>51.6</c:v>
                </c:pt>
                <c:pt idx="4">
                  <c:v>29.4</c:v>
                </c:pt>
                <c:pt idx="5">
                  <c:v>55.5</c:v>
                </c:pt>
                <c:pt idx="6">
                  <c:v>49.5</c:v>
                </c:pt>
                <c:pt idx="7">
                  <c:v>46.3</c:v>
                </c:pt>
                <c:pt idx="8">
                  <c:v>49.9</c:v>
                </c:pt>
                <c:pt idx="9">
                  <c:v>50.9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9.1</c:v>
                </c:pt>
                <c:pt idx="1">
                  <c:v>9.1</c:v>
                </c:pt>
                <c:pt idx="2">
                  <c:v>9.1</c:v>
                </c:pt>
                <c:pt idx="3">
                  <c:v>9.1</c:v>
                </c:pt>
                <c:pt idx="4">
                  <c:v>9.1</c:v>
                </c:pt>
                <c:pt idx="5">
                  <c:v>9.1</c:v>
                </c:pt>
                <c:pt idx="6">
                  <c:v>9.1</c:v>
                </c:pt>
                <c:pt idx="7">
                  <c:v>9.1</c:v>
                </c:pt>
                <c:pt idx="8">
                  <c:v>9.1</c:v>
                </c:pt>
                <c:pt idx="9">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-722.9</c:v>
                </c:pt>
                <c:pt idx="1">
                  <c:v>-2039.3</c:v>
                </c:pt>
                <c:pt idx="2">
                  <c:v>621.7</c:v>
                </c:pt>
                <c:pt idx="3">
                  <c:v>204.5</c:v>
                </c:pt>
                <c:pt idx="4">
                  <c:v>42.6</c:v>
                </c:pt>
                <c:pt idx="5">
                  <c:v>52.6</c:v>
                </c:pt>
                <c:pt idx="6">
                  <c:v>46.8</c:v>
                </c:pt>
                <c:pt idx="7">
                  <c:v>47.6</c:v>
                </c:pt>
                <c:pt idx="8">
                  <c:v>50.4</c:v>
                </c:pt>
                <c:pt idx="9">
                  <c:v>60.2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1.68</c:v>
                </c:pt>
                <c:pt idx="1">
                  <c:v>1.49</c:v>
                </c:pt>
                <c:pt idx="2">
                  <c:v>1.28</c:v>
                </c:pt>
                <c:pt idx="3">
                  <c:v>1.09</c:v>
                </c:pt>
                <c:pt idx="4">
                  <c:v>-0.05</c:v>
                </c:pt>
                <c:pt idx="5">
                  <c:v>-0.14</c:v>
                </c:pt>
                <c:pt idx="6">
                  <c:v>0.16</c:v>
                </c:pt>
                <c:pt idx="7">
                  <c:v>0.04</c:v>
                </c:pt>
                <c:pt idx="8">
                  <c:v>-0.03</c:v>
                </c:pt>
                <c:pt idx="9">
                  <c:v>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2030</c:v>
                </c:pt>
              </c:strCache>
            </c:strRef>
          </c:cat>
          <c:val>
            <c:numRef>
              <c:f>Hoja1!$B$2</c:f>
              <c:numCache>
                <c:formatCode>#,##0</c:formatCode>
                <c:ptCount val="1"/>
                <c:pt idx="0">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11.9</c:v>
                </c:pt>
                <c:pt idx="2">
                  <c:v>19.7</c:v>
                </c:pt>
                <c:pt idx="3">
                  <c:v>25.3</c:v>
                </c:pt>
                <c:pt idx="4">
                  <c:v>10</c:v>
                </c:pt>
                <c:pt idx="5">
                  <c:v>0</c:v>
                </c:pt>
                <c:pt idx="6">
                  <c:v>153.6</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26.6</c:v>
                </c:pt>
                <c:pt idx="1">
                  <c:v>52.2</c:v>
                </c:pt>
                <c:pt idx="2">
                  <c:v>57.6</c:v>
                </c:pt>
                <c:pt idx="3">
                  <c:v>64.7</c:v>
                </c:pt>
                <c:pt idx="4">
                  <c:v>0</c:v>
                </c:pt>
                <c:pt idx="5">
                  <c:v>73.6</c:v>
                </c:pt>
                <c:pt idx="6">
                  <c:v>77.7</c:v>
                </c:pt>
                <c:pt idx="7">
                  <c:v>80.4</c:v>
                </c:pt>
                <c:pt idx="8">
                  <c:v>88.4</c:v>
                </c:pt>
                <c:pt idx="9">
                  <c:v>94.1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102.6</c:v>
                </c:pt>
                <c:pt idx="1">
                  <c:v>96.7</c:v>
                </c:pt>
                <c:pt idx="2">
                  <c:v>94</c:v>
                </c:pt>
                <c:pt idx="3">
                  <c:v>62</c:v>
                </c:pt>
                <c:pt idx="4">
                  <c:v>0</c:v>
                </c:pt>
                <c:pt idx="5">
                  <c:v>164.3</c:v>
                </c:pt>
                <c:pt idx="6">
                  <c:v>148</c:v>
                </c:pt>
                <c:pt idx="7">
                  <c:v>170.8</c:v>
                </c:pt>
                <c:pt idx="8">
                  <c:v>188.2</c:v>
                </c:pt>
                <c:pt idx="9">
                  <c:v>371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FIL Limited (Fidelity)</c:v>
                </c:pt>
                <c:pt idx="2">
                  <c:v>Baillie Gifford &amp; Co</c:v>
                </c:pt>
                <c:pt idx="3">
                  <c:v>Norges Bank</c:v>
                </c:pt>
                <c:pt idx="4">
                  <c:v>Autocartera</c:v>
                </c:pt>
              </c:strCache>
            </c:strRef>
          </c:cat>
          <c:val>
            <c:numRef>
              <c:f>Hoja1!$B$2:$B$6</c:f>
              <c:numCache>
                <c:formatCode>0.0"%"</c:formatCode>
                <c:ptCount val="5"/>
                <c:pt idx="0">
                  <c:v>9.92</c:v>
                </c:pt>
                <c:pt idx="1">
                  <c:v>5.27</c:v>
                </c:pt>
                <c:pt idx="2">
                  <c:v>4.96</c:v>
                </c:pt>
                <c:pt idx="3">
                  <c:v>3.06</c:v>
                </c:pt>
                <c:pt idx="4">
                  <c:v>0.71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c:v>
                </c:pt>
                <c:pt idx="1">
                  <c:v>-13.7</c:v>
                </c:pt>
                <c:pt idx="2">
                  <c:v>28.9</c:v>
                </c:pt>
                <c:pt idx="3">
                  <c:v>30.7</c:v>
                </c:pt>
                <c:pt idx="4">
                  <c:v>0.2</c:v>
                </c:pt>
                <c:pt idx="5">
                  <c:v>24.2</c:v>
                </c:pt>
                <c:pt idx="6">
                  <c:v>-30.3</c:v>
                </c:pt>
                <c:pt idx="7">
                  <c:v>39.9</c:v>
                </c:pt>
                <c:pt idx="8">
                  <c:v>9.9</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20.1</c:v>
                </c:pt>
                <c:pt idx="1">
                  <c:v>16.4</c:v>
                </c:pt>
                <c:pt idx="2">
                  <c:v>20.9</c:v>
                </c:pt>
                <c:pt idx="3">
                  <c:v>16.6</c:v>
                </c:pt>
                <c:pt idx="4">
                  <c:v>32.4</c:v>
                </c:pt>
                <c:pt idx="5">
                  <c:v>19.5</c:v>
                </c:pt>
                <c:pt idx="6">
                  <c:v>17.9</c:v>
                </c:pt>
                <c:pt idx="7">
                  <c:v>17.1</c:v>
                </c:pt>
                <c:pt idx="8">
                  <c:v>16.9</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17.1</c:v>
                </c:pt>
                <c:pt idx="1">
                  <c:v>17.1</c:v>
                </c:pt>
                <c:pt idx="2">
                  <c:v>17.1</c:v>
                </c:pt>
                <c:pt idx="3">
                  <c:v>17.1</c:v>
                </c:pt>
                <c:pt idx="4">
                  <c:v>17.1</c:v>
                </c:pt>
                <c:pt idx="5">
                  <c:v>17.1</c:v>
                </c:pt>
                <c:pt idx="6">
                  <c:v>17.1</c:v>
                </c:pt>
                <c:pt idx="7">
                  <c:v>17.1</c:v>
                </c:pt>
                <c:pt idx="8">
                  <c:v>17.1</c:v>
                </c:pt>
                <c:pt idx="9">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 Trader</c:v>
                </c:pt>
                <c:pt idx="1">
                  <c:v>Rightmove</c:v>
                </c:pt>
                <c:pt idx="2">
                  <c:v>Scout24</c:v>
                </c:pt>
                <c:pt idx="3">
                  <c:v>REA Group</c:v>
                </c:pt>
                <c:pt idx="4">
                  <c:v>CAR Group</c:v>
                </c:pt>
                <c:pt idx="5">
                  <c:v>CarGurus</c:v>
                </c:pt>
                <c:pt idx="6">
                  <c:v>Cars.com</c:v>
                </c:pt>
                <c:pt idx="7">
                  <c:v>Hemnet</c:v>
                </c:pt>
              </c:strCache>
            </c:strRef>
          </c:cat>
          <c:val>
            <c:numRef>
              <c:f>Hoja1!$B$2:$B$9</c:f>
              <c:numCache>
                <c:formatCode>0.0"x"</c:formatCode>
                <c:ptCount val="8"/>
                <c:pt idx="0">
                  <c:v>9.9</c:v>
                </c:pt>
                <c:pt idx="1">
                  <c:v>11.5</c:v>
                </c:pt>
                <c:pt idx="2">
                  <c:v>10.8</c:v>
                </c:pt>
                <c:pt idx="3">
                  <c:v>16.1</c:v>
                </c:pt>
                <c:pt idx="4">
                  <c:v>12.5</c:v>
                </c:pt>
                <c:pt idx="5">
                  <c:v>6.7</c:v>
                </c:pt>
                <c:pt idx="6">
                  <c:v>4.2</c:v>
                </c:pt>
                <c:pt idx="7">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4.5</c:v>
                </c:pt>
              </c:numCache>
            </c:numRef>
          </c:xVal>
          <c:yVal>
            <c:numRef>
              <c:f>Hoja1!$C$2</c:f>
              <c:numCache>
                <c:formatCode>0.0"x"</c:formatCode>
                <c:ptCount val="1"/>
                <c:pt idx="0">
                  <c:v>9.9</c:v>
                </c:pt>
              </c:numCache>
            </c:numRef>
          </c:yVal>
          <c:smooth val="0"/>
        </c:ser>
        <c:ser>
          <c:idx val="1"/>
          <c:order val="1"/>
          <c:tx>
            <c:strRef>
              <c:f>Hoja1!$A$3</c:f>
              <c:strCache>
                <c:ptCount val="1"/>
                <c:pt idx="0">
                  <c:v>Rightmove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11.5</c:v>
                </c:pt>
              </c:numCache>
            </c:numRef>
          </c:yVal>
          <c:smooth val="0"/>
        </c:ser>
        <c:ser>
          <c:idx val="2"/>
          <c:order val="2"/>
          <c:tx>
            <c:strRef>
              <c:f>Hoja1!$A$4</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14.7</c:v>
                </c:pt>
              </c:numCache>
            </c:numRef>
          </c:xVal>
          <c:yVal>
            <c:numRef>
              <c:f>Hoja1!$C$4</c:f>
              <c:numCache>
                <c:formatCode>0.0"x"</c:formatCode>
                <c:ptCount val="1"/>
                <c:pt idx="0">
                  <c:v>10.8</c:v>
                </c:pt>
              </c:numCache>
            </c:numRef>
          </c:yVal>
          <c:smooth val="0"/>
        </c:ser>
        <c:ser>
          <c:idx val="3"/>
          <c:order val="3"/>
          <c:tx>
            <c:strRef>
              <c:f>Hoja1!$A$5</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6.1</c:v>
                </c:pt>
              </c:numCache>
            </c:numRef>
          </c:xVal>
          <c:yVal>
            <c:numRef>
              <c:f>Hoja1!$C$5</c:f>
              <c:numCache>
                <c:formatCode>0.0"x"</c:formatCode>
                <c:ptCount val="1"/>
                <c:pt idx="0">
                  <c:v>16.1</c:v>
                </c:pt>
              </c:numCache>
            </c:numRef>
          </c:yVal>
          <c:smooth val="0"/>
        </c:ser>
        <c:ser>
          <c:idx val="4"/>
          <c:order val="4"/>
          <c:tx>
            <c:strRef>
              <c:f>Hoja1!$A$6</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12.5</c:v>
                </c:pt>
              </c:numCache>
            </c:numRef>
          </c:yVal>
          <c:smooth val="0"/>
        </c:ser>
        <c:ser>
          <c:idx val="5"/>
          <c:order val="5"/>
          <c:tx>
            <c:strRef>
              <c:f>Hoja1!$A$7</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8.5</c:v>
                </c:pt>
              </c:numCache>
            </c:numRef>
          </c:xVal>
          <c:yVal>
            <c:numRef>
              <c:f>Hoja1!$C$7</c:f>
              <c:numCache>
                <c:formatCode>0.0"x"</c:formatCode>
                <c:ptCount val="1"/>
                <c:pt idx="0">
                  <c:v>6.7</c:v>
                </c:pt>
              </c:numCache>
            </c:numRef>
          </c:yVal>
          <c:smooth val="0"/>
        </c:ser>
        <c:ser>
          <c:idx val="6"/>
          <c:order val="6"/>
          <c:tx>
            <c:strRef>
              <c:f>Hoja1!$A$8</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4.2</c:v>
                </c:pt>
              </c:numCache>
            </c:numRef>
          </c:yVal>
          <c:smooth val="0"/>
        </c:ser>
        <c:ser>
          <c:idx val="7"/>
          <c:order val="7"/>
          <c:tx>
            <c:strRef>
              <c:f>Hoja1!$A$9</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-2.3</c:v>
                </c:pt>
              </c:numCache>
            </c:numRef>
          </c:xVal>
          <c:yVal>
            <c:numRef>
              <c:f>Hoja1!$C$9</c:f>
              <c:numCache>
                <c:formatCode>0.0"x"</c:formatCode>
                <c:ptCount val="1"/>
                <c:pt idx="0">
                  <c:v>9.9</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316</c:v>
                </c:pt>
                <c:pt idx="1">
                  <c:v>331</c:v>
                </c:pt>
                <c:pt idx="2">
                  <c:v>349</c:v>
                </c:pt>
                <c:pt idx="3">
                  <c:v>364</c:v>
                </c:pt>
                <c:pt idx="4">
                  <c:v>379</c:v>
                </c:pt>
                <c:pt idx="5">
                  <c:v>394</c:v>
                </c:pt>
                <c:pt idx="6">
                  <c:v>407</c:v>
                </c:pt>
                <c:pt idx="7">
                  <c:v>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2016</c:v>
                </c:pt>
                <c:pt idx="1">
                  <c:v>3691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5,12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3.63</c:v>
                </c:pt>
                <c:pt idx="1">
                  <c:v>6.81</c:v>
                </c:pt>
                <c:pt idx="2">
                  <c:v>7.96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5,12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(4,17 – 6,32)</c:v>
                </c:pt>
                <c:pt idx="3">
                  <c:v>Comparables: PER NTM (5,21 – 7,77)</c:v>
                </c:pt>
                <c:pt idx="4">
                  <c:v>Transacciones precedentes (EV/EBITDA) (12,54 – 13,47)</c:v>
                </c:pt>
                <c:pt idx="5">
                  <c:v>DCF (WACC y g ± 0,5) (5,93 – 8,03)</c:v>
                </c:pt>
                <c:pt idx="6">
                  <c:v>Escenarios (bajista – alcista) (3,63 – 7,96)</c:v>
                </c:pt>
                <c:pt idx="7">
                  <c:v>DCF con la prima implícita del mercado (4,2 %)</c:v>
                </c:pt>
                <c:pt idx="8">
                  <c:v>Precio actual (5,12)</c:v>
                </c:pt>
              </c:strCache>
            </c:strRef>
          </c:cat>
          <c:val>
            <c:numRef>
              <c:f>Hoja1!$B$2:$B$10</c:f>
              <c:numCache>
                <c:formatCode>#,##0.0</c:formatCode>
                <c:ptCount val="9"/>
                <c:pt idx="0">
                  <c:v>4.19</c:v>
                </c:pt>
                <c:pt idx="1">
                  <c:v>4.1</c:v>
                </c:pt>
                <c:pt idx="2">
                  <c:v>4.17</c:v>
                </c:pt>
                <c:pt idx="3">
                  <c:v>5.21</c:v>
                </c:pt>
                <c:pt idx="4">
                  <c:v>12.54</c:v>
                </c:pt>
                <c:pt idx="5">
                  <c:v>5.93</c:v>
                </c:pt>
                <c:pt idx="6">
                  <c:v>3.63</c:v>
                </c:pt>
                <c:pt idx="7">
                  <c:v>7.33</c:v>
                </c:pt>
                <c:pt idx="8">
                  <c:v>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(4,17 – 6,32)</c:v>
                </c:pt>
                <c:pt idx="3">
                  <c:v>Comparables: PER NTM (5,21 – 7,77)</c:v>
                </c:pt>
                <c:pt idx="4">
                  <c:v>Transacciones precedentes (EV/EBITDA) (12,54 – 13,47)</c:v>
                </c:pt>
                <c:pt idx="5">
                  <c:v>DCF (WACC y g ± 0,5) (5,93 – 8,03)</c:v>
                </c:pt>
                <c:pt idx="6">
                  <c:v>Escenarios (bajista – alcista) (3,63 – 7,96)</c:v>
                </c:pt>
                <c:pt idx="7">
                  <c:v>DCF con la prima implícita del mercado (4,2 %)</c:v>
                </c:pt>
                <c:pt idx="8">
                  <c:v>Precio actual (5,12)</c:v>
                </c:pt>
              </c:strCache>
            </c:strRef>
          </c:cat>
          <c:val>
            <c:numRef>
              <c:f>Hoja1!$C$2:$C$10</c:f>
              <c:numCache>
                <c:formatCode>#,##0.0</c:formatCode>
                <c:ptCount val="9"/>
                <c:pt idx="0">
                  <c:v>4.099999999999999</c:v>
                </c:pt>
                <c:pt idx="1">
                  <c:v>3.9000000000000004</c:v>
                </c:pt>
                <c:pt idx="2">
                  <c:v>2.1500000000000004</c:v>
                </c:pt>
                <c:pt idx="3">
                  <c:v>2.5599999999999996</c:v>
                </c:pt>
                <c:pt idx="4">
                  <c:v>0.9300000000000015</c:v>
                </c:pt>
                <c:pt idx="5">
                  <c:v>2.0999999999999996</c:v>
                </c:pt>
                <c:pt idx="6">
                  <c:v>4.33</c:v>
                </c:pt>
                <c:pt idx="7">
                  <c:v>1.6799999999999997</c:v>
                </c:pt>
                <c:pt idx="8">
                  <c:v>0.05000000000000071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