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Netflix, Inc.</w:t>
      </w:r>
    </w:p>
    <w:p>
      <w:pPr>
        <w:spacing w:after="60"/>
        <w:rPr>
          <w:color w:val="52514E"/>
          <w:sz w:val="22"/>
          <w:szCs w:val="22"/>
        </w:rPr>
      </w:pPr>
      <w:r>
        <w:rPr>
          <w:color w:val="52514E"/>
          <w:sz w:val="22"/>
          <w:szCs w:val="22"/>
        </w:rPr>
        <w:t xml:space="preserve">NFLX · Nasdaq Global Select Market · ISIN US64110L1061 · Servicios de comunicación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28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62,52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81,72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+30,7 % (base +27,6 %)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63,22 USD · mercado 76,54</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260.521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14,2x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0,4x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Netflix,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NFLX / US64110L1061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Servicios de comunicación / Entretenimiento (películas y entretenimiento)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Los Gatos (California) · 1997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https://ir.netflix.net</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62,52 (27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62,48 – 116,73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4.167,0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260.521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267.430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2.601 M USD/día (35,7 M de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ene 2027</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Baja · Objetivo a 12 meses </w:t>
      </w:r>
      <w:r>
        <w:rPr>
          <w:b/>
          <w:bCs/>
        </w:rPr>
        <w:t xml:space="preserve">81,72 USD</w:t>
      </w:r>
      <w:r>
        <w:t xml:space="preserve"> frente a 62,52 · Rentabilidad a 12 meses </w:t>
      </w:r>
      <w:r>
        <w:rPr>
          <w:b/>
          <w:bCs/>
        </w:rPr>
        <w:t xml:space="preserve">+30,7 % (base +27,6 %)</w:t>
      </w:r>
      <w:r>
        <w:t xml:space="preserve"> · Valor intrínseco 63,22 USD · con la prima implícita del mercado: 76,54 (+22,4 %) · Alcista / bajista +36,5 % / -40,5 %</w:t>
      </w:r>
    </w:p>
    <w:p>
      <w:pPr>
        <w:spacing w:after="100"/>
      </w:pPr>
      <w:r>
        <w:rPr>
          <w:b/>
        </w:rPr>
        <w:t xml:space="preserve">La recomendación y por qué.</w:t>
      </w:r>
      <w:r>
        <w:t xml:space="preserve"> Comprar, con convicción baja. Al cierre del 27-oct (62,52 USD) el precio ya está por debajo del valor real (63,22 USD, síntesis del DCF, los escenarios y los comparables), aunque solo un 1,1 %, y el objetivo a 12 meses con nuestra regla de múltiplos es de 81,72 USD: +30,7 % ponderado y +27,6 % el base, por debajo del objetivo medio de los analistas (84,76). Netflix no paga dividendo. La razón principal: cotiza a 16,9 veces nuestro BPA de 2027e, el PER más bajo de su historia, cuando el precio solo descuenta nuestro caso base. La asimetría es de 0,90 veces con nuestro coste de capital y de 2,47 con la prima del mercado. La convicción es baja porque las dos reglas del valor intrínseco discrepan (absoluta Mantener, relativa Comprar: con la prima del mercado vale 76,54 USD) y el margen sobre el valor real es mínimo; la subiría una guía de 2027 de +11 % o más en enero y la bajaría una por debajo del +10 %.</w:t>
      </w:r>
    </w:p>
    <w:p>
      <w:pPr>
        <w:spacing w:after="100"/>
      </w:pPr>
      <w:r>
        <w:rPr>
          <w:b/>
        </w:rPr>
        <w:t xml:space="preserve">Qué ha cambiado desde el 21-oct.</w:t>
      </w:r>
      <w:r>
        <w:t xml:space="preserve"> Nuestras cifras, nada: el BPA base de 2028e sigue en 4,29 USD. Ha cambiado el precio, un 9,0 % más bajo que el 20-oct (68,69) tras caer un 5,3 % el día de los resultados y seguir bajando sin noticia propia [59, 93]. El Tesoro baja del 5,13 % al 4,99 % y el WACC del 11,36 % al 11,20 %, y el 10-Q confirma 4.106,3 M de acciones a 30-sep [91, 94]. Por eso el valor real pasa de 61,92 a 63,22 USD y la señal de Mantener a Comprar. El consenso ya recoge la guía: BPA de 2027e −1,1 % y objetivo medio de 91,39 a 84,76 USD, sin rebajas de recomendación [80, 92].</w:t>
      </w:r>
    </w:p>
    <w:p>
      <w:pPr>
        <w:spacing w:after="100"/>
      </w:pPr>
      <w:r>
        <w:rPr>
          <w:b/>
        </w:rPr>
        <w:t xml:space="preserve">El negocio.</w:t>
      </w:r>
      <w:r>
        <w:t xml:space="preserve"> Netflix es el único streaming mundial que gana dinero de verdad: margen operativo del 29,5 % y ROIC del 38,0 % frente a un WACC del 11,20 %, cuando Disney DTC gana un 5,4 % [1, 19]. Su foso es la escala (más de 325 M de suscripciones) y su calidad sostiene el crecimiento que proyectamos (veredicto «Sí»): es la mitad del histórico y apenas pide capital. El riesgo es de techo: el visionado crece un 2 % y la publicidad va por detrás [10, 14].</w:t>
      </w:r>
    </w:p>
    <w:p>
      <w:pPr>
        <w:spacing w:after="100"/>
      </w:pPr>
      <w:r>
        <w:rPr>
          <w:b/>
        </w:rPr>
        <w:t xml:space="preserve">Valoración.</w:t>
      </w:r>
      <w:r>
        <w:t xml:space="preserve"> El DCF da 62,65 USD (+0,2 %). El DCF inverso dice que el precio supone un crecimiento del 7,9 % anual en 2027e-2033e, exactamente nuestro caso base, y rinde un 11,2 % anual, igual a nuestro coste de capital y por encima del 9,72 % que pide el mercado. Cotiza a 16,8 veces el EBITDA de los últimos 12 meses (media de la década, 49,2) y a 16,7 veces el beneficio de los próximos 12, frente a 24,9 de mediana de los comparables. La mediana de su PER adelantado de cinco años (30,3 veces) está a 1,79 veces el actual, al borde del umbral de 1,8 que manda a la regla v2: con la v2 la rentabilidad sería del 18,7 % (16,0 % el base), también Comprar.</w:t>
      </w:r>
    </w:p>
    <w:p>
      <w:pPr>
        <w:spacing w:after="100"/>
      </w:pPr>
      <w:r>
        <w:rPr>
          <w:b/>
        </w:rPr>
        <w:t xml:space="preserve">Riesgos y catalizadores.</w:t>
      </w:r>
      <w:r>
        <w:t xml:space="preserve"> El mayor riesgo es que YouTube y el nuevo Paramount-Warner frenen altas y precios, como en 2022: el bajista vale 37,21 USD (−40,5 %) [23, 26]. Catalizadores: la guía de 2027 en enero y las recompras (22.300 M pendientes, un 8,6 % del capital) [91]. Los foros, divididos, no aportan un riesgo nuevo.</w:t>
      </w:r>
    </w:p>
    <w:p>
      <w:pPr>
        <w:spacing w:after="100"/>
      </w:pPr>
      <w:r>
        <w:rPr>
          <w:b/>
        </w:rPr>
        <w:t xml:space="preserve">Qué cambiaría la decisión.</w:t>
      </w:r>
      <w:r>
        <w:t xml:space="preserve"> Compramos solo por debajo de 63,22 USD (valor real, que es el límite robusto de nivel A); para quien la tiene, el filtro de mantener aguanta hasta 74,29 USD. La banda de venta de la regla a 12 meses empieza en 90,80 USD (ponderada ≤ −10 %). Pasaríamos a Vender si UCAN crece menos de un 8 % en dos trimestres seguidos o si anuncia otra compra grande financiada con deuda.</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Baja · Horizonte: 12 meses (el objetivo depende de que el múltiplo se recupere; el valor real ya está en el precio) · Objetivo a 12 meses: </w:t>
      </w:r>
      <w:r>
        <w:rPr>
          <w:b/>
          <w:bCs/>
        </w:rPr>
        <w:t xml:space="preserve">81,72 USD</w:t>
      </w:r>
      <w:r>
        <w:t xml:space="preserve"> (rentabilidad +30,7 % (base +27,6 %)) · Valor intrínseco: 63,22 USD (+1,1 % sobre 62,52) · con la prima implícita del mercado: 76,54 (+22,4 %)</w:t>
      </w:r>
    </w:p>
    <w:p>
      <w:pPr>
        <w:spacing w:after="100"/>
      </w:pPr>
      <w:r>
        <w:t xml:space="preserve">Netflix es el ganador del streaming: 45.183 M de ingresos en 2025 (+16 %), un margen operativo del 29,5 % y un ROIC del 38,0 %, con un coste de contenidos que reparte entre más de 325 M de suscripciones mientras sus rivales apenas ganan dinero [1, 19]. La publicidad (≈ 2.700 M en 2026, menos de lo previsto), el directo y las subidas de precio sostienen un crecimiento de dos dígitos a corto plazo [14].</w:t>
      </w:r>
    </w:p>
    <w:p>
      <w:pPr>
        <w:spacing w:after="100"/>
      </w:pPr>
      <w:r>
        <w:t xml:space="preserve">El precio, 62,52 USD tras caer un 42,9 % en un año, ya no descuenta una tecnológica: 16,8 veces el EBITDA de los últimos 12 meses y 16,9 veces nuestro BPA de 2027e, mínimos de su década. El DCF inverso dice que pide un 7,9 % de crecimiento anual en 2027e-2033e, justo nuestro caso base, con un margen EBITDA final del 39,4 %: rinde un 11,2 % anual, lo mismo que nuestro WACC (11,20 %) [59].</w:t>
      </w:r>
    </w:p>
    <w:p>
      <w:pPr>
        <w:spacing w:after="100"/>
      </w:pPr>
      <w:r>
        <w:t xml:space="preserve">El mercado acierta al frenar el múltiplo: el crecimiento baja de +17,6 % (4T25) a +11,8 % (3T26) y +11,5 % guiado para el 4T26, UCAN crece un 11 % y el visionado un 2 % [10, 14]. Pero a este precio ya no hay que creer en una vuelta a crecer por encima del 11 %: basta con que el freno siga el ritmo de un punto al año y que el múltiplo deje de bajar.</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25/55/20)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81,72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 × 3,50 = 52,15 · 18,6x × 4,29 = 79,79 · 25,1x × 4,94 = 123,99</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30,7 % / 27,6 %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84,76 (nuestro base -5,9 %)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63,22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36,5 % / -40,5 %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 frente a 11,2 % y 9,7 %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9,7 %)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76,54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 frente a 21,5 %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(8,6 %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63,22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63,22 y 90,80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90,80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supera 63,22 USD (valor real) sin cambios en la guía, la compra se para y pasa a Mantener; quien la tiene la mantiene hasta 74,29 USD (filtro de mantener).</w:t>
      </w:r>
    </w:p>
    <w:p>
      <w:pPr>
        <w:pStyle w:val="ListParagraph"/>
        <w:numPr>
          <w:ilvl w:val="0"/>
          <w:numId w:val="2"/>
        </w:numPr>
        <w:spacing w:after="60"/>
      </w:pPr>
      <w:r>
        <w:t xml:space="preserve">Si la guía de 2027 (enero) da un crecimiento de los ingresos por debajo del 10 % o un margen operativo por debajo del 33 %, rehacemos el BPA y probablemente pasaríamos a Mantener.</w:t>
      </w:r>
    </w:p>
    <w:p>
      <w:pPr>
        <w:pStyle w:val="ListParagraph"/>
        <w:numPr>
          <w:ilvl w:val="0"/>
          <w:numId w:val="2"/>
        </w:numPr>
        <w:spacing w:after="60"/>
      </w:pPr>
      <w:r>
        <w:t xml:space="preserve">Si UCAN crece menos de un 8 % en dos trimestres seguidos, pasaríamos a Vender.</w:t>
      </w:r>
    </w:p>
    <w:p>
      <w:pPr>
        <w:pStyle w:val="ListParagraph"/>
        <w:numPr>
          <w:ilvl w:val="0"/>
          <w:numId w:val="2"/>
        </w:numPr>
        <w:spacing w:after="60"/>
      </w:pPr>
      <w:r>
        <w:t xml:space="preserve">Si anuncia otra compra grande financiada con deuda (más de 20.000 M), pasaríamos a Vender.</w:t>
      </w:r>
    </w:p>
    <w:p>
      <w:pPr>
        <w:pStyle w:val="ListParagraph"/>
        <w:numPr>
          <w:ilvl w:val="0"/>
          <w:numId w:val="2"/>
        </w:numPr>
        <w:spacing w:after="60"/>
      </w:pPr>
      <w:r>
        <w:t xml:space="preserve">Por encima de 90,80 USD la regla a 12 meses daría Vender (ponderada ≤ −10 %).</w:t>
      </w:r>
    </w:p>
    <w:p>
      <w:pPr>
        <w:pStyle w:val="Heading2"/>
      </w:pPr>
      <w:r>
        <w:t xml:space="preserve">Dónde discrepamos del mercado</w:t>
      </w:r>
    </w:p>
    <w:p>
      <w:pPr>
        <w:keepNext/>
        <w:spacing w:after="100"/>
      </w:pPr>
      <w:r>
        <w:rPr>
          <w:b/>
          <w:bCs/>
        </w:rPr>
        <w:t xml:space="preserve">Lo que descuenta el precio.</w:t>
      </w:r>
    </w:p>
    <w:p>
      <w:pPr>
        <w:spacing w:after="100"/>
      </w:pPr>
      <w:r>
        <w:t xml:space="preserve">Que Netflix crecerá un 7,9 % anual en 2027e-2033e con nuestros márgenes, o que su margen EBITDA llegará al 39,4 % con nuestro crecimiento: casi exactamente nuestro caso base. Los analistas son más optimistas: objetivo medio de 84,76 USD (recortado desde 91,39 tras el 3T26) y 33 recomendaciones de compra de 51 [80].</w:t>
      </w:r>
    </w:p>
    <w:p>
      <w:pPr>
        <w:keepNext/>
        <w:spacing w:after="100"/>
      </w:pPr>
      <w:r>
        <w:rPr>
          <w:b/>
          <w:bCs/>
        </w:rPr>
        <w:t xml:space="preserve">Lo que creemos nosotros.</w:t>
      </w:r>
    </w:p>
    <w:p>
      <w:pPr>
        <w:spacing w:after="100"/>
      </w:pPr>
      <w:r>
        <w:t xml:space="preserve">Un crecimiento del 10,5 % en 2027 y del 10 % en 2028 (algo menos que el consenso por la publicidad), que baja un punto al año hasta el 5 % de 2033 y un margen EBITDA del 39,5 %. Con eso, el DCF vale 62,65 USD con nuestro coste de capital y 77,65 con el que pide hoy el mercado: el precio está en el extremo bajo.</w:t>
      </w:r>
    </w:p>
    <w:p>
      <w:pPr>
        <w:keepNext/>
        <w:spacing w:after="100"/>
      </w:pPr>
      <w:r>
        <w:rPr>
          <w:b/>
          <w:bCs/>
        </w:rPr>
        <w:t xml:space="preserve">Por qué podemos tener razón.</w:t>
      </w:r>
    </w:p>
    <w:p>
      <w:pPr>
        <w:spacing w:after="100"/>
      </w:pPr>
      <w:r>
        <w:t xml:space="preserve">No discrepamos del mercado en las cifras: coincidimos casi con el consenso (BPA de 2028e un 4,4 % por debajo). Lo que creemos es que un PER de 16,9 veces para un negocio con un ROIC del 38 % y crecimiento del 10 % ya paga el riesgo de freno; el precio ha caído un 9 % en una semana sin que cambie ninguna cifra. Podríamos equivocarnos si la guía de 2027 confirma un crecimiento de un dígito.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62,5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Rentabilidad sin rival en el sector</w:t>
      </w:r>
      <w:r>
        <w:t xml:space="preserve">: ROIC del 38,0 % y margen operativo del 29,5 % frente al 5,4 % de Disney DTC [1, 19].</w:t>
      </w:r>
    </w:p>
    <w:p>
      <w:pPr>
        <w:pStyle w:val="ListParagraph"/>
        <w:numPr>
          <w:ilvl w:val="0"/>
          <w:numId w:val="2"/>
        </w:numPr>
        <w:spacing w:after="60"/>
      </w:pPr>
      <w:r>
        <w:rPr>
          <w:b/>
        </w:rPr>
        <w:t xml:space="preserve">Balance sano</w:t>
      </w:r>
      <w:r>
        <w:t xml:space="preserve">: deuda neta de 6.909 M, 0,4 veces el EBITDA, y 22.300 M de recompras autorizadas, un 8,6 % del capital [91].</w:t>
      </w:r>
    </w:p>
    <w:p>
      <w:pPr>
        <w:pStyle w:val="ListParagraph"/>
        <w:numPr>
          <w:ilvl w:val="0"/>
          <w:numId w:val="2"/>
        </w:numPr>
        <w:spacing w:after="60"/>
      </w:pPr>
      <w:r>
        <w:rPr>
          <w:b/>
        </w:rPr>
        <w:t xml:space="preserve">El precio solo pide el caso base</w:t>
      </w:r>
      <w:r>
        <w:t xml:space="preserve">: el DCF inverso descuenta un 7,9 % de crecimiento anual, el mismo que nuestro base.</w:t>
      </w:r>
    </w:p>
    <w:p>
      <w:pPr>
        <w:pStyle w:val="ListParagraph"/>
        <w:numPr>
          <w:ilvl w:val="0"/>
          <w:numId w:val="2"/>
        </w:numPr>
        <w:spacing w:after="60"/>
      </w:pPr>
      <w:r>
        <w:rPr>
          <w:b/>
        </w:rPr>
        <w:t xml:space="preserve">Múltiplo en mínimos de la década</w:t>
      </w:r>
      <w:r>
        <w:t xml:space="preserve">: 16,8 veces el EBITDA LTM frente a una media de 49,2; 16,9 veces el BPA de 2027e.</w:t>
      </w:r>
    </w:p>
    <w:p>
      <w:pPr>
        <w:pStyle w:val="ListParagraph"/>
        <w:numPr>
          <w:ilvl w:val="0"/>
          <w:numId w:val="2"/>
        </w:numPr>
        <w:spacing w:after="60"/>
      </w:pPr>
      <w:r>
        <w:rPr>
          <w:b/>
        </w:rPr>
        <w:t xml:space="preserve">Dirección que cumple en margen</w:t>
      </w:r>
      <w:r>
        <w:t xml:space="preserve">: guía de margen cumplida cuatro de cinco años y disciplina al no subir la oferta por Warner [9, 42].</w:t>
      </w:r>
    </w:p>
    <w:p>
      <w:pPr>
        <w:pStyle w:val="Heading2"/>
      </w:pPr>
      <w:r>
        <w:t xml:space="preserve">En contra</w:t>
      </w:r>
    </w:p>
    <w:p>
      <w:pPr>
        <w:pStyle w:val="ListParagraph"/>
        <w:numPr>
          <w:ilvl w:val="0"/>
          <w:numId w:val="2"/>
        </w:numPr>
        <w:spacing w:after="60"/>
      </w:pPr>
      <w:r>
        <w:rPr>
          <w:b/>
        </w:rPr>
        <w:t xml:space="preserve">El crecimiento se frena</w:t>
      </w:r>
      <w:r>
        <w:t xml:space="preserve">: de +17,6 % en el 4T25 a +11,8 % en el 3T26 y +11,5 % guiado para el 4T26 [14].</w:t>
      </w:r>
    </w:p>
    <w:p>
      <w:pPr>
        <w:pStyle w:val="ListParagraph"/>
        <w:numPr>
          <w:ilvl w:val="0"/>
          <w:numId w:val="2"/>
        </w:numPr>
        <w:spacing w:after="60"/>
      </w:pPr>
      <w:r>
        <w:rPr>
          <w:b/>
        </w:rPr>
        <w:t xml:space="preserve">La publicidad falla</w:t>
      </w:r>
      <w:r>
        <w:t xml:space="preserve">: ≈ 2.700 M en 2026 frente a ≈ 3.000 M previstos; Peters admite ir «por detrás» [17].</w:t>
      </w:r>
    </w:p>
    <w:p>
      <w:pPr>
        <w:pStyle w:val="ListParagraph"/>
        <w:numPr>
          <w:ilvl w:val="0"/>
          <w:numId w:val="2"/>
        </w:numPr>
        <w:spacing w:after="60"/>
      </w:pPr>
      <w:r>
        <w:rPr>
          <w:b/>
        </w:rPr>
        <w:t xml:space="preserve">YouTube le gana el tiempo de televisión</w:t>
      </w:r>
      <w:r>
        <w:t xml:space="preserve">: 14,2 % frente al ≈ 8-9 % de Netflix en EE. UU. [23].</w:t>
      </w:r>
    </w:p>
    <w:p>
      <w:pPr>
        <w:pStyle w:val="ListParagraph"/>
        <w:numPr>
          <w:ilvl w:val="0"/>
          <w:numId w:val="2"/>
        </w:numPr>
        <w:spacing w:after="60"/>
      </w:pPr>
      <w:r>
        <w:rPr>
          <w:b/>
        </w:rPr>
        <w:t xml:space="preserve">Margen mínimo sobre el valor real</w:t>
      </w:r>
      <w:r>
        <w:t xml:space="preserve">: 63,22 USD de valor real frente a 62,52 de precio, un 1,1 %.</w:t>
      </w:r>
    </w:p>
    <w:p>
      <w:pPr>
        <w:pStyle w:val="ListParagraph"/>
        <w:numPr>
          <w:ilvl w:val="0"/>
          <w:numId w:val="2"/>
        </w:numPr>
        <w:spacing w:after="60"/>
      </w:pPr>
      <w:r>
        <w:rPr>
          <w:b/>
        </w:rPr>
        <w:t xml:space="preserve">Bajista profundo</w:t>
      </w:r>
      <w:r>
        <w:t xml:space="preserve">: 37,21 USD (−40,5 %); en 2022 la acción cayó un 51 %.</w:t>
      </w:r>
    </w:p>
    <w:p>
      <w:pPr>
        <w:pStyle w:val="ListParagraph"/>
        <w:numPr>
          <w:ilvl w:val="0"/>
          <w:numId w:val="2"/>
        </w:numPr>
        <w:spacing w:after="60"/>
      </w:pPr>
      <w:r>
        <w:rPr>
          <w:b/>
        </w:rPr>
        <w:t xml:space="preserve">Tendencia bajista</w:t>
      </w:r>
      <w:r>
        <w:t xml:space="preserve">: −42,9 % en 12 meses y en mínimos de 52 semanas, un 24 % bajo la media de 200 sesiones [59].</w:t>
      </w:r>
    </w:p>
    <w:p>
      <w:pPr>
        <w:pStyle w:val="Heading2"/>
      </w:pPr>
      <w:r>
        <w:t xml:space="preserve">Qué tiene que pasar para que la tesis funcione</w:t>
      </w:r>
    </w:p>
    <w:p>
      <w:pPr>
        <w:spacing w:after="100"/>
      </w:pPr>
      <w:r>
        <w:t xml:space="preserve">La tesis depende de que el crecimiento se estabilice en torno al 10-11 % en 2027 gracias a la publicidad y a los mercados fuera de EE. UU. La señal de que no se cumple sería una guía de 2027 por debajo del +10 % o un UCAN por debajo del +8 %; la de que el mercado se queda corto, una guía de +12 % o más con margen al alza.</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los ingresos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 (3T26); guía +11,5 % (4T26)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descuenta un 7,9 % anual en 2027e-2033e.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UCAN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+8 %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saturación de precios en su mayor mercado.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 (2025); guía 31,5 %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31 %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caso base sube el margen cada año.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Ratio de pagos de contenidos sobre amortización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(2025); 1,16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encima de 1,2</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capex real del negocio.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Cuota del tiempo de televisión en EE. UU. (Nielsen)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8-9 %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7,5 %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competencia de YouTube.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Ingresos publicitarios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2.700 M (guía 2026, rebajada desde ≈ 3.000 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Menos de 2.500 M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la palanca de crecimiento de 2027-2028.</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16,8x / 14,2x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18,1x / 16,7x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17,2x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(2016-2025)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0,4x · 0,4x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Reed Hastings y Marc Randolph fundaron Netflix en 1997 para alquilar DVD por correo; salió a bolsa en el Nasdaq en mayo de 2002. En 2007 lanzó el streaming en EE. UU., en 2010-2016 se expandió por Canadá, América Latina, Europa y, en enero de 2016, a más de 130 países a la vez. Desde House of Cards (2013) produce contenido propio, que hoy domina su visionado. Tras perder suscriptores en 2022, lanzó el plan con anuncios (nov-2022) y limitó las cuentas compartidas (2023); cerró el negocio de DVD en septiembre de 2023. Desdobló la acción 10 por 1 en noviembre de 2025, intentó comprar Warner Bros. (dic-2025) y perdió la puja ante Paramount Skydance en febrero de 2026, con una comisión de ruptura de 2.800 M; Paramount cerró la compra el 6-oct-2026 y el grupo resultante se llama Skydance. En octubre de 2026 Netflix anunció su mayor recorte de plantilla en años (≈ 6 %, unos 1.000 empleos) [2, 8, 12, 26, 35].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Scotts Valley (California) como alquiler de DVD por correo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el Nasdaq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del streaming en EE. UU.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serie propia de gran presupuesto (House of Cards)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simultáneo en más de 130 países: servicio casi global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Ted Sarandos, co-consejero delegado con Reed Hastings; primer año de flujo libre positivo (1.900 M) [1,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de suscriptores en el 1S22, plan con anuncios (noviembre) y caída de la acción del 51 % en el año [1,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Greg Peters co-consejero delegado; fin de las cuentas compartidas gratis; cierre del DVD (29-sep)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Desdoblamiento 10 por 1; más de 325 M de suscripciones; publicidad &gt; 1.500 M [8].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Acuerdo para comprar los estudios y HBO Max de Warner Bros. (82.700 M); WBD lo rescinde el 27-feb-2026 por la oferta de Paramount Skydance y Netflix cobra 2.800 M; Paramount cierra la compra de WBD el 6-oct-2026 (nuevo grupo: Skydance) [3, 8, 26].</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Netflix es el mayor servicio de entretenimiento por suscripción del mundo: series, películas, documentales, programas en directo (boxeo, NFL, béisbol), videojuegos y, desde 2026, pódcasts en vídeo, en más de 190 países y más de 50 idiomas. A fines de 2025 tenía más de 325 M de suscripciones de pago, y su audiencia «se acerca a 1.000 M de personas» (oct-2026). Vende directamente al consumidor (web y aplicaciones) y a través de socios: fabricantes de televisores, operadoras de telecomunicaciones y de cable (que cobran la cuota) y acuerdos como los de Mercado Libre en México y Brasil o Flipkart en India. Produce o encarga la mayor parte de su contenido de estreno en más de 50 países (lo que no es en inglés ya supera un tercio del visionado) y lo completa con licencias de terceros (Universal, Sony, Paramount y, desde el 3T26, un nuevo acuerdo con Disney) y con canales integrados, como el de la cadena francesa TF1 desde el verano de 2026 [8, 9, 10, 14].</w:t>
      </w:r>
    </w:p>
    <w:p>
      <w:pPr>
        <w:pStyle w:val="Heading2"/>
      </w:pPr>
      <w:r>
        <w:t xml:space="preserve">Cómo gana dinero</w:t>
      </w:r>
    </w:p>
    <w:p>
      <w:pPr>
        <w:spacing w:after="100"/>
      </w:pPr>
      <w:r>
        <w:t xml:space="preserve">Casi todo el ingreso es recurrente: cuotas mensuales que se cobran por adelantado, más publicidad en el plan con anuncios (≈ 2.700 M en 2026, ≈ 5 % de las ventas, tras rebajar en octubre los ≈ 3.000 M previstos por retrasos con socios) [9, 14, 17]. El coste principal es fijo a corto plazo: la amortización de contenidos (36 % de las ventas en 2025) no depende de cuántos suscriptores ven cada título, así que cada suscripción o subida de precio adicional cae casi entera al margen. Ese apalancamiento llevó el margen operativo del 4,3 % al 29,5 % en diez años [1]. Los ingresos crecen por tres palancas: más suscripciones (sobre todo fuera de EE. UU.), subidas de precio cada 1-2 años y publicidad. Hay poca estacionalidad en ingresos; el margen varía por trimestre según el calendario de estrenos (más amortización en el primer semestre de 2026) [9].</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UCAN (EE. UU. y Canadá)</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19.957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EMEA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14.515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LATAM</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APAC</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DVD (cerrado en sep-2023)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UCAN (EE. UU. y Canadá)</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12.972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14.085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14.874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17.359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19.957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EMEA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10.557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12.387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14.515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LATAM</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APAC</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DVD (cerrado en sep-2023)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No hay concentración: más de 325 M de suscripciones de pago, casi todas de particulares; los socios de distribución (operadoras, fabricantes de televisores, Mercado Libre) cobran por cuenta de Netflix pero ninguno es relevante por sí solo [8, 9]. Netflix no publica la tasa de bajas. Su poder de precios está demostrado: en el 4T24 los ingresos crecieron un 16 % con un ingreso medio por suscripción +1 % (+3 % a tipo constante) y suscripciones medias +15 %, después de varias subidas [5]; en el 1S26 subió precios en EE. UU., México y España con un efecto «en línea con lo esperado» [10]. El plan con anuncios (8,99 USD en EE. UU.) atrae a más del 60 % de las altas donde existe, lo que baja el precio de entrada sin perder ingresos por usuario gracias a la publicidad [9].</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Suscripciones de pago a fin de año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301,6 M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325 M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Netflix dejó de publicar el dato trimestral en 2025; solo da hitos [5,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publicitarios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1.500 M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2.700 M (guía 2026, rebajada en oct-26 desde ≈ 3.000 M)</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+80 %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Recorte por retrasos en integraciones con socios de nuevos productos publicitarios; el plan con anuncios llega a 15 países más en 2027 (los 12 primeros en marzo) [14, 17].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Horas de visionado (semestre)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96.000 M (2S25)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97.000 M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 interanual</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2027 el informe de visionado pasa a ser anual; en el 3T26 la carta reconoce la «preocupación» de los inversores por el crecimiento de las horas, sin dar cifra global (India: +24 %) [8, 10, 14].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 (2025); 34,6 % (3T26); guía 31,5 %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de 2025 incluye ≈ 619 M de un litigio fiscal en Brasil; la guía de 2026 absorbe ≈ 30 pb del recorte de plantilla del 4T26 [1, 7, 14].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Ratio pagos de contenidos / amortización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 (2025); 1,17x (9M26); ≈ 1,1x guía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estable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Pagos de 17.708 M frente a 16.422 M de amortización en 2025; 14.977 M frente a 12.765 M en los nueve meses de 2026 [1, 14].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Cuota del tiempo de televisión en EE. UU. (Nielsen)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 (dic-2024)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 (dic-2025)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Máximo histórico según la propia Netflix; ≈ 5 % del tiempo de televisión mundial [8,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 ingresos a tipo de cambio constante (3T26)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UCAN +11 %, EMEA +9 %, LATAM +12 %, APAC +15 %; churn mejor que hace un año y que lo previsto [14].</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Mercado relevante: el vídeo en streaming de pago y con anuncios (SVOD y AVOD) en todo el mundo, donde Netflix compite por el tiempo y el gasto del hogar con Disney+, HBO Max, Prime Video, Peacock, Paramount+ y, en el tiempo de pantalla, con YouTube. Usamos la estimación de Grand View Research (129.300 M USD en 2024), que incluye suscripción y publicidad. Como contraste, la suma de los ingresos de streaming publicados por las cinco mayores plataformas (Netflix 39.001 M en 2024; Disney DTC 22.776 M en su ejercicio 2024; Paramount DTC 7.632 M; WBD DTC ≈ 10.500 M; Peacock 4.900 M) ya da ≈ 85.000 M sin YouTube ni Amazon, lo que hace verosímil el orden de magnitud [18, 19, 20, 21, 22]. Las previsiones de crecimiento de las consultoras (21,5 % anual) son mucho más altas que el crecimiento real de los líderes (12-16 %): no las usamos para el DCF.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129.300 M USD en 2024 (Grand View Research) [18]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del tiempo de televisión de la televisión lineal al streaming</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streaming es el 49,0 % del tiempo de televisión en EE. UU. en julio de 2026 (+0,5 pp), último Gauge publicado a 21-oct; emisión en abierto 19,5 % y cable 18,7 % [23].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Publicidad en streaming</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ingresos publicitarios de Netflix pasan de &gt; 1.500 M (2025) a ≈ 2.700 M previstos en 2026 (≈ 3.000 M antes del 3T26); el plan con anuncios llega a 15 países más en 2027 [8, 14].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YouTube y el vídeo de creadores en la televisión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YouTube tiene un récord del 14,2 % del tiempo de televisión en EE. UU. (jul-2026) frente al 7,9 % de Netflix (jun-2026; 8,3 % un año antes), y 42.582 M de ingresos publicitarios en los 12 meses a jun-2026 (40.367 M en 2025) [22, 23, 32, 34].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Deporte en directo y derechos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Netflix amplía la NFL y lleva el World Baseball Classic en Japón (31,4 M de espectadores, su mayor emisión en Japón); encarece el contenido [9, 10].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Consolidación de estudios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Paramount cerró la compra de Warner Bros. Discovery el 6-oct-2026: el nuevo grupo, Skydance, suma dos estudios, HBO Max y Paramount+ (más de 200 M de suscriptores) y promete ≥ 6.000 M de sinergias en tres años, con una deuda elevada [24, 26].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Poder adquisitivo y tipos de cambio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LATAM los ingresos crecieron un 11 % en dólares y ≈ 20 % a tipo constante en 2025 [8].</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Disney, Amazon, Apple, Comcast, Skydance (Paramount + WBD) y YouTube pujan por el mismo tiempo; casi todos ganan poco con el streaming: Disney DTC 5,4 % de margen operativo (ejercicio a sep-2025), Paramount DTC 2,7 % y WBD Streaming 12,6 % de EBITDA ajustado, y Peacock pierde ≈ 1.100 M en 2025 [19, 21, 27, 29].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Darse de baja cuesta un clic; pero Netflix sube precios cada 1-2 años sin perder clientes (ingreso medio por cliente +1 % y suscripciones +15 % en el 4T24) [5].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Talento, ligas deportivas y estudios: los derechos de la NFL y de grandes estrenos se encarecen; la producción propia lo limita [8].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Hacen falta ≈ 17.000-20.000 M al año de contenidos y escala mundial; las últimas entradas (Apple, Peacock) siguen sin escala [8, 21].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YouTube, TikTok, videojuegos y redes sociales compiten por el ocio; la IA generativa abarata la producción de vídeo [10, 23].</w:t>
            </w:r>
          </w:p>
        </w:tc>
      </w:tr>
    </w:tbl>
    <w:p>
      <w:pPr>
        <w:spacing w:after="160" w:before="0"/>
      </w:pPr>
    </w:p>
    <w:p>
      <w:pPr>
        <w:pStyle w:val="Heading2"/>
      </w:pPr>
      <w:r>
        <w:t xml:space="preserve">Ciclo</w:t>
      </w:r>
    </w:p>
    <w:p>
      <w:pPr>
        <w:spacing w:after="100"/>
      </w:pPr>
      <w:r>
        <w:t xml:space="preserve">El streaming de pago es un mercado en madurez temprana en EE. UU. y en crecimiento fuera: el 49,0 % del tiempo de televisión en EE. UU. ya es streaming (jul-2026), y Netflix dice tener menos del 45 % de los hogares con banda ancha de su mercado [9, 23]. Es poco cíclico: en 2020 la pandemia aceleró las altas y en 2022 el problema fue propio (cuentas compartidas, saturación), no la recesión. La señal de madurez es el freno de UCAN (+10 % en el 2T26 y +11 % en el 3T26) y que la publicidad y los precios pesan ya más que el volumen; las horas vistas crecen poco [14, 35].</w:t>
      </w:r>
    </w:p>
    <w:p>
      <w:pPr>
        <w:pStyle w:val="Heading2"/>
      </w:pPr>
      <w:r>
        <w:t xml:space="preserve">Regulación</w:t>
      </w:r>
    </w:p>
    <w:p>
      <w:pPr>
        <w:spacing w:after="100"/>
      </w:pPr>
      <w:r>
        <w:t xml:space="preserve">Tres frentes con efecto en cifras. Europa: la directiva de servicios audiovisuales exige un 30 % de obra europea en el catálogo y deja a cada país imponer inversión local; Alemania aprobó en el Consejo de Ministros (27-may-2026) un proyecto que obligaría a invertir el 8 % de los ingresos alemanes en obra europea (80 % con «sello cultural alemán»), no antes del 1-ene-2027 [36, 37]. Brasil: el proyecto de ley de streaming (que extiende la Condecine al vídeo bajo demanda), aprobado por la Cámara en nov-2025, sigue pendiente de trámite en el Senado [38]. EE. UU.: el arancel del 100 % a películas rodadas fuera, anunciado en 2025, no se ha concretado [10]. Aparte, el litigio fiscal de Brasil costó ≈ 619 M en el 3T25 [7].</w:t>
      </w:r>
    </w:p>
    <w:p>
      <w:pPr>
        <w:pStyle w:val="Heading2"/>
      </w:pPr>
      <w:r>
        <w:t xml:space="preserve">Tendencias y disrupción</w:t>
      </w:r>
    </w:p>
    <w:p>
      <w:pPr>
        <w:spacing w:after="100"/>
      </w:pPr>
      <w:r>
        <w:t xml:space="preserve">A favor: la publicidad, que Netflix casi duplica en 2026 (≈ 2.700 M, por debajo de los ≈ 3.000 M previstos) y lleva a 15 países más en 2027, y el directo, que con un 5 % del gasto en contenidos genera seis de los diez mejores días de altas [10, 14]. Netflix se convierte además en agregador: canales de terceros (TF1 en Francia) y licencias de Disney [14]. En contra: YouTube, con el 14,2 % del tiempo de televisión en EE. UU. frente al 7,9 % de Netflix, y la consolidación: Skydance (Paramount + WBD) existe desde el 6-oct-2026 [23, 26, 34]. La IA generativa abarata la producción propia y la de rivales de bajo coste [10].</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streaming de pago por ingresos (39.001 M en 2024, ≈ 30 % de un mercado de ≈ 129.300 M; 45.183 M en 2025 y 51.100 M previstos en 2026); 2.º en tiempo de televisión en EE. UU. tras YouTube (7,9 % frente a 13,5 % en junio de 2026) [1, 14, 18, 34].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Disney (Entertainment DTC: Disney+, Hulu)</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24.614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Último ejercicio (sep-2025): beneficio operativo de 1.327 M (143 M el año anterior); 132 M de suscriptores de Disney+. Desde el ejercicio 2026 ya no separa el DTC: el segmento Entertainment ganó 1.680 M sobre 11.345 M en el trimestre a jun-2026 (1.022 M un año antes). Acaba de licenciar series y películas a Netflix [14, 19, 33].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Skydance (Paramount+, HBO Max, Pluto TV)</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SKYD</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19.460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Suma propia de 2025: Paramount DTC 8.584 M (OIBDA ajustado 230 M, 2,7 %) y WBD Streaming 10.876 M (EBITDA ajustado 1.370 M, 12,6 %); margen de EBITDA, no EBIT. En el 1S26 mejoran: Paramount DTC 617 M sobre 4.872 M y WBD Streaming 950 M sobre 5.966 M. Fusión cerrada el 6-oct-2026; más de 200 M de suscriptores [26, 27, 28, 29, 30].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Comcast (Peacock)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CMCSA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ingresos de 5.400 M y costes de 6.500 M; 44 M de suscriptores de pago. 1S26: 4.000 M de ingresos y 4.200 M de costes, con beneficio en el 2T26 por el Mundial; 2,6 % del tiempo de televisión en EE. UU. [21, 23, 31].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Alphabet (YouTube)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GOOGL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40.367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Solo publicidad de YouTube en 2025 (42.582 M en los 12 meses a jun-2026); gratis para el usuario, primer distribuidor de televisión en EE. UU. con el 14,2 % del tiempo [22, 23, 32].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Amazon (Prime Video)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AMZN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Incluido en Prime; no publica sus cifras; compró MGM (2022) y tiene la NFL de los jueves y la NBA; 4,2 % del tiempo de televisión en EE. UU. en junio de 2026 [8, 34].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Indirectos: más suscriptores financian más contenido (≈ 17.700 M de pagos en 2025) y más datos de visionado; no hay red entre usuarios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Bajos: baja en un clic; los perfiles, el historial y las recomendaciones dan algo de retención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mundial y franquicias propias (Stranger Things 120 M de visualizaciones, KPop Demon Hunters, Bridgerton, Squid Game) [3, 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29,5 % en 2025 (31,5 % previsto en 2026) frente al 5,4 % de Disney DTC, el 2,7 % (OIBDA) de Paramount DTC y las pérdidas de Peacock: reparte el coste de cada título entre 325 M de suscripciones [4, 18, 9, 20, 11].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Solo Netflix y YouTube tienen escala mundial rentable; Paramount y WBD han tenido que fusionarse (Skydance, oct-2026) para acercarse [19].</w:t>
            </w:r>
          </w:p>
        </w:tc>
      </w:tr>
    </w:tbl>
    <w:p>
      <w:pPr>
        <w:spacing w:after="160" w:before="0"/>
      </w:pPr>
    </w:p>
    <w:p>
      <w:pPr>
        <w:pStyle w:val="Heading2"/>
      </w:pPr>
      <w:r>
        <w:t xml:space="preserve">Amenazas</w:t>
      </w:r>
    </w:p>
    <w:p>
      <w:pPr>
        <w:spacing w:after="100"/>
      </w:pPr>
      <w:r>
        <w:t xml:space="preserve">La principal no es otro servicio de suscripción, sino YouTube: gratis, con contenido de creadores cada vez más largo y en la televisión del salón, ya supera en un 70 % la cuota de tiempo de Netflix en EE. UU. (13,5 % frente a 7,9 % en junio) [34]. La segunda, Skydance: desde el 6-oct-2026 junta HBO, Warner Bros., DC y Paramount, puede retirar licencias y pujar por talento y deporte; probabilidad media, porque su deuda y las sinergias de 6.000 M la obligan a recortar [26]. La tercera, que el freno de las horas vistas limite las subidas de precio: UCAN crece un 11 % y la publicidad decepciona (≈ 2.700 M) [14]. El foso sigue siendo amplio y estable.</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24.996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10.747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45.183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14.155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10.981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r>
    </w:tbl>
    <w:p>
      <w:pPr>
        <w:spacing w:after="160" w:before="0"/>
      </w:pPr>
    </w:p>
    <w:p>
      <w:pPr>
        <w:spacing w:after="100"/>
      </w:pPr>
      <w:r>
        <w:t xml:space="preserve">Crecimiento anual compuesto 2016-2025: ingresos </w:t>
      </w:r>
      <w:r>
        <w:rPr>
          <w:b/>
          <w:bCs/>
        </w:rPr>
        <w:t xml:space="preserve">19,9 %</w:t>
      </w:r>
      <w:r>
        <w:t xml:space="preserve">, EBITDA </w:t>
      </w:r>
      <w:r>
        <w:rPr>
          <w:b/>
          <w:bCs/>
        </w:rPr>
        <w:t xml:space="preserve">47,2 %</w:t>
      </w:r>
      <w:r>
        <w:t xml:space="preserve">, BPA </w:t>
      </w:r>
      <w:r>
        <w:rPr>
          <w:b/>
          <w:bCs/>
        </w:rPr>
        <w:t xml:space="preserve">57,3 %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pasaron de 8.831 M en 2016 a 45.183 M en 2025 (TCAC ≈ 20 %), todo orgánico salvo compras pequeñas de estudios (≈ 790 M en 2021 y ≈ 760 M en 2022). El margen operativo subió del 4,3 % en 2016 al 29,5 % en 2025 por apalancamiento: la amortización de contenidos bajó del 54 % al 36 % de las ventas. En 2025 el margen habría sido ≈ 30,9 % sin el gasto fiscal de Brasil (≈ 619 M en el 3T25) [1, 7]. </w:t>
      </w:r>
      <w:r>
        <w:rPr>
          <w:b/>
        </w:rPr>
        <w:t xml:space="preserve">2026 se desacelera</w:t>
      </w:r>
      <w:r>
        <w:t xml:space="preserve">: +16 % en el 1T, +13 % en el 2T y +11,8 % en el 3T (+11 % a tipo de cambio constante), con un margen operativo del 34,6 % en el 3T26 frente al 28,2 % del 3T25 [14]. La guía de 2026 queda en 51.100 M (+13 %) y un margen del 31,5 %, que ya absorbe ≈ 30 pb del recorte de plantilla del 4T26; el 4T26 se guía al 26,0 % [14]. LTM a sep-26: ingresos de 49.735 M y beneficio operativo de 15.565 M (margen ≈ 31,3 %). 2022 no es comparable por la caída de suscriptores y 2023 por las huelgas, que rebajaron los pagos de contenidos [1, 2].</w:t>
      </w:r>
    </w:p>
    <w:p>
      <w:pPr>
        <w:pStyle w:val="Heading2"/>
      </w:pPr>
      <w:r>
        <w:t xml:space="preserve">Ajustes y partidas no recurrentes</w:t>
      </w:r>
    </w:p>
    <w:p>
      <w:pPr>
        <w:spacing w:after="100"/>
      </w:pPr>
      <w:r>
        <w:t xml:space="preserve">Se usan cifras publicadas (US GAAP). Partidas no recurrentes: 2025, ≈ 619 M en coste de ventas por impuestos indirectos de Brasil, de los que ≈ 495 M son de 2022-2024 (estimación propia, en no_recurrentes_en_ebitda) [7]; 1T26, 2.800 M de comisión de ruptura de Warner Bros. Discovery en «Interest and other income» (por debajo del EBIT): infla el beneficio neto LTM (14.767 M) y el BPA LTM (3,46 USD), que sin ella serían ≈ 2.200 M y ≈ 0,52 USD menores tras impuestos (estimación propia al 21 %) [3, 9, 14]. El LTM sep-26 ya no incluye el gasto de Brasil (3T25). En el 4T26 entrará un gasto por el recorte de plantilla (≈ 120 pb de margen del trimestre, ≈ 160 M estimación propia sobre 13.442 M) [14].</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10.247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12.051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rPr>
          <w:b/>
        </w:rPr>
        <w:t xml:space="preserve">3T26 (20-oct-2026).</w:t>
      </w:r>
      <w:r>
        <w:t xml:space="preserve"> Netflix cumplió su guía de ingresos (12.874 M, +11,8 %) y la superó en margen (34,6 % frente a 33,2 % previsto) por calendario de gastos; el BPA de 0,87 USD batió los 0,82 del consenso de LSEG [14, 16]. Lo que movió la acción fue la guía: 13.442 M de ingresos y 0,67 USD de BPA en el 4T26, por debajo de los 0,73 esperados, con un margen del 26,0 % que incluye ≈ 120 pb del despido de ≈ 1.000 personas (≈ 6 % de la plantilla); publicidad 2026 rebajada a ≈ 2.700 M desde ≈ 3.000 M por retrasos en integraciones con socios, y FCF a ≈ 12.000 M desde 12.500 M por una operación inmobiliaria [14, 16, 17]. La carta dedica un párrafo a la «preocupación de los inversores» por las horas de visionado. En la entrevista, los analistas (Baird, MoffettNathanson, Morgan Stanley, StoneX) preguntaron por la demanda publicitaria, la diferencia de ingreso por miembro entre planes con y sin anuncios, el modelo país a país y el tamaño del recorte. Peters admitió ir «un poco por detrás» del objetivo de anuncios (aun así +80 % en 2026); Sarandos dijo que no hace falta cambiar la estrategia sino «mejor ejecución en EE. UU.». </w:t>
      </w:r>
      <w:r>
        <w:rPr>
          <w:b/>
        </w:rPr>
        <w:t xml:space="preserve">Lo que evitaron</w:t>
      </w:r>
      <w:r>
        <w:t xml:space="preserve">: guía de 2027 («prematura»; solo «crecimiento de doble dígito, más margen y más FCF»), el ahorro del recorte en 2027 y nuevos servicios añadidos [17]. </w:t>
      </w:r>
      <w:r>
        <w:rPr>
          <w:b/>
        </w:rPr>
        <w:t xml:space="preserve">Frente al 2T26</w:t>
      </w:r>
      <w:r>
        <w:t xml:space="preserve">: entonces la guía de 2026 se estrechó al alza en margen y la publicidad seguía en ≈ 3.000 M; ahora el tono pasa de «en línea» a «hay que hacerlo mejor». Warner Bros. Discovery ya no aparece en la carta: el acuerdo terminó en febrero y WBD pasó a Paramount Skydance [10, 12, 14, 16].</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13.587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19.013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33.976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39.280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16.309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11.065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44.585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15.393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15.849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48.595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14.353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20.777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48.732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14.543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20.588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53.630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24.744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55.597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14.463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26.616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Netflix pasó de financiar contenidos con deuda (de 3.364 M en 2016 a 16.309 M en 2020) a mantener la deuda bruta casi plana desde 2020 con caja propia. A 30-sep-2026 la deuda bruta nominal es de 15.337 M y la deuda neta de 7.114 M según la empresa, ≈ 0,45 veces el EBITDA LTM (estimación propia) [14]. La caja bajó de 9.034 M en diciembre a 8.194 M porque las recompras de los nueve meses (10.782 M) superaron el FCF (9.503 M) con la ayuda de la comisión de Warner Bros. El circulante es estructuralmente negativo salvo la caja: los pasivos de contenidos y los ingresos diferidos (1.780 M) financian parte del activo [14].</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10.981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2016-2025: FCF </w:t>
      </w:r>
      <w:r>
        <w:rPr>
          <w:b/>
          <w:bCs/>
        </w:rPr>
        <w:t xml:space="preserve">17.189</w:t>
      </w:r>
      <w:r>
        <w:t xml:space="preserve">, conversión </w:t>
      </w:r>
      <w:r>
        <w:rPr>
          <w:b/>
          <w:bCs/>
        </w:rPr>
        <w:t xml:space="preserve">42 %</w:t>
      </w:r>
      <w:r>
        <w:t xml:space="preserve"> del beneficio neto; adquisiciones 1.563, dividendos 0, recompras 22.036.</w:t>
      </w:r>
    </w:p>
    <w:p>
      <w:pPr>
        <w:spacing w:after="100"/>
      </w:pPr>
      <w:r>
        <w:t xml:space="preserve">Netflix quemó caja hasta 2019 (flujo operativo de −2.887 M) porque pagaba contenidos 1,4-1,6 veces por encima de lo que amortizaba; desde 2020 la ratio baja hacia 1,1x y el flujo operativo pasa a 10.149 M en 2025. El beneficio se convierte en caja casi uno a uno: FCF de 9.461 M frente a 10.981 M de beneficio en 2025 [1]. En los nueve meses de 2026 el FCF es de 9.503 M (+25 %), pero ≈ 2.200 M vienen de la comisión de Warner Bros. después de impuestos (estimación propia); sin ella crecería ≈ −4 % por el mayor gasto de contenidos (1,17x frente a 1,1x de guía) [14]. La guía de 2026 baja a ≈ 12.000 M por una operación inmobiliaria del 4T. El capex (694 M en 9M26, 1,8 % de las ventas) es sobre todo crecimiento (estudios y oficinas); el mantenimiento real está en los contenidos, que van en explotación: un capex de mantenimiento aparte no se publica [14].</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también sobre el control interno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0,50x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Las cifras son fiables, con una zona de juicio: la amortización de contenidos. Netflix amortiza cada título de forma acelerada (más del 90 % en cuatro años) según patrones de visionado estimados; un cambio de vidas útiles movería el margen sin mover la caja, y por eso miramos los pagos de caja [1]. Los incentivos fiscales a la producción rebajaron la amortización en ≈ 1.000 M en 2025 [1]. La remuneración en acciones es baja (368 M, 0,8 % de las ventas): Netflix paga sobre todo en efectivo. El tipo impositivo efectivo (13,7 % en 2025) se apoya en créditos de I+D y en la deducción por ingresos del exterior; el de 2026 sube al 16 % en el 2T26 [3]. Los indicadores del motor no dan alarmas: Altman Z de 8,88 (zona segura), Piotroski F de 7 y Beneish M de −2,53, por debajo del umbral de manipulación. El auditor es EY desde 2012, sin salvedades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Capitalización y amortización acelerada de contenidos con estimaciones de la dirección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del 90 % de cada título se amortiza en cuatro años; la amortización (16.422 M en 2025) es el 36 % de los ingresos y depende de patrones de visionado estimados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fiscal de Brasil cargado de una vez en el 3T25 por 2022-2025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619 M en coste de ventas; ya identificado en los 10-Q y 10-K anteriores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Incentivos fiscales a la producción restan coste a los contenidos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Rebajaron la amortización de producciones propias en ≈ 1.000 M en 2025 (899 M en 2024)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de 2026 inflado por la comisión de ruptura de Warner Bros.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2.800 M en otros ingresos del 1T26: no recurrente [3, 9].</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en acciones baja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368 M en 2025 (0,8 % de las ventas): Netflix paga sobre todo en efectivo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Recorte de plantilla y operación inmobiliaria en el 4T26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 120 pb del margen del 4T26 por indemnizaciones (≈ 1.000 personas) y menor FCF del año por una operación inmobiliaria; se anuncian, pero sin cifra exacta hasta el 10-K [14, 16].</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4"/>
        <w:gridCol w:w="985"/>
        <w:gridCol w:w="985"/>
        <w:gridCol w:w="985"/>
        <w:gridCol w:w="1095"/>
        <w:gridCol w:w="1095"/>
        <w:gridCol w:w="1095"/>
        <w:gridCol w:w="1204"/>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4.310</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5.784</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9.532</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14.564</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18.246</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22.191</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27.143</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28.533</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29.368</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31.379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0 M en 2025 (el 0 % del capital invertido medio); ha subido más de un 5 % en 0 de 9 años: sin compras. Sin compras relevantes: el publicado ya es el ROIC del negocio.</w:t>
      </w:r>
    </w:p>
    <w:p>
      <w:pPr>
        <w:spacing w:after="100"/>
      </w:pPr>
      <w:r>
        <w:rPr>
          <w:b/>
          <w:bCs/>
        </w:rPr>
        <w:t xml:space="preserve">ROIC incremental</w:t>
      </w:r>
      <w:r>
        <w:t xml:space="preserve"> (variación del NOPAT sobre variación del capital invertido en el periodo): 43,1 % · </w:t>
      </w:r>
      <w:r>
        <w:rPr>
          <w:b/>
          <w:bCs/>
        </w:rPr>
        <w:t xml:space="preserve">WACC</w:t>
      </w:r>
      <w:r>
        <w:t xml:space="preserve">: 11,2 %.</w:t>
      </w:r>
    </w:p>
    <w:p>
      <w:pPr>
        <w:spacing w:after="100"/>
      </w:pPr>
      <w:r>
        <w:rPr>
          <w:b/>
        </w:rPr>
        <w:t xml:space="preserve">Netflix crea valor con holgura y cada vez más.</w:t>
      </w:r>
      <w:r>
        <w:t xml:space="preserve"> El ROIC subió del 6,3 % de 2016 al 38,0 % de 2025, más de tres veces el WACC del 11,20 %, y el ROIC incremental histórico es del 43,1 % [1]. Lo explica el margen (el beneficio neto pasó del 2,1 % al 24,3 % de las ventas), no la rotación, que se mantiene en 0,65-0,83 veces porque los contenidos (32.778 M) son casi todo el capital invertido. El tropiezo de 2022 (17,7 %) muestra el riesgo: si el crecimiento se para, los contenidos ya comprometidos siguen amortizándose. Ningún rival de streaming se acerca: Disney DTC gana un 5,4 % sobre ventas y Paramount DTC perdió dinero en 2024 [19, 20].</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sep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6.909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y equivalentes de 8.194 M e inversiones a corto de 29 M a 30-sep-2026, más una línea de crédito revolving de 3.000 M sin disponer (vence en abril de 2029); de esa caja saldrán los 1.000 M del bono de noviembre de 2026 [3, 14].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A2 (perspectiva positiva) y S&amp;P A (estable), según la hoja de condiciones de la emisión de julio de 2026 [15].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Obligaciones de contenidos de 25.223 M a 30-sep-2026 (3.885 M a corto y 1.723 M a largo en balance; el resto, ≈ 19.600 M, fuera de balance): es el pasivo que más pesa y no es deuda financiera, pero obliga como si lo fuera [14]. Arrendamientos operativos de ≈ 2.330 M (jun-26), ya recogidos en el EBITDA [3]. Covenant de la línea de crédito: EBITDA / intereses ≥ 3,0 veces, con holgura de más de 20 veces [3]. Brasil: depósito de ≈ 700 M previsto en 2026 por la disputa de impuestos indirectos [8]. Beneficios fiscales no reconocidos de 566 M [1]. Sin pensiones de prestación definida ni pagos aplazados de compras relevantes. En el 4T26: indemnizaciones del recorte de plantilla y cierre de una operación inmobiliaria, causa principal de la rebaja de 500 M de la guía de FCF [14].</w:t>
      </w:r>
    </w:p>
    <w:p>
      <w:pPr>
        <w:pStyle w:val="Heading1"/>
      </w:pPr>
      <w:r>
        <w:t xml:space="preserve">12. Asignación de capital</w:t>
      </w:r>
    </w:p>
    <w:p>
      <w:pPr>
        <w:pStyle w:val="Confianza"/>
        <w:spacing w:after="100"/>
      </w:pPr>
      <w:r>
        <w:t xml:space="preserve">Confianza: Alta</w:t>
      </w:r>
    </w:p>
    <w:p>
      <w:pPr>
        <w:spacing w:after="100"/>
      </w:pPr>
      <w:r>
        <w:t xml:space="preserve">Netflix no paga dividendo. Prioridades declaradas, «sin cambios»: reinvertir en el negocio (orgánico y compras selectivas), mantener un balance sano con grado de inversión y liquidez amplia, y devolver el excedente con recompras [14]. En el 3T26 recompró 63,9 M de acciones por 4.800 M, su mayor trimestre de recompras, y le quedan 22.300 M de autorización (incluida la de 25.000 M de abril de 2026) [10, 14]. Las recompras de los nueve meses (10.782 M) superan el FCF (9.503 M): se pagan en parte con la caja de la comisión de Warner Bros. y con el bono de julio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4.386,5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4.468,1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4.512,4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4.517,7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4.542,1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4.553,7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4.512,9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4.392,6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4.343,9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Scanline VFX, Next Games, Night School Studio y otras (estudios de efectos y videojuegos)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 Netflix Games y de la producción de efectos propia; sin deterioros publicados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Animal Logic, Boss Fight, Spry Fox y otras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Animación propia; KPop Demon Hunters en 2025 fue su mayor éxito de animación [2, 10].</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Estudios y HBO Max de Warner Bros. (82.700 M de valor empresa; 27,75 USD por acción de WBD, después todo en efectivo)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Puente de 59.000 M rebajado a 34.000 M con deuda a plazo; luego 42.200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se cerró: WBD rescindió el acuerdo el 27-feb-2026 para aceptar a Paramount Skydance; Netflix cobró 2.800 M de comisión de ruptura [3, 8, 12].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InterPositive (herramientas de IA para cine) y otras del 1T26</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Línea «Acquisitions» de 586 M en el 1T26 (estado de flujos de los nueve meses); sin desglose por compra hasta el 10-Q [9, 14].</w:t>
            </w:r>
          </w:p>
        </w:tc>
      </w:tr>
    </w:tbl>
    <w:p>
      <w:pPr>
        <w:spacing w:after="160" w:before="0"/>
      </w:pPr>
    </w:p>
    <w:p>
      <w:pPr>
        <w:spacing w:after="100"/>
      </w:pPr>
      <w:r>
        <w:t xml:space="preserve">Sin dividendo, la dirección ha usado la caja en recomprar: 6.045 M en 2023, 6.264 M en 2024, 9.127 M en 2025 y 10.782 M en 9M26, y las acciones diluidas bajan de 4.553,7 M en 2021 a 4.195,1 M en el 3T26 (−7,9 %) [1, 14]. La pausa de recompras anunciada en enero para financiar Warner Bros. (82.700 M de valor empresa) fue breve: perder la puja dejó 2.800 M de comisión y evitó el riesgo de integración. Las compras pequeñas de estudios (2021-2022) no han dado deterioros [2, 8, 12]. El punto débil es el momento: recompra récord a ≈ 75 USD por acción (4.797 M / 63,9 M) en el 3T26 mientras la acción cae más de un 40 % en un año [14, 16].</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Ted Sarandos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Co-consejero delegado y presidente (President)</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Netflix desde 2000 como responsable de contenidos; impulsó la producción propia desde House of Cards (2013). Co-consejero delegado desde julio de 2020: los ingresos pasaron de 25.000 M a 45.183 M (2025) y el margen operativo del 18 % al 29,5 % [40, 42].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Greg Peters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Netflix desde 2008; director de producto y operaciones. Lideró el plan con anuncios (nov-2022) y la limitación de cuentas compartidas (2023). Co-consejero delegado desde enero de 2023 [40, 42].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Spencer Neumann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director financiero de Activision Blizzard y responsable financiero en Disney. En su etapa, Netflix pasó de flujo libre negativo (−3.100 M en 2019) a 9.500 M en 2025 y empezó las recompras [40, 42].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Jay Hoag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0,06 %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de Technology Crossover Ventures; consejero coordinador independiente desde 2012 y presidente desde el 4-jun-2026. En 2025 no obtuvo la mayoría de los votos (21,5 % a favor) y el consejo rechazó su dimisión [25, 41].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Hyman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jurídico y secretario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Responsable jurídico desde 2002; vendió 38,1 M USD en acciones en 12 meses [40, 43].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Reed Hastings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presidente hasta el 4-jun-2026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y consejero delegado durante más de 25 años; presidente ejecutivo hasta abril de 2025 y presidente no ejecutivo hasta la junta de 2026, a la que no se presentó. Vendió 309 M USD con plan 10b5-1 entre oct-2025 y jun-2026 y donó 256.033 acciones [40, 43, 44]; fuera ya del consejo (sin Form 4), sigue vendiendo: Form 144 de 23,7 M (1-jul) y 24,7 M (3-ago) y aviso de otros 25,2 M el 1-sep-2026, más 239.223 acciones donadas a una fundación que las vendió el 5-ago [50].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Peter Rice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de contenidos (Chief Content Officer) desde el 26-oct-2026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Expresidente de Walt Disney Television y de General Entertainment de Disney; antes en Fox. Sustituye a Bela Bajaria, que deja Netflix tras casi diez años, anunciado el 15-16-oct-2026, un día después del despido de ≈1.000 empleados [52].</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20 % (ene-2021)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20,9 %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19-20 % (ene-2022)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17,8 % publicado; 20 % a tipos de cambio de enero y sin reestructuración</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18-20 % (ene-2023)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20,6 % (21 % según la empresa)</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22-23 %, elevado al 24 % en ene-2024; crecimiento de ingresos de dos dígitos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26,7 % y +16 %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43.500-44.500 M y margen del 29 % (ene-2025)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45.183 M y 29,5 % (pese a ≈ 619 M de Brasil)</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3T25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31,5 % en el trimestre</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28,2 % por el gasto fiscal de Brasil</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Ene-2026: ingresos de 50.700-51.700 M (+12-14 %), margen operativo del 31,5 % (a tipos de cambio del 1-ene, con ≈275 M de gastos de la compra de Warner Bros.), publicidad «aproximadamente el doble» y flujo libre ≈11.000 M [8]. Abr: ingresos y margen sin cambios; flujo libre ≈12.500 M por la comisión de ruptura de Warner Bros. [9]. Jul: ingresos estrechados a 51.000-51.400 M, margen 31,5 %, publicidad ≈3.000 M, flujo libre ≈12.500 M [10]. Oct: ingresos 51.100 M (0,2 % bajo el punto medio anterior), margen 31,5 % (31,4 % a tipos de enero; incluye ≈30 pb de los despidos del 4T), publicidad ≈2.700 M y flujo libre ≈12.000 M por una operación inmobiliaria del 4T [14].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curso. Nueve meses: ingresos de 37.684 M, margen del 33,5 % (33,3 % a tipos de enero) y flujo libre de 9.503 M; la previsión del 4T26 (13.442 M y margen del 26,0 %) cierra el año en 51.100 M y 31,5 % [14].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3T26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de 12.860 M y margen operativo del 33,2 % (jul-2026) [10]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12.874 M y 34,6 % (por calendario de gastos) [14]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rPr>
          <w:b/>
        </w:rPr>
        <w:t xml:space="preserve">Un equipo con historial de cumplir la guía, que ahora recorta costes y cambia de jefa de contenidos.</w:t>
      </w:r>
      <w:r>
        <w:t xml:space="preserve"> Desde 2021 la dirección ha cumplido su objetivo anual de margen en cuatro de cinco años, y en 2022 lo cumplió a tipos de cambio constantes [42]. En el 3T26 cumplió la guía de ingresos (+11,8 %) y la superó en margen (34,6 % frente al 33,2 %), pero falló en publicidad: ≈ 2.700 M en 2026 frente a ≈ 3.000 M; Peters admitió ir «un poco por detrás» [14, 17]. El 14-oct despidió a ≈ 1.000 personas (≈ 6 % de la plantilla), el mayor recorte desde 2022, y Bela Bajaria, jefa de contenidos, deja la empresa tras casi diez años; la sustituye Peter Rice (ex-Disney) desde el 26-oct [51, 52]. La sucesión de la cúpula se resolvió con orden: Peters se sumó a Sarandos como co-consejero delegado en 2023, Hastings dejó la presidencia ejecutiva en 2025 y el consejo en 2026, y la presidencia pasó a un independiente, Jay Hoag [25, 44]. Lo que resta: los directivos venden y no compran (402,5 M en 12 meses, sobre todo Hastings con un plan 10b5-1) y la ampliación de las indemnizaciones de la cúpula desde 2026 [43, 45].</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Jay Hoag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Ted Sarandos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Greg Peters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Richard Barton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Mathias Döpfner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Leslie Kilgore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Strive Masiyiwa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Ann Mather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 experta financiera)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Elinor Mertz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Susan Rice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Brad Smith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 y Gobierno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82 %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16,2 %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14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también sobre el control interno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403,22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Capital Management (Vanguard)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indexado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Schedule 13G de 30-abr-2026 (316,3 M acciones a 31-mar-2026); tras la reorganización de Vanguard (12-ene-2026) la matriz declara 0 % y otras filiales informan aparte; antes 8,65 % en el 13G/A de feb-2024 [48, 49]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Último 13G/A de ene-2024; sin presentaciones posteriores [40]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FMR (Fidelity)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 del 5,29 % al 3,3 % (137,6 M acciones a 30-jun-2026; 13G/A del 6-ago-2026): deja de ser accionista significativo [40, 47]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directivos (16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en mercado de 402,5 M USD en 12 meses (384,0 M con planes 10b5-1); ninguna compra [43]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413,4 M de acciones en autocartera a 30-jun-2026 (346,5 M a fin de 2025), sobre 4.577 M emitidas [3]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 oct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Bradford L. Smith (consejero; ejercicio de opciones y venta con plan 10b5-1) [54]</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11.980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31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Reed Hastings (presidente hasta el 4-jun-2026; 100 % con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3.221.820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308,95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David Hyman (director jurídico; 1,39 M fuera de plan)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355.231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Greg Peters (co-consejero delegado; 8,93 M fuera de plan)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207.987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Spencer Neumann (director financiero; 3,04 M fuera de plan)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175.219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Ted Sarandos (co-consejero delegado; 4,62 M fuera de plan)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180.744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Brad Smith (consejero; con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67.780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Cletus Willems (director de asuntos globales; fuera de plan)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5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Richard Barton (consejero; con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4.320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0,33</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53,91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41,40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Sarandos cobró 53,9 M USD en 2025 (Peters 53,2 M): 3,0 M de salario, 7,05 M de bonus y 41,4 M en acciones; 255 veces el empleado mediano [40]. El bonus depende de ingresos (35 %) y margen operativo (65 %) a tipo de cambio constante; el variable a largo plazo es mitad RSU y mitad PSU ligadas al TSR frente al S&amp;P 500 a tres años, lo que premia la rentabilidad para el accionista y no el crecimiento a cualquier precio [40]. Hay cláusula de recuperación de los incentivos. El voto en contra de la remuneración subió del 14,4 % en 2025 al 16,2 % en 2026, tras ampliar a dos años de salario y bonus la indemnización por despido o dimisión por «buena razón» [25, 41, 45].</w:t>
      </w:r>
    </w:p>
    <w:p>
      <w:pPr>
        <w:pStyle w:val="Heading2"/>
      </w:pPr>
      <w:r>
        <w:t xml:space="preserve">Operaciones vinculadas, estructura de control y defensas</w:t>
      </w:r>
    </w:p>
    <w:p>
      <w:pPr>
        <w:spacing w:after="100"/>
      </w:pPr>
      <w:r>
        <w:t xml:space="preserve">No hay accionista de control: los mayores son Vanguard (7,49 % en el 13G de abril de 2026, tras su reorganización) y BlackRock (7,34 %); Fidelity bajó al 3,3 % en agosto y dejó de ser accionista significativo; consejeros y directivos suman el 1,24 % [40, 47, 48]. Una acción, un voto; consejo declasificado por fases desde 2022, sin supermayorías, con acceso al proxy (3 % durante tres años) y derecho a convocar junta con el 20 % [40]. Los accionistas no pueden actuar por consentimiento escrito: la propuesta para permitirlo obtuvo un 44,4 % en 2026 [25]. No hay operaciones vinculadas relevantes. Desde junio de 2026 el presidente es independiente y se suprimió la figura del consejero coordinador [25].</w:t>
      </w:r>
    </w:p>
    <w:p>
      <w:pPr>
        <w:pStyle w:val="Heading2"/>
      </w:pPr>
      <w:r>
        <w:t xml:space="preserve">Señales de alerta</w:t>
      </w:r>
    </w:p>
    <w:p>
      <w:pPr>
        <w:pStyle w:val="ListParagraph"/>
        <w:numPr>
          <w:ilvl w:val="0"/>
          <w:numId w:val="2"/>
        </w:numPr>
        <w:spacing w:after="60"/>
      </w:pPr>
      <w:r>
        <w:t xml:space="preserve">Jay Hoag recibió solo un 21,5 % de votos a favor en la junta de 2025 (no obtuvo la mayoría) y el consejo rechazó su dimisión; en 2026 fue reelegido con un 93 % y nombrado presidente [25, 41].</w:t>
      </w:r>
    </w:p>
    <w:p>
      <w:pPr>
        <w:pStyle w:val="ListParagraph"/>
        <w:numPr>
          <w:ilvl w:val="0"/>
          <w:numId w:val="2"/>
        </w:numPr>
        <w:spacing w:after="60"/>
      </w:pPr>
      <w:r>
        <w:t xml:space="preserve">El voto en contra de la remuneración subió del 14,4 % (2025) al 16,2 % (2026) tras ampliar las indemnizaciones de la cúpula [25, 41, 45].</w:t>
      </w:r>
    </w:p>
    <w:p>
      <w:pPr>
        <w:pStyle w:val="ListParagraph"/>
        <w:numPr>
          <w:ilvl w:val="0"/>
          <w:numId w:val="2"/>
        </w:numPr>
        <w:spacing w:after="60"/>
      </w:pPr>
      <w:r>
        <w:t xml:space="preserve">Ventas de directivos de 402,5 M USD en 12 meses (384,0 M con planes 10b5-1; 18,5 M discrecionales, sobre todo Peters 8,9 M, Sarandos 4,6 M y Neumann 3,0 M) y ninguna compra; desde el 10-sep-2026 no hay más Form 4 de ventas [43].</w:t>
      </w:r>
    </w:p>
    <w:p>
      <w:pPr>
        <w:pStyle w:val="ListParagraph"/>
        <w:numPr>
          <w:ilvl w:val="0"/>
          <w:numId w:val="2"/>
        </w:numPr>
        <w:spacing w:after="60"/>
      </w:pPr>
      <w:r>
        <w:t xml:space="preserve">La propuesta de accionistas para actuar por consentimiento escrito obtuvo un 44,4 % de votos a favor en 2026 [25].</w:t>
      </w:r>
    </w:p>
    <w:p>
      <w:pPr>
        <w:pStyle w:val="ListParagraph"/>
        <w:numPr>
          <w:ilvl w:val="0"/>
          <w:numId w:val="2"/>
        </w:numPr>
        <w:spacing w:after="60"/>
      </w:pPr>
      <w:r>
        <w:t xml:space="preserve">Anne Sweeney dimitió del consejo el 26-jul-2026 sin desacuerdos declarados [46].</w:t>
      </w:r>
    </w:p>
    <w:p>
      <w:pPr>
        <w:pStyle w:val="ListParagraph"/>
        <w:numPr>
          <w:ilvl w:val="0"/>
          <w:numId w:val="2"/>
        </w:numPr>
        <w:spacing w:after="60"/>
      </w:pPr>
      <w:r>
        <w:t xml:space="preserve">Reed Hastings, fuera del consejo y sin obligación de Form 4, sigue vendiendo ≈25 M USD al mes (Form 144 de jul, ago y sep-2026) [50].</w:t>
      </w:r>
    </w:p>
    <w:p>
      <w:pPr>
        <w:pStyle w:val="ListParagraph"/>
        <w:numPr>
          <w:ilvl w:val="0"/>
          <w:numId w:val="2"/>
        </w:numPr>
        <w:spacing w:after="60"/>
      </w:pPr>
      <w:r>
        <w:t xml:space="preserve">Sale la directora de contenidos, Bela Bajaria; la sustituye Peter Rice (ex-Disney) desde el 26-oct-2026; anunciado un día después del despido de ≈1.000 empleados (≈6 %) del 14-oct [51, 52].</w:t>
      </w:r>
    </w:p>
    <w:p>
      <w:pPr>
        <w:pStyle w:val="ListParagraph"/>
        <w:numPr>
          <w:ilvl w:val="0"/>
          <w:numId w:val="2"/>
        </w:numPr>
        <w:spacing w:after="60"/>
      </w:pPr>
      <w:r>
        <w:t xml:space="preserve">FMR (Fidelity) baja del 5,29 % al 3,3 % del capital (13G/A de ago-2026) [47].</w:t>
      </w:r>
    </w:p>
    <w:p>
      <w:pPr>
        <w:pStyle w:val="ListParagraph"/>
        <w:numPr>
          <w:ilvl w:val="0"/>
          <w:numId w:val="2"/>
        </w:numPr>
        <w:spacing w:after="60"/>
      </w:pPr>
      <w:r>
        <w:t xml:space="preserve">Demanda colectiva (2-oct-2026) por recoger y monetizar datos de visionado de menores para publicidad; sin tribunal ni cuantía publicados [53].</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del 20-oct-2026 con el 3T26: ingresos de 2026 de 51.100 M (+13 %; +12 % sin divisa), un 0,2 % por debajo del punto medio de la horquilla anterior (51.000-51.400 M de julio [10]), porque la publicidad se queda en ≈2.700 M frente a ≈3.000 M previstos, aunque las suscripciones van mejor de lo esperado. Margen operativo del 31,5 % (29,5 % en 2025), con ≈30 pb de coste por el despido del 6 % de la plantilla; beneficio operativo +20 % o más. 4T26: ingresos de 13.442 M (+11,5 %), margen del 26,0 % (≈120 pb del despido) y BPA de 0,67 USD. Flujo libre de 2026 rebajado a ≈12.000 M (desde 12.500 M) por la compra de un inmueble en el 4T. La guía de 2027 llegará en enero [14, 82].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51.126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17.059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16.206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(28-oct, ya con el 3T26) [57]; BPA de Yahoo 3,584 con 37 analistas [80]</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56.634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19.719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18.860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(28-oct) [57]; Yahoo 3,767 con 44 analistas [80]</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62.249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22.743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21.796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(28-oct) [57]</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51.102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51.126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16.506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16.650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56.468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56.634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19.368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19.266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62.114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62.249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22.361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22.245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 16 /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84,76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57,00 – 126,00</w:t>
            </w:r>
          </w:p>
        </w:tc>
      </w:tr>
    </w:tbl>
    <w:p>
      <w:pPr>
        <w:spacing w:after="160" w:before="0"/>
      </w:pPr>
    </w:p>
    <w:p>
      <w:pPr>
        <w:pStyle w:val="Heading2"/>
      </w:pPr>
      <w:r>
        <w:t xml:space="preserve">Revisiones de estimaciones</w:t>
      </w:r>
    </w:p>
    <w:p>
      <w:pPr>
        <w:spacing w:after="100"/>
      </w:pPr>
      <w:r>
        <w:t xml:space="preserve">Una semana después del 3T26 el consenso ya recoge la guía rebajada. Según Yahoo (28-oct), el BPA de 2027e baja de 3,81 hace 30 días a 3,77 (−1,1 %; 7 revisiones a la baja y 1 al alza en 30 días) y el del 4T26 de 0,73 a 0,68, en línea con la guía de 0,67; el de 2026e sigue en 3,58 porque los nueve primeros meses (2,90) ya incluyen la comisión de ruptura de Warner [80]. MarketScreener pasa de 3,795 a 3,765 en 2027e y de 4,544 a 4,487 en 2028e (−1,3 %), con ingresos de 2028e de 62.249 M (antes 62.707) [57]. El objetivo medio cae de 91,39 a 84,76 USD (−7,3 %; mediana 82): UBS 115 → 110, Seaport 90 → 85, Guggenheim 80 → 78, Jefferies 85, Deutsche Bank 93 y TD Cowen 100, todos con comprar; ninguna rebaja de recomendación nueva [58, 92].</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w:t>
            </w:r>
          </w:p>
        </w:tc>
      </w:tr>
    </w:tbl>
    <w:p>
      <w:pPr>
        <w:spacing w:after="160" w:before="0"/>
      </w:pPr>
    </w:p>
    <w:p>
      <w:pPr>
        <w:spacing w:after="100"/>
      </w:pPr>
      <w:r>
        <w:t xml:space="preserve">Netflix pierde un 33,3 % en 2026 frente al +13,7 % del S&amp;P 500 y el −11,2 % del sector de comunicación, y un 43,3 % en un año. La caída tiene causas conocidas: cuatro guías seguidas por debajo de lo esperado (3T25, 1T26, 2T26 y 3T26), la puja por Warner Bros. en diciembre, la salida de Reed Hastings del consejo y rebajas de Wells Fargo y Huber. Tras el 3T26 cae un 5,3 % el 21-oct (65,04) y sigue bajando sin noticia propia hasta 62,52 el 27-oct, en una semana en que el ETF del sector (XLC) también cede un 6 % y el S&amp;P 500 sube. Beta mensual a 5 años de 1,60 y caída máxima del 75,9 % en 2021-2022 [59, 93].</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-9,7 % / -15,1 % / -32,2 % / -42,9 %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-46,0 % / 0,0 %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2027-01-19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22-oct-2025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3T25: margen operativo del 28,2 %, por debajo de la guía por un gasto fiscal en Brasil [7, 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3-dic-2025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Segunda oferta de Netflix en la subasta por Warner Bros. Discovery; el 5-dic firmó la compra de los estudios y HBO Max (82.700 M de valor empresa) y la acción cayó un 12,9 % en diciembre. El acuerdo se rescindió en febrero de 2026 y Netflix cobró 2.800 M de comisión de ruptura [8, 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17-abr-2026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1T26: guía del 2T (BPA 0,78 frente a 0,84 esperado, margen del 32,6 % frente al 34,4 %) y de 2026 sin subir pese a las subidas de precios en EE. UU.; Reed Hastings anuncia que deja el consejo en junio [85].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abr-may-2026 (mes hasta el 14-may)</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caída de un mes en seis meses: la del 17-abr más la continuación sin noticia propia relevante; el mercado descuenta un freno del crecimiento [59, 85].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19 meses dentro de la racha bajista; no hemos encontrado una noticia propia de la empresa ese día (búsqueda en prensa) [59].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2T26: guía del 3T de ingresos de 12.860 M frente a 13.000 M esperados y BPA de 0,82 frente a 0,84; Barclays, Pivotal y TD Cowen recortan objetivos; mínimo de 52 semanas de 65,08 USD [59, 86].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jul-ago-2026 (mes hasta el 20-ago)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Rebote desde el mínimo: Pershing Square (Bill Ackman) comunica el 13-ago una posición nueva en Netflix; el 19-ago la acción sube un 3,4 % hasta 80,43 USD [87].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4-sep-2026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Segunda subida de precios en Reino Unido en dos años, en una jornada de ventas en valores de crecimiento por los tipos [88].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21-27 oct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3T26 con la guía de 2026 rebajada por la publicidad (≈2.700 M frente a ≈3.000 M) y un 4T por debajo del consenso (BPA de 0,67 frente a 0,73): −5,3 % el 21-oct; del 23 al 27-oct sigue bajando sin noticia propia, con el sector de comunicación (XLC) también a la baja (−6 % en la semana) y recortes de objetivos (media de 91,39 a 84,76) [80, 92, 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consejero Bradford L. Smith ejerce 17.980 opciones y vende 11.980 acciones a 63,55 USD (≈0,76 M USD) con un plan 10b5-1 adoptado el 24-jul; venta pequeña y programada [54].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el 3T26, recortes de objetivo sin rebajas de recomendación: UBS 115 → 110, Seaport 90 → 85, Guggenheim 80 → 78; Jefferies 85, Deutsche Bank 93 y TD Cowen 100 (todos comprar). Objetivo medio de 91,39 a 84,76 USD [80, 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3T26: ingresos de 12.874 M (+11,8 %) y margen del 34,6 %, BPA de 0,87 frente a 0,82 esperado; pero la guía de 2026 baja a 51.100 M (punto medio anterior 51.200) por la publicidad (≈2.700 M frente a ≈3.000 M), el 4T crece un 11,5 % con margen del 26 % y el flujo libre de 2026 baja a ≈12.000 M; recompra récord de 4.800 M en el trimestre (22.300 M de autorización pendiente). La acción cae un 5,3 % el 21-oct [14, 81, 82].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Despido de ≈1.000 empleados (6 % de la plantilla), el mayor desde 2022, sobre todo en producto, tecnología, legal y recursos humanos; cuesta ≈120 pb de margen en el 4T26 [14, 51].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Huber Research rebaja a infraponderar; del 13 al 19-oct KeyBanc (92 → 85), BMO (135 → 125), Wedbush (105 → 90) y Seaport (102 → 90) bajan objetivos y Jefferies inicia con comprar y 85 USD [58, 79].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2026-09-18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Wells Fargo rebaja a infraponderar y baja el objetivo de 80 a 57 USD (el mínimo del consenso) por datos de terceros sobre uso; la acción cae un 4,7 % [89].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2026-08-13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Pershing Square (Bill Ackman) comunica una posición nueva en Netflix, comprada desde el 2T26 [87].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compras de directivos en seis meses; ventas en mercado de 93,3 M USD (84,1 M con planes 10b5-1), sobre todo de Reed Hastings (71,2 M, que dejó el consejo en junio), Ted Sarandos (12,1 M) y Greg Peters (4,4 M) [90].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2026-07-16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2T26: guía del 3T por debajo del consenso y fin de la publicación semestral de horas de visionado; caída del 7,3 % al día siguiente [86].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2026-04-16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Reed Hastings, cofundador y presidente, deja el consejo en junio de 2026 tras 29 años [85].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rescinde la compra de Warner Bros. y cobra 2.800 M de comisión de ruptura; Paramount Skydance compra todo WBD a 31 USD por acción (110.000 M de valor empresa), cierre pendiente: nace un rival con más catálogo y mucha deuda [8, 73, 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está en tendencia bajista (−24 % bajo la media de 200 sesiones, −42,9 % en 12 meses) y en el mínimo de 52 semanas, avisos P4 y P5. Cada caída fuerte tiene causa conocida: cuatro guías seguidas por debajo de lo esperado, la puja por Warner Bros. y rebajas de recomendación. Tras el 3T26 el consenso ya recoge la guía (BPA de 2027e −1,1 %, objetivo medio −7,3 %) y el precio cae un 9 % desde el día de los resultados. No hay ampliaciones, colocaciones, ofertas ni litigios materiales pendientes; las ventas de directivos son pequeñas y programadas. Ningún hecho pendiente retrasa ni descarta: el veredicto es «no cambia» y los próximos resultados (≈19-ene-2027) no aplazan nada (regla 11) [54, 59, 80].</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Netflix cotiza a 16,8 veces el EBITDA y 18,1 veces el beneficio de los últimos 12 meses (cierre del 27-oct), los mínimos de su década: un 66 % y un 73 % por debajo de sus medias de diez años (49,2 y ≈ 66 veces); el mínimo anterior de cierre de año fue el de 2022, 23,7 veces el EBITDA [59]. Parte de la caída es lógica: hasta 2021 el EBITDA era pequeño frente al precio porque el margen estaba en construcción, y el Tesoro en torno al 5 % pesa sobre todos los múltiplos de crecimiento. Lo nuevo es que el mercado ya no paga por crecimiento: la valora como un negocio maduro de televisión con buen margen, no como una tecnológica. El PER LTM está además rebajado por la comisión de Warner (2.800 M) dentro del beneficio.</w:t>
      </w:r>
    </w:p>
    <w:p>
      <w:pPr>
        <w:pStyle w:val="Heading1"/>
      </w:pPr>
      <w:r>
        <w:t xml:space="preserve">18. Comparables cotizados</w:t>
      </w:r>
    </w:p>
    <w:p>
      <w:pPr>
        <w:pStyle w:val="Confianza"/>
        <w:spacing w:after="100"/>
      </w:pPr>
      <w:r>
        <w:t xml:space="preserve">Confianza: Media</w:t>
      </w:r>
    </w:p>
    <w:p>
      <w:pPr>
        <w:spacing w:after="100"/>
      </w:pPr>
      <w:r>
        <w:t xml:space="preserve">Seis cotizadas de entretenimiento y medios con datos comparables: dos grupos de televisión y estudios con streaming propio (Disney, Comcast), una cadena de televisión (Fox) y tres plataformas de contenidos que crecen a dos dígitos (Spotify, Roku, TKO). Fuera: Warner Bros. Discovery, que cotiza al precio de la opa de Paramount; Paramount Skydance, con el perímetro en cambio; y Amazon, Alphabet y Apple, donde el vídeo es una parte pequeña del beneficio.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Netflix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260.521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Walt Disney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190.334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Comcast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77.505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Fox Corporation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27.209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Spotify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114.188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Roku</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23.255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TKO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32.588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18.808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 / 12,5x / 21,8x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15.957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 / 14,7x / 31,6x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119,45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 / 24,9x / 35,1x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131,01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49.735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 / 3,2x / 4,9x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(6 comparables): múltiplo = 5,4 + 1,01 × crecimiento; R² = 0,94. Para el crecimiento esperado de la empresa (11,0 %), el múltiplo ajustado es 16,6x y el valor por acción, 73,27.</w:t>
      </w:r>
    </w:p>
    <w:p>
      <w:pPr>
        <w:spacing w:after="100"/>
      </w:pPr>
      <w:r>
        <w:t xml:space="preserve">Netflix cotiza a 14,2 veces el EBITDA y 16,7 veces el beneficio de los próximos 12 meses. Frente a la mediana de la muestra (12,5 y 24,9 veces) está cara en EBITDA y barata en PER, porque su EBITDA ya resta la amortización de contenidos y el de los grupos de televisión no. Lo relevante es el contraste de calidad: con un crecimiento previsto del ≈ 11 %, un ROIC del 38 % y un margen del 32 %, cotiza a un PER más bajo que Spotify (33,6 veces), Roku (43,7) o TKO (35,6), que crecen igual o algo más con menos margen [60, 61, 62, 63, 64, 65, 66, 67, 68, 69, 70, 71]. La mediana del PER daría 92,94 USD y la del EV/EBITDA, 54,76: la dispersión es tan grande que los comparables pesan solo un 10 %.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Warner Bros. (estudios, HBO y HBO Max)</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Netflix (acuerdo rescindido en feb-2026)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82.700 M (27,75 USD por acción de WBD, después todo en efectivo); sobre las previsiones de la dirección de WBD para 2025: ingresos de 19.200 M y EBITDA ajustado antes de pagos en acciones de 2.700 M [8, 24].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Warner Bros. Discovery (todo el grupo)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Paramount Skydance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 USD por acción en efectivo: 81.000 M de valor de las acciones y 110.000 M de valor empresa; múltiplos sobre ingresos de 37.296 M y EBITDA de 6.422 M de 2025 (beneficio operativo + amortizaciones, estimación propia con el XBRL de WBD) [73, 74, 75].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Hulu (33 % de Comcast)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Walt Disney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única operación de una plataforma de streaming pura: 2,6 veces los ingresos de los últimos 12 meses según los asesores de WBD [24].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Paramount Global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Skydance Media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Grupo diversificado de televisión y cine; los asesores de WBD dan para este tipo de operaciones (con Disney–21st Century Fox y AT&amp;T–Time Warner) un rango de 7,9-16,5 veces el EBITDA ajustado [24].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2021-05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MGM Holdings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Estudio y catálogo; las operaciones de estudios (con Hasbro–eOne, Candle–Moonbug y Comcast–DreamWorks Animation) se pagaron a 19,5-34,4 veces el EBITDA ajustado [24].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33,55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31,46 – 41,67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operaciones recientes del sector se pagaron a 17-31 veces el EBITDA: Paramount Skydance pagó 110.000 M por Warner Bros. Discovery (17,1 veces el EBITDA de 2025, estimación propia; cerrada el 6-oct-2026 y el grupo se llama ahora Skydance [26]) y Netflix ofreció 82.700 M por los estudios y HBO Max (30,6 veces el EBITDA ajustado previsto de 2025) [24, 73, 74]. Disney valoró Hulu a 2,6 veces los ingresos [24]. No sirven para valorar a Netflix, que es compradora y no objetivo: con 286.000 M de capitalización no hay comprador plausible. Pesan un 0 %. Lo que sí dicen es que Netflix estaba dispuesta a pagar por estudios un múltiplo casi el doble del suyo.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+13,1 %, fijo: la guía del 20-oct da 51.100 M (+13 %), un 0,2 % por debajo del punto medio de julio por la publicidad [14]. Después, +10,5 % en 2027e (antes +11 %, por la publicidad rebajada y un 4T26 al +11,5 %) y +10 % en 2028e (consenso del 28-oct, ya revisado: +10,8 % y +9,9 %) [57], y un punto menos cada año hasta el +5 % de 2033e. La media del caso base (7,9 % en 2027e-2033e) queda muy por debajo del 19,9 % anual de la década y del 16 % de 2024-2025 [1]. Las palancas: suscripciones fuera de EE. UU., subidas de precio y publicidad.</w:t>
      </w:r>
    </w:p>
    <w:p>
      <w:pPr>
        <w:keepNext/>
        <w:spacing w:after="100"/>
      </w:pPr>
      <w:r>
        <w:rPr>
          <w:b/>
          <w:bCs/>
        </w:rPr>
        <w:t xml:space="preserve">Márgenes.</w:t>
      </w:r>
    </w:p>
    <w:p>
      <w:pPr>
        <w:spacing w:after="100"/>
      </w:pPr>
      <w:r>
        <w:t xml:space="preserve">Margen EBITDA (con la amortización de contenidos como gasto) del 32,3 % en 2026e: la guía de margen operativo del 31,5 % (con ≈ 30 pb del despido) más la depreciación de inmovilizado [14]. Sube al 34,3 % en 2027e, al 36,0 % en 2028e (consenso, sin pagos en acciones: ≈ 36 %) y al 39,5 % en 2033e, porque la amortización de contenidos crecerá menos que los ingresos [14, 57]. El margen operativo ha subido 2-4 puntos al año desde 2022; el caso base sube 1,5 puntos de media y se para en 2033e.</w:t>
      </w:r>
    </w:p>
    <w:p>
      <w:pPr>
        <w:keepNext/>
        <w:spacing w:after="100"/>
      </w:pPr>
      <w:r>
        <w:rPr>
          <w:b/>
          <w:bCs/>
        </w:rPr>
        <w:t xml:space="preserve">Inversión y circulante.</w:t>
      </w:r>
    </w:p>
    <w:p>
      <w:pPr>
        <w:spacing w:after="100"/>
      </w:pPr>
      <w:r>
        <w:t xml:space="preserve">«Capex» = compras de inmovilizado (≈ 1,5 % de las ventas, el de 2025) + exceso de los pagos de caja por contenidos sobre su amortización. Con la ratio de ≈ 1,1 veces de la guía de 2026 y una amortización del 34-36 % de las ventas, el exceso es ≈ 3,5 % de las ventas; baja hacia el 2,3 % en 2033e (ratio ≈ 1,06), coherente con un crecimiento del 5 % y un desfase de un año entre pago y amortización [1, 10]. La amortización del DCF (0,8-1,0 %) es solo la de inmovilizado. Circulante del 1,2 % de las ventas (2025) y tipo impositivo del 15 % (13,7 % en 2025, 16 % en el 2T26) [1, 3].</w:t>
      </w:r>
    </w:p>
    <w:p>
      <w:pPr>
        <w:keepNext/>
        <w:spacing w:after="100"/>
      </w:pPr>
      <w:r>
        <w:rPr>
          <w:b/>
          <w:bCs/>
        </w:rPr>
        <w:t xml:space="preserve">Coste del capital.</w:t>
      </w:r>
    </w:p>
    <w:p>
      <w:pPr>
        <w:spacing w:after="100"/>
      </w:pPr>
      <w:r>
        <w:t xml:space="preserve">Tasa libre del 4,99 %, el Tesoro a 10 años del 27-oct-2026 (5,13 % el 21-oct) [94]. Beta de 1,20, entre las betas ajustadas (semanal a 5 años 1,27, mensual a 5 años 1,40) y la semanal a 2 años (0,92): la mensual sin ajustar (1,60) recoge la caída de 2022 y la semanal a 2 años, un periodo de calma [59]. Prima de mercado del 5,5 %, coste de la deuda del 5,25 % (bono de 2036) y un 5,5 % de deuda a mercado (deuda de 30-sep sobre la capitalización del 27-oct). Coste de los fondos propios del 11,59 % y WACC del 11,20 %; con la prima implícita del mercado (4,20 %), 9,72 % [76].</w:t>
      </w:r>
    </w:p>
    <w:p>
      <w:pPr>
        <w:keepNext/>
        <w:spacing w:after="100"/>
      </w:pPr>
      <w:r>
        <w:rPr>
          <w:b/>
          <w:bCs/>
        </w:rPr>
        <w:t xml:space="preserve">Valor terminal.</w:t>
      </w:r>
    </w:p>
    <w:p>
      <w:pPr>
        <w:spacing w:after="100"/>
      </w:pPr>
      <w:r>
        <w:t xml:space="preserve">Crecimiento a perpetuidad del 3,0 %, tras una etapa de transición de siete años en la que el crecimiento baja del 5 % al 3 %: inflación en dólares de ≈ 2,5 % y algo de crecimiento real, por debajo de la tasa libre menos medio punto. El múltiplo de salida implícito es de 9,8 veces el EBITDA, por debajo de los 15,5 de hoy: el valor terminal es conservador y pesa solo un 36 %.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9,72 %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12.796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13.582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13.983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14.113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13.925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13.576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87.081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34.397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5.029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13.010</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Etapa de transición (DCF en tres etapas)</w:t>
      </w:r>
    </w:p>
    <w:p>
      <w:pPr>
        <w:spacing w:after="100"/>
      </w:pPr>
      <w:r>
        <w:t xml:space="preserve">Con la etapa de transición de 7 años el DCF da 62,65 por acción; sin ella (crecimiento terminal desde 2033e), 58,82.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1"/>
        <w:gridCol w:w="1376"/>
        <w:gridCol w:w="1101"/>
        <w:gridCol w:w="1239"/>
        <w:gridCol w:w="1239"/>
        <w:gridCol w:w="1239"/>
        <w:gridCol w:w="1101"/>
        <w:gridCol w:w="1242"/>
      </w:tblGrid>
      <w:tr>
        <w:trPr>
          <w:cantSplit/>
          <w:tblHeader/>
        </w:trPr>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Factor</w:t>
            </w:r>
          </w:p>
        </w:tc>
        <w:tc>
          <w:tcPr>
            <w:tcW w:type="dxa" w:w="12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91.186</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2.889</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27.814</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0,443</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12.316</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2035e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95.224</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2.892</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29.174</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0,398</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11.618</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2036e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99.169</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2.882</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30.516</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0,358</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10.926</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2037e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102.994</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2.857</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31.832</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0,322</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10.250</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2038e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106.673</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2.819</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33.112</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0,290</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9.589</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2039e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110.178</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2.767</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34.348</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0,260</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8.946</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2040e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113.483</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2.701</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35.532</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0,234</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8.321</w:t>
            </w:r>
          </w:p>
        </w:tc>
      </w:tr>
    </w:tbl>
    <w:p>
      <w:pPr>
        <w:spacing w:after="160" w:before="0"/>
      </w:pPr>
    </w:p>
    <w:p>
      <w:pPr>
        <w:pStyle w:val="Nota"/>
        <w:spacing w:after="100"/>
      </w:pPr>
      <w:r>
        <w:t xml:space="preserve">Entre la proyección explícita y el valor terminal, el crecimiento baja en línea recta hasta el terminal; el margen y los ratios son los del último año explícito, y la inversión neta (capex − amortización) se reduce en proporción al crecimiento.</w:t>
      </w:r>
    </w:p>
    <w:p>
      <w:pPr>
        <w:keepNext/>
        <w:spacing w:after="100"/>
      </w:pPr>
      <w:r>
        <w:rPr>
          <w:b/>
          <w:bCs/>
        </w:rPr>
        <w:t xml:space="preserve">Por qué el crecimiento dura más allá de la proyección.</w:t>
      </w:r>
    </w:p>
    <w:p>
      <w:pPr>
        <w:spacing w:after="100"/>
      </w:pPr>
      <w:r>
        <w:t xml:space="preserve">Se usa una etapa de transición de siete años porque el crecimiento de Netflix dura más que la proyección explícita: según la empresa, a fines de 2025 tenía menos del 45 % de los hogares con banda ancha de su mercado y apenas el ≈ 5 % del tiempo de televisión mundial [9]. La publicidad, que dobla en 2026, sigue siendo el 6 % de los ingresos [10]. El ROIC (38,0 %) supera al WACC en más de 26 puntos y el ROIC incremental es del 43,1 %: crecer crea valor. La ventaja que lo sostiene es la escala: reparte el coste de los contenidos entre 325 M de suscripciones, frente a los 132 M de Disney+ o los 44 M de Peacock [19, 21]. Aporta un 6,5 % del valor.</w:t>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446.420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672.386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96.884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la etapa de transición (7 años)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71.966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267.990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261.081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4.167,0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62,65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58,35</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71,53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77,11</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18.365 M (11 %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 (reinvierte el 14 %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70,2 % (histórico: 43,1 %)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 frente al 8,6 %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2030e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17,5 % (hoy: 30,2 %)</w:t>
            </w:r>
          </w:p>
        </w:tc>
      </w:tr>
    </w:tbl>
    <w:p>
      <w:pPr>
        <w:spacing w:after="160" w:before="0"/>
      </w:pPr>
    </w:p>
    <w:p>
      <w:pPr>
        <w:spacing w:after="100"/>
      </w:pPr>
      <w:r>
        <w:t xml:space="preserve">La proyección apenas necesita inversión neta de la amortización (reinversión acumulada de 18.365 M, el 11 % del NOPAT, con un capex bruto medio del 4,3 % de las ventas). En un negocio de activos ligeros, el crecimiento medio del 8,6 % tiene que salir de subir precios y de ganar volumen sin capital nuevo, y la prueba es el poder de precios y la cuota (17,5 % del mercado en 2030e, frente al 30,2 %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del 20-oct +13 % (51.100 M), +12 % sin divisa: suscripciones mejor de lo esperado, subidas de precio en EE. UU., México y España y publicidad que crece ≈ 80 % (≈ 2.700 M, ≈ 2,5 puntos dentro de «precio»); el tipo de cambio aporta ≈ 1,5 puntos. Reparto entre volumen y precio: estimación propia [14, 17].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Caso base +10,5 % (consenso del 28-oct +10,8 %) [57]: menos altas en UCAN, más precio y más publicidad por usuario.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Caso base +10 %, consenso del 28-oct +9,9 % [57]; el volumen sale de mercados con menos del 45 % de penetración [9].</w:t>
            </w:r>
          </w:p>
        </w:tc>
      </w:tr>
    </w:tbl>
    <w:p>
      <w:pPr>
        <w:spacing w:after="160" w:before="0"/>
      </w:pPr>
    </w:p>
    <w:p>
      <w:pPr>
        <w:spacing w:after="100"/>
      </w:pPr>
      <w:r>
        <w:t xml:space="preserve">Sí. El crecimiento medio del caso base (8,7 % con 2026) es la mitad del histórico y apenas necesita capital: la reinversión neta es un 11 % del beneficio operativo después de impuestos, con un ROIC del 38 % y un ROIC incremental del 43,1 % [1]. El poder de precios está demostrado (subidas periódicas mientras las suscripciones crecían un 15 % en 2024) [5], y la cuota implícita en 2030e cae al 17,5 % (hoy, 30,2 %) de un mercado que las consultoras ven crecer al 21,5 % anual [18]. El riesgo no es de calidad sino de techo: el visionado crece solo un 2 % y el crecimiento depende cada vez más de precio y publicidad, que en 2026 va por detrás de lo previsto [10, 14].</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7,9 % (base: 7,9 %)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39,4 % (base: 39,5 %)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11,2 % (WACC: 11,2 %)</w:t>
            </w:r>
          </w:p>
        </w:tc>
      </w:tr>
    </w:tbl>
    <w:p>
      <w:pPr>
        <w:spacing w:after="160" w:before="0"/>
      </w:pPr>
    </w:p>
    <w:p>
      <w:pPr>
        <w:spacing w:after="100"/>
      </w:pPr>
      <w:r>
        <w:t xml:space="preserve">El DCF da 62,65 USD por acción, un 0,2 % por encima del precio del informe, con un 37 % del valor en el terminal (58,82 USD sin la etapa de transición). </w:t>
      </w:r>
      <w:r>
        <w:rPr>
          <w:b/>
        </w:rPr>
        <w:t xml:space="preserve">Por primera vez en este seguimiento, el precio descuenta exactamente nuestro caso base.</w:t>
      </w:r>
      <w:r>
        <w:t xml:space="preserve"> El DCF inverso dice que los 62,52 USD suponen un crecimiento de los ingresos del 7,9 % anual en 2027e-2033e, el mismo 7,9 % de nuestro caso base, o un margen EBITDA final del 39,4 % frente a nuestro 39,5 %. Comprar hoy rinde un 11,2 % anual si se cumple el caso base: igual que nuestro coste de capital (11,20 %) y por encima del que pide hoy el mercado (9,72 %). No es exigente frente a la historia (19,9 % anual en la década) ni frente al presente (+11,8 % en el 3T26 y +11,5 % guiado para el 4T26) [14]: el precio supone que el crecimiento sigue bajando un punto al año. Con la prima de riesgo del mercado el DCF da 77,65 USD. El precio ha bajado un 9 % desde los resultados sin que cambien nuestras cifras; lo que separa el precio del valor ya no son las cifras sino el riesgo de que el freno sea más rápido.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YouTube y Paramount-Warner frenan las altas y la capacidad de subir precios en EE. UU. y Europa, como en 2022, cuando Netflix creció un 6,5 % y su margen cayó: crecimiento medio del 4 %, margen EBITDA final del 35,5 % y crecimiento a perpetuidad del 2,5 %.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cumple la guía de 2026 y el consenso de 2027-2028; después el crecimiento baja un punto al año hasta el 5 % de 2033e y el margen EBITDA sube al 39,5 % por apalancamiento operativo: crecimiento medio del 8 %.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85,33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publicidad y el directo sostienen un crecimiento de dos dígitos y la amortización de contenidos crece menos que las ventas: crecimiento medio del 11 % y margen EBITDA final del 42,5 %.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62,5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60,83 USD (-2,7 %).</w:t>
      </w:r>
    </w:p>
    <w:p>
      <w:pPr>
        <w:spacing w:after="100"/>
      </w:pPr>
      <w:r>
        <w:t xml:space="preserve">La asimetría sigue siendo desfavorable con nuestro coste de capital, aunque menos que el 21-oct: el alcista vale 85,33 USD (+36,5 %) y el bajista 37,21 USD (−40,5 %), 0,90 veces. Con la prima del mercado mejora a 2,47 veces (106,75 frente a 44,62 USD). El bajista no es cosmético: 2022 ya mostró que con un crecimiento de un dígito y el margen a la baja la acción puede caer más de un 50 %. El 3T26 no lo acerca (las suscripciones van mejor de lo esperado), pero la publicidad, la palanca del alcista, va por detrás [14]. El valor ponderado por probabilidad es de 60,83 USD.</w:t>
      </w:r>
    </w:p>
    <w:p>
      <w:pPr>
        <w:pStyle w:val="Heading1"/>
      </w:pPr>
      <w:r>
        <w:t xml:space="preserve">22. Suma de partes</w:t>
      </w:r>
    </w:p>
    <w:p>
      <w:pPr>
        <w:pStyle w:val="Confianza"/>
        <w:spacing w:after="100"/>
      </w:pPr>
      <w:r>
        <w:t xml:space="preserve">Confianza: Media</w:t>
      </w:r>
    </w:p>
    <w:p>
      <w:pPr>
        <w:spacing w:after="100"/>
      </w:pPr>
      <w:r>
        <w:t xml:space="preserve">No aplica: Netflix tiene un único segmento operativo y no publica resultados por región ni por línea de negocio (suscripción, publicidad, juegos); una suma de partes dependería de cómo se repartieran los 16.422 M de amortización de contenidos de 2025 [1].</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62,5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131,01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62,52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62,83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63,22 USD (+1,1 % sobre 62,52).</w:t>
      </w:r>
    </w:p>
    <w:p>
      <w:pPr>
        <w:spacing w:after="100"/>
      </w:pPr>
      <w:r>
        <w:t xml:space="preserve">Pesos: DCF 60 %, escenarios 30 %, comparables 10 %, transacciones y suma de partes 0 %. El DCF manda porque la caja de Netflix es predecible (ingresos por suscripción cobrados por adelantado y un coste de contenidos que controla la dirección) y porque tratamos los contenidos como inversión. Los escenarios pesan un 30 % porque el bajista (−40,5 %) es mayor que el alcista (+36,5 %). Los comparables pesan poco porque la muestra es frágil y el EBITDA de Netflix no se puede comparar con el de grupos que suman la amortización (54,76 USD por EV/EBITDA y 92,94 por PER). Las transacciones no aplican a una compradora. El valor objetivo es de 63,22 USD (+1,1 %); con la prima del mercado, 76,54 USD (+22,4 %).</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(16.9x) × 1.1 (tope: la mediana de 5 años, 30.3x,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123,99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+98,3 %</w:t>
            </w:r>
          </w:p>
        </w:tc>
      </w:tr>
    </w:tbl>
    <w:p>
      <w:pPr>
        <w:spacing w:after="160" w:before="0"/>
      </w:pPr>
    </w:p>
    <w:p>
      <w:pPr>
        <w:spacing w:after="100"/>
      </w:pPr>
      <w:r>
        <w:rPr>
          <w:b/>
          <w:bCs/>
        </w:rPr>
        <w:t xml:space="preserve">Objetivo a 12 meses (ponderado):</w:t>
      </w:r>
      <w:r>
        <w:t xml:space="preserve"> 81,72 USD · rentabilidad +30,7 % (base +27,6 %) · señal Comprar.</w:t>
      </w:r>
    </w:p>
    <w:p>
      <w:pPr>
        <w:spacing w:after="100"/>
      </w:pPr>
      <w:r>
        <w:t xml:space="preserve">Para comparar, con la regla v2 (historia al cierre, mismo precio): 14,4x / 16,9x / 22,0x, 18,7 % Comprar; con el tope anterior del base (×1,3, 14-oct mediodía): 54,6 % Comprar.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base de 2027e (3,70) queda un 1,7 % por debajo del consenso (3,765) y el de 2028e (4,29) un 4,4 % por debajo (4,487): suponemos menos publicidad (2.700 M en 2026 y crecimiento del 40-50 % después) y un margen operativo de 2028e del 35,1 % frente al ≈ 35,0 % de EBIT que implica MarketScreener sobre más ventas (62.249 M). La distancia se ha estrechado desde el 21-oct (5,6 %) porque el consenso ha bajado. Nuestro precio base a 12 meses queda por debajo del objetivo medio de 84,76 USD, que los analistas han recortado un 7,3 % en una semana.</w:t>
      </w:r>
    </w:p>
    <w:p>
      <w:pPr>
        <w:keepNext/>
        <w:spacing w:after="100"/>
      </w:pPr>
      <w:r>
        <w:rPr>
          <w:b/>
          <w:bCs/>
        </w:rPr>
        <w:t xml:space="preserve">Del valor intrínseco al objetivo a 12 meses.</w:t>
      </w:r>
    </w:p>
    <w:p>
      <w:pPr>
        <w:spacing w:after="100"/>
      </w:pPr>
      <w:r>
        <w:t xml:space="preserve">El objetivo a 12 meses (81,72 USD) queda un 29 % por encima del valor real (63,22 USD): la regla supone que el PER sube de 16,9 a 18,6 veces el BPA de 2028e, el tope de ×1,1, cuando la historia adelantada (mediana de 30,3 veces) pediría bastante más. El valor real, en cambio, ya está en el precio. Cerrar la distancia exige que el mercado deje de descontar un freno más rápido que nuestro base: la guía de 2027 en enero es el catalizador con fecha, y las recompras (22.300 M pendientes) apoyan el BPA. Si la guía decepciona, el objetivo cae con el múltiplo y no queda colchón de valor real: por eso la convicción es baja.</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Oct-nov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Final de las revisiones del consenso tras la guía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 en curso: BPA de 2027e −1,1 % y objetivo medio de 91,39 a 84,76 USD; quedan los de los brokers que aún no han publicado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espera +10,8 %; una guía por debajo del 10 % confirmaría el freno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NFL (Acción de Gracias y Navidad) y Fury–Joshua en directo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Picos de altas y de ingresos publicitarios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de Warner Bros. Discovery en Skydance (cerrada el 6-oct-2026)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rival con más catálogo y mucha deuda; posibles retiradas de licencias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Continuo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(22.300 M de autorización pendiente tras los 4.800 M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Retirarían un 8,6 % del capital al precio de hoy</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1T27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 informe anual de visionado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Menos datos públicos; la prueba de si el visionado sigue creciendo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YouTube y el vídeo de creadores le quitan tiempo de televisión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 37,21 USD (−40,6 % sobre el valor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Contenido propio y franquicias; alianzas con creadores y pódcasts en vídeo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Netflix en The Gauge por debajo del 7,5 % durante dos meses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Saturación de precios y freno de UCAN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Cada punto menos de crecimiento anual quita ≈ 4 USD (−7 %)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con anuncios más barato y publicidad</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UCAN por debajo del +8 % en el 4T26 o el 1T27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contenidos y del deporte más alto de lo previsto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Un punto menos de margen quita ≈ 1,7 USD (−3 %)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fija la ratio de caja sobre amortización en ≈ 1,1 veces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Ratio de pagos sobre amortización por encima de 1,2 veces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Paramount-Warner retira licencias o compite por talento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Menos catálogo de segunda ventana; difícil de cuantificar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con Universal y Sony (pay-1 mundial desde 2029)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 de retirada de catálogo de Warner en Netflix</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 grande a un múltiplo alto (como la oferta por Warner)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La oferta por Warner suponía 30,6 veces el EBITDA y un puente de 59.000 M</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Disciplina mostrada al no subir la oferta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 puente o pausa de recompras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 altos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Con la prima del mercado (WACC 9,72 %) el DCF sube a 77,65 USD; con WACC y crecimiento terminal 0,5 puntos peores baja a 57,22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de solo 0,4 veces el EBITDA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Tesoro a 10 años por encima del 5,5 %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Fiscalidad y regulación local (Brasil, tasas digitales, cuotas europeas, aranceles a películas)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Brasil costó ≈ 619 M (−1,4 puntos de margen en 2025)</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Producción local en más de 50 países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Nuevos litigios fiscales o aranceles concretos</w:t>
            </w:r>
          </w:p>
        </w:tc>
      </w:tr>
    </w:tbl>
    <w:p>
      <w:pPr>
        <w:spacing w:after="160" w:before="0"/>
      </w:pPr>
    </w:p>
    <w:p>
      <w:pPr>
        <w:pStyle w:val="Heading2"/>
      </w:pPr>
      <w:r>
        <w:t xml:space="preserve">Pre-mortem</w:t>
      </w:r>
    </w:p>
    <w:p>
      <w:pPr>
        <w:spacing w:after="100"/>
      </w:pPr>
      <w:r>
        <w:t xml:space="preserve">Octubre de 2029: la acción ha caído un 40 %, a unos 38 USD. La historia más probable empieza en la guía de enero de 2027: Netflix prevé un +8 % y no el +11 % del consenso, porque UCAN ya no admite subidas de precio y las altas fuera de EE. UU. se frenan. YouTube supera el 16 % del tiempo de televisión y Paramount-Warner retira su catálogo. La publicidad crece, pero no compensa. Para defender el margen, Netflix recorta contenidos y el visionado empieza a caer. En 2028 el crecimiento es de un dígito bajo, como en 2022, y el mercado la valora como Disney, a 10 veces el EBITDA. Los indicadores que lo habrían anticipado: el freno de UCAN al +10 % en el 2T26, el visionado creciendo solo un 2 % y la decisión de dejar de publicar suscriptores y visionado.</w:t>
      </w:r>
    </w:p>
    <w:p>
      <w:pPr>
        <w:pStyle w:val="Heading2"/>
      </w:pPr>
      <w:r>
        <w:t xml:space="preserve">Riesgo de inteligencia artificial</w:t>
      </w:r>
    </w:p>
    <w:p>
      <w:pPr>
        <w:spacing w:after="100"/>
      </w:pPr>
      <w:r>
        <w:rPr>
          <w:b/>
          <w:bCs/>
        </w:rPr>
        <w:t xml:space="preserve">Exposición:</w:t>
      </w:r>
      <w:r>
        <w:t xml:space="preserve"> Media · </w:t>
      </w:r>
      <w:r>
        <w:rPr>
          <w:b/>
          <w:bCs/>
        </w:rPr>
        <w:t xml:space="preserve">Sentido:</w:t>
      </w:r>
      <w:r>
        <w:t xml:space="preserve"> Mixto · </w:t>
      </w:r>
      <w:r>
        <w:rPr>
          <w:b/>
          <w:bCs/>
        </w:rPr>
        <w:t xml:space="preserve">Efecto en valor (3-5 años):</w:t>
      </w:r>
      <w:r>
        <w:t xml:space="preserve"> −10 % a +5 %</w:t>
      </w:r>
    </w:p>
    <w:p>
      <w:pPr>
        <w:spacing w:after="100"/>
      </w:pPr>
      <w:r>
        <w:t xml:space="preserve">La IA toca a Netflix por los dos lados. Como amenaza, abarata la producción de vídeo y multiplica la oferta de los creadores, que ya ganan tiempo de televisión: YouTube tiene el 14,2 % del tiempo de televisión en EE. UU. frente al ≈ 8-9 % de Netflix [23]; si el vídeo generado baja aún más el coste de llenar la pantalla, el catálogo caro de Netflix pierde parte de su ventaja de escala. Como oportunidad, rebaja el coste de los efectos, el doblaje y los subtítulos (la amortización de contenidos es el 36 % de las ventas) y mejora la recomendación y la publicidad dirigida [1, 14]. Nuestro bajista (−40,5 %) recoge un freno de altas y precios que incluye este riesgo; asignamos −10 % al valor si la cuota de tiempo cae por debajo del 7,5 % y +5 % si el coste de los contenidos crece claramente menos que las ventas. Señal: cuota de Netflix en The Gauge de Nielsen y ratio de pagos de contenidos sobre amortización.</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Los asuntos que mueven cifras son tres. Fiscalidad y obligaciones locales: el litigio de Brasil costó ≈ 619 M en el 3T25, y la inversión obligatoria en obra local se extiende (Alemania propone el 8 % de los ingresos del país desde 2027) [7, 36]. Privacidad y protección de menores, que importa más con la publicidad: Texas demandó a Netflix en mayo de 2026 por recoger y ceder datos, también de perfiles infantiles [39]. Y relaciones laborales: la huelga de 2023 paró la producción, y el recorte del 6 % de la plantilla en octubre de 2026 cuesta ≈ 120 pb del margen del 4T26 [14, 35].</w:t>
      </w:r>
    </w:p>
    <w:p>
      <w:pPr>
        <w:pStyle w:val="Heading2"/>
      </w:pPr>
      <w:r>
        <w:t xml:space="preserve">Controversias</w:t>
      </w:r>
    </w:p>
    <w:p>
      <w:pPr>
        <w:spacing w:after="100"/>
      </w:pPr>
      <w:r>
        <w:t xml:space="preserve">Demanda del fiscal general de Texas (11-may-2026, condado de Collin) por prácticas engañosas: recogida de datos, perfiles infantiles y diseño «adictivo»; pide medidas cautelares y sigue abierta [39]. Litigio fiscal de Brasil (3T25, ≈ 619 M) [7]. Propuestas de accionistas de 2026 sobre informes ESG y «desalineación política de la marca», rechazadas [25]. No hay sanciones regulatorias relevantes publicadas en tres años.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frente a volumen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crecimiento de 2026 viene de subidas de precio y cuál de nuevas suscripciones, por región?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+10 % de UCAN es saturación o calendario.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Contenidos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ratio de pagos de caja sobre amortización de contenidos espera a largo plazo y cuánto pesará el deporte en directo?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«capex» del DCF.</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Publicidad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tiene el negocio publicitario, cuánto del ingreso por usuario del plan con anuncios sale de la publicidad y cuándo se recuperan las integraciones con socios retrasadas?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palanca de crecimiento de 2027-2028.</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tamaño y múltiplo de compra estaría dispuesto a pagar tras Warner Bros.?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Ofreció 30,6 veces el EBITDA por estudios.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YouTube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evoluciona su cuota del tiempo de televisión fuera de EE. UU. frente a YouTube?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principal riesgo competitivo.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Transparencia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deja de publicar el visionado semestral y volverá a dar suscriptores?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Menos datos dificultan seguir la tesis.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Plantilla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ahorro anual deja el despido del ≈ 6 % de la plantilla (≈ 1.000 personas) a partir de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Afecta al margen de 2027; en el 4T26 cuesta ≈ 120 pb.</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(flujo de mensajes de NFLX, 27-28 oct)</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el mínimo de 52 semanas, 9 mensajes marcados alcistas y 2 bajistas de 30: muchos «compran la caída» y esperan rebote, otros hablan de «cuchillo que cae» desde hace un año, de ventas para compensar pérdidas fiscales y de que sobra uno de los dos consejeros delegados; algunos piden que la empresa recompre más barato [98].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(flujo de mensajes de NFLX)</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Noche del 20 al 21 de octubre, tras los resultados: frustración porque «bate y aun así cae» por la guía más floja, quejas de precio y catálogo, cancelaciones de la suscripción y ataques a la gestión; frente a ello, un grupo que abre posición a largo plazo y espera un rebote. Las etiquetas alcistas y bajistas están casi empatadas [98].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análisis y noticias)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el 3T26 conviven piezas de «otra vez barata» y «la gestión ataca el crecimiento» con una rebaja de recomendación, «la carnicería continúa porque el crecimiento se frena» y dudas sobre un posible problema de bajas en EE. UU.; antes de los resultados, más posiciones bajistas que alcistas en las opciones [97].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Motley Fool (artículos de opinión del 11 al 21 de octubre)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de los resultados predominan los alcistas: «compro, no vendo», «la acción va a subir tras el 20 de octubre», la estacionalidad favorable del cuarto trimestre. Después, el foco pasa al recorte de la previsión de publicidad y a la debilidad del visionado; aun así, una pieza ve la acción sobrevendida frente a sus rivales [99].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MarketBeat (resumen de noticias y sentimiento de prensa)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resumen de la caída tras el 3T26 da tres puntos positivos (beneficio por encima de lo esperado, recompras, valoración) y cuatro negativos (guía del 4T, publicidad, visionado estancado en EE. UU. y Canadá, previsión de caja más baja). El sentimiento de las noticias de la semana queda claramente por debajo de la media del sector [100].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Investing.com, foro de comentarios de Netflix (antes de los resultados)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quincena de octubre: escepticismo y cansancio con la caída. Se citan los competidores que «toman la delantera» (Disney, Paramount-Skydance, Amazon, Apple), la calidad del catálogo y la fatiga de suscripciones; una minoría compra en la caída por la caja, la gestión y el contenido coreano y de anime [95].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The Motley Fool (artículos de opinión del 4 al 10 de octubre)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Cinco piezas favorables (comprar cerca de mínimos de 52 semanas, «la única de streaming que añadiría»), dos neutrales (acción estancada; el recorte de plantilla recuerda al suelo de 2022) y una bajista sobre la caída del año [96].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Guía del 4T26 y recorte de la previsión de publicidad</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gente acierta en el fondo: la carta rebaja la previsión de ingresos publicitarios de 2026 a unos 2.700 M (antes, unos 3.000 M) y la de FCF a unos 12.000 M (antes, 12.500 M). Exagera con el margen: el 26,0 % previsto para el 4T incluye unos 120 pb de coste de los despidos y se compara con el 24,5 % de un año antes [14].</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tras la caída: ¿oportunidad o trampa?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respalda la tesis de «barata» con hechos: en el 3T recompró 63,9 M de acciones por 4.800 M, su mayor trimestre de recompras, y le quedan 22.300 M autorizados [14]. Si es barata o no depende del crecimiento que se le suponga: lo decide la valoración del informe, no el foro.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Visionado estancado y competencia (YouTube, Paramount-WBD)</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carta reconoce la «preocupación de los inversores» por el crecimiento de las horas de visionado y dice que quiere acelerarlo. Como contrapeso, las bajas mejoraron interanualmente en EE. UU. y en el mundo [14]. Es el riesgo central de la tesis, y en eso el foro tiene razón.</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frente a calidad del catálogo (cancelaciones anunciadas)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cancelaciones de los particulares son anécdota. Según la carta, la respuesta a las subidas de 2026 está en línea con las anteriores y las bajas mejoraron [14]. El foro exagera, aunque debe vigilarse si la publicidad no compensa el freno del visionado.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Reorganización: despidos y nuevo responsable de contenidos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despidos están confirmados y cuestan unos 120 pb de margen en el 4T [14]. El cambio en la cúpula de contenidos (fichaje de un exdirectivo de Disney) se lee como giro del contenido o como riesgo de ejecución [97, 100]. Faltan datos para juzgarlo.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Polémica política sobre el contenido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ruido recurrente en Stocktwits [98] sin reflejo en los datos: las bajas mejoraron interanualmente en EE. UU. [14].</w:t>
            </w:r>
          </w:p>
        </w:tc>
      </w:tr>
    </w:tbl>
    <w:p>
      <w:pPr>
        <w:spacing w:after="160" w:before="0"/>
      </w:pPr>
    </w:p>
    <w:p>
      <w:pPr>
        <w:spacing w:after="100"/>
      </w:pPr>
      <w:r>
        <w:t xml:space="preserve">El sentimiento empeora pero no capitula. Los particulares siguen divididos: casi tantos abren posición como venden, y el foro calca la lectura de los analistas, para los que el trimestre es bueno y la guía, floja. No hay euforia que temer. Tampoco hay todavía la rendición que suele marcar suelos: muchos esperan un rebote, y eso sugiere que aún queda papel por salir si el 4T decepciona. El riesgo que el foro pone en primer plano, el visionado estancado frente a YouTube, es el mismo que reconoce la carta [14], así que no aporta un riesgo nuevo, pero confirma que el mercado no pagará más hasta verlo corregido. El catalizador que vigila la gente es la publicidad: otra rebaja dañaría más la tesis que cualquier cifra de margen. Una semana después de los resultados (28-oct) el tono de los particulares es de cansancio más que de pánico: compran la caída sin cifras nuevas que lo apoyen, mientras los analistas recortan objetivos sin rebajar la recomendación [98].</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22 de 24 controles correctos y 2 explicados. Fuentes: 100 (47 primarias); citas distintas en el texto: 94.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17,5 % en 2030e frente al 30,2 %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1,2 % frente a 1,2 % real: genera una variación de circulante de 86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37 %.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Etapa de transición justificada (ROIC ≥ WACC + 5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38,0 % frente a WACC 11,2 %: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9,7x a 15,3x según qué comparable se quite (42,12 a 67,40 por acción): la muestra es frágil; explícalo y no le des mucho peso. Explicación: La muestra mezcla grupos maduros de televisión (Comcast a 4,8 veces, Fox) con plataformas que crecen (Spotify, Roku, TKO a 16-25 veces): por eso los comparables pesan solo un 10 %.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EV/EBITDA y PER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EV/EBITDA da 54,76 y PER 92,94 por acción: si la empresa amortiza mucho más que sus comparables (licencias, intangibles adquiridos) el EBITDA la favorece; usa EV/EBIT o EV/(EBITDA − capex) y explícalo. Explicación: El EBITDA de Netflix ya resta la amortización de contenidos (casi todo su coste) y queda muy cerca de su EBIT; el de Comcast o Disney suma miles de millones de depreciación. El PER compara mejor; ninguno de los dos manda en el valor objetivo.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 robusta (v3 y v2 dan Comprar)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100 fuentes (47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47.</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4, 55, 56, 77, 78, 83.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Cartas trimestrales: comparan con la guía propia, no con el consenso; 2) EDGAR: no hay consenso en las presentaciones; 3) prensa con consenso de LSEG: solo verificado para el 3T26 (Reuters), no para los siete anteriores sin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salvo el 3T26</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anual completa del mercado y segunda fuente independiente de tamaño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Grand View Research: solo 2024 y 2030e; 2) Fortune Business Insights: 811.370 M en 2025 con un perímetro mucho más amplio (no comparable); 3) Nielsen y MPA: cuotas de tiempo, no ingresos; contraste por suma de ingresos de las plataformas (estimación propia)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(MSCI, Sustainalytics,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ESG de Netflix: no publica calificaciones de terceros; 2) MSCI ESG Ratings Corporate Search: requiere JavaScript; 3) Sustainalytics: página de la empresa sin acceso gratuito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ev_ebitda_ntm y per_ntm históricos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solo múltiplos de los años previstos; 2) Stock Analysis: múltiplos históricos de pago; 3) Yahoo Finance: solo el actual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revisiones de 12 meses del BPA y del EBITDA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historial de revisiones solo en gráfico y la página de revisiones exige registro; 2) Yahoo Finance: solo 7-90 días (usadas para 3 meses); 3) Zacks: bloqueo antibot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dan las de 3 meses)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estimaciones de EBITDA, EBIT y 2028e revisadas tras el 3T26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al 20-oct: sin actualizar; 2) Stock Analysis: actualizado el 19-oct; 3) Yahoo: solo ingresos y BPA de 2026e-2027e con revisión parcial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usan las de antes del 3T26 y se dice; revisar en unos días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en circulación a 30-sep (portada del 10-Q)</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EDGAR: 10-Q del 3T26 aún no presentado; 2) carta del 3T26: solo media ponderada diluida; 3) Stock Analysis: aún 4.160 M de 30-jun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usa la media diluida del 3T26 (4.195,1 M) y se dice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revisadas (Reddit, Investing.com tras los resultados, Stockchase, Rankia)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Reddit: bloqueado para la lectura automática; 2) Investing.com: 403 el 21-oct (solo se conserva la lectura del 11-oct); 3) Stockchase: la búsqueda no devuelve la ficha de Netflix y la ficha probada es de otro valor; Rankia: el hilo lleva a otro valor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Netflix,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Netflix,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https://www.sec.gov/Archives/edgar/data/1065280/000106528026000034/nflx-20251231.htm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Netflix, Form 10-K de 2022, 2020, 2019 y 2017 (series 2016-2022)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Netflix,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 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https://www.sec.gov/Archives/edgar/data/1065280/000106528023000035/nflx-20221231.htm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Form 10-Q del 2T26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https://www.sec.gov/Archives/edgar/data/1065280/000106528026000212/nflx-20260630.htm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Form 10-K del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https://www.sec.gov/Archives/edgar/data/1065280/000106528025000044/nflx-20241231.htm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Carta a los accionistas del 4T24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https://www.sec.gov/Archives/edgar/data/1065280/000106528025000033/ex991_q424.htm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Carta a los accionistas del 3T24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https://www.sec.gov/Archives/edgar/data/1065280/000106528024000286/ex991_q324.htm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Carta a los accionistas del 3T25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https://www.sec.gov/Archives/edgar/data/1065280/000106528025000404/ex991_q325.htm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Carta a los accionistas del 4T25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https://www.sec.gov/Archives/edgar/data/1065280/000106528026000033/ex991_q425.htm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Carta a los accionistas del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https://www.sec.gov/Archives/edgar/data/1065280/000106528026000137/ex991_q126.htm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Carta a los accionistas del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https://www.sec.gov/Archives/edgar/data/1065280/000106528026000211/ex991_q226.htm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emisión de 1.000 M en bonos al 5,250 % con vencimiento en 2036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https://www.sec.gov/Archives/edgar/data/1065280/000119312526312575/d171951d8k.htm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terminación del acuerdo de fusión con Warner Bros. Discovery (punto 1.02)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https://www.sec.gov/Archives/edgar/data/1065280/000119312526082247/d120618d8k.htm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 Facts de Netflix (CIK 1065280)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https://data.sec.gov/api/xbrl/companyfacts/CIK0001065280.json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Carta a los accionistas del 3T26 (Form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https://www.sec.gov/Archives/edgar/data/1065280/000106528026000290/ex991_q326.htm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FWP: hoja de condiciones de los bonos al 5,250 % con vencimiento en 2036 (ratings)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https://www.sec.gov/Archives/edgar/data/1065280/000119312526309014/d159566dfwp.htm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issues weak fourth-quarter forecast as company seeks to kick-start growth (Reuters)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Reuters, vía 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https://www.investing.com/news/stock-market-news/netflix-issues-weak-fourthquarter-forecast-as-company-seeks-to-kickstart-growth-4960954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ad revenue forecast drops to $2.7B as partner integrations slip (con citas de la entrevista del 3T26)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PPC Land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https://ppc.land/netflix-ad-revenue-forecast-drops-to-2-7b-as-partner-integrations-slip/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Video Streaming Market Size, Share &amp; Trends Report, 2025-2030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Grand View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https://www.grandviewresearch.com/industry-analysis/video-streaming-market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Walt Disney, Form 10-K del ejercicio 2025 (sep-2025)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Walt Disney Company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https://www.sec.gov/Archives/edgar/data/1744489/000174448925000155/dis-20250927.htm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Paramount Global, Form 10-K del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Paramount Global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https://www.sec.gov/Archives/edgar/data/813828/000081382825000005/para-20241231.htm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Comcast,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Comcast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https://www.sec.gov/Archives/edgar/data/1166691/000162828026004994/cmcsa-20251231.htm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https://www.sec.gov/Archives/edgar/data/1652044/000165204426000018/goog-20251231.htm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Gauge de julio de 2026: TV usage kicks usual summer slowdown fueled by World Cup and streaming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Nielsen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https://www.nielsen.com/news-center/2026/tv-usage-kicks-usual-summer-slowdown-fueled-by-world-cup-and-streaming-in-nielsens-july-gauge-reports/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WBD, proxy definitivo de la fusión con Netflix (previsiones de la dirección)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Warner Bros. Discovery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https://www.sec.gov/Archives/edgar/data/1437107/000119312526053002/d304272ddefm14a.htm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https://www.sec.gov/Archives/edgar/data/1065280/000106528026000189/nflx-20260604.htm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anexo 99.1: Paramount completa la compra de Warner Bros. Discovery y pasa a llamarse Skydance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Skydance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https://www.sec.gov/Archives/edgar/data/2041610/000110465926113913/tm2626659d7_ex99-1.htm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Paramount Skydance,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Paramount Skydance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https://www.sec.gov/Archives/edgar/data/2041610/000204161026000011/psky-20251231.htm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Paramount Skydance, Form 10-Q del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Paramount Skydance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https://www.sec.gov/Archives/edgar/data/2041610/000204161026000054/psky-20260630.htm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Warner Bros. Discovery,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Warner Bros. Discovery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https://www.sec.gov/Archives/edgar/data/1437107/000143710726000020/wbd-20251231.htm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Warner Bros. Discovery, Form 10-Q del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Warner Bros. Discovery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https://www.sec.gov/Archives/edgar/data/1437107/000143710726000075/wbd-20260630.htm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Comcast, Form 10-Q del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Comcast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https://www.sec.gov/Archives/edgar/data/1166691/000162828026049360/cmcsa-20260630.htm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Form 10-Q del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https://www.sec.gov/Archives/edgar/data/1652044/000165204426000071/goog-20260630.htm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Walt Disney, Form 10-Q del 3T del ejercicio 2026 (jun-2026)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Walt Disney Company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https://www.sec.gov/Archives/edgar/data/1744489/000174448926000057/dis-20260627.htm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Streaming Climbs To 48.5%, Per Last Lame Duck Edition Of Nielsen's 'Gauge' (junio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MediaPost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https://www.mediapost.com/publications/article/417308/streaming-climbs-to-485-per-last-lame-duck-edit.html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layoffs: 6 percent of worldwide staff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NBC (NBC Miami)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https://www.nbcmiami.com/news/national-international/netflix-layoffs-6-percent-worldwide-staff/3872766/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Germany's New Media Investment Obligation Act: Key Provisions of the Draft Legislation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Morrison Foerster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https://www.mofo.com/resources/insights/260508-germany-s-new-media-investment-obligation-act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Germany: new investment obligation for video streaming services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Baker McKenzie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https://www.bakermckenzie.com/en/insight/publications/2026/05/germany-new-investment-obligation-for-video-streaming-services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 2331/2022 (Substitutivo-CD), servicios de streaming y Condecine: situación de la tramitación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Senado Federal de Brasil (datos abiertos)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https://legis.senado.leg.br/dadosabertos/processo?sigla=PL&amp;numero=2331&amp;ano=2022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Attorney General lawsuit against Netflix over alleged violations of Texas Deceptive Trade Practices-Consumer Protection Act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Digital Policy Alert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https://digitalpolicyalert.org/change/19362-attorney-general-lawsuit-against-netflix-over-alleged-violations-of-texas-deceptive-trade-practices-consumer-protection-act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proxy statement de 2026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https://www.sec.gov/Archives/edgar/data/1065280/000119312526159286/d20613ddef14a.htm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2025 (punto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https://www.sec.gov/Archives/edgar/data/1065280/000106528025000286/nflx-20250605.htm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Cartas a los accionistas del 4T20 al 4T23 (guías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https://www.sec.gov/Archives/edgar/data/1065280/000106528024000029/ex991_q423.htm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Netflix presentados entre el 21-oct-2025 y el 21-oct-2026 (189 presentaciones, agregadas con form4.mjs)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https://www.sec.gov/cgi-bin/browse-edgar?action=getcompany&amp;CIK=0001065280&amp;type=4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Reed Hastings no se presenta a la reelección (punto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https://www.sec.gov/Archives/edgar/data/1065280/000106528026000137/nflx-20260410.htm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cambios en el plan de indemnizaciones de la alta dirección (punto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https://www.sec.gov/Archives/edgar/data/1065280/000106528025000408/nflx-20251030.htm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dimisión de Anne Sweeney (punto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https://www.sec.gov/Archives/edgar/data/1065280/000106528026000214/nflx-20260726.htm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FMR LLC sobre Netflix (3,3 %)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FMR LLC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https://www.sec.gov/Archives/edgar/data/1065280/000031506626002077/primary_doc.xml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sobre Netflix (7,49 %)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Vanguard Capital Management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https://www.sec.gov/Archives/edgar/data/1065280/000210011926000856/primary_doc.xml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The Vanguard Group sobre Netflix (0 % tras la reorganización)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Vanguard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https://www.sec.gov/Archives/edgar/data/1065280/000010290926001888/primary_doc.xml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144 de Reed Hastings (aviso de venta del 1-sep-2026 y ventas de los tres meses anteriores)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https://www.sec.gov/Archives/edgar/data/1065280/000162828026059826/primary_doc.xml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is laying off 6% of its workforce in biggest round of job cuts at streaming giant in years (AP)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ABC30 / Associated 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https://abc30.com/story/netflix-is-laying-off-6-workforce-1000-employees-biggest-round-job-cuts-streaming-giant-years/19938143/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Announces Departure of Chief Content Officer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TV Technology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https://www.tvtechnology.com/business/people/netflix-announces-departure-of-chief-content-officer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Secretly Collects and Monetizes Kids' Viewing Info, Class Action Lawsuit Alleges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ClassAction.org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https://www.classaction.org/news/category/netflix-inc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y Form 144 de Bradford L. Smith (consejero), 26-27 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https://www.sec.gov/Archives/edgar/data/1065280/000119311926000003/xslF345X06/wk-form4_1793132405.xml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to Announce Third Quarter 2026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 (PR 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https://s22.q4cdn.com/959853165/files/doc_news/Netflix-to-Announce-Third-Quarter-2026-Financial-Results-2026.pdf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(NFLX)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https://stockanalysis.com/stocks/nflx/statistics/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https://www.marketscreener.com/quote/stock/NETFLIX-INC-44292425/finances/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(NFLX) stock forecast and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https://stockanalysis.com/stocks/nflx/forecast/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NFLX, SPY y XLC (hasta el 20-oct-2026)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https://finance.yahoo.com/quote/NFLX/history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Walt Disney (DIS)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https://stockanalysis.com/stocks/dis/statistics/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Comcast (CMCSA)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https://stockanalysis.com/stocks/cmcsa/statistics/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Fox Corporation (FOXA)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https://stockanalysis.com/stocks/foxa/statistics/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Spotify (SPOT)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https://stockanalysis.com/stocks/spot/statistics/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Roku (ROKU)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https://stockanalysis.com/stocks/roku/statistics/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TKO Group (TKO)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https://stockanalysis.com/stocks/tko/statistics/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Walt Disney: Financial Data Forecasts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https://www.marketscreener.com/quote/stock/WALT-DISNEY-COMPANY-THE-4842/finances/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Comcast: Financial Data Forecasts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https://www.marketscreener.com/quote/stock/COMCAST-CORPORATION-4864/finances/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Fox Corporation: Financial Data Forecasts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https://www.marketscreener.com/quote/stock/FOX-CORPORATION-57672112/finances/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Spotify Technology: Financial Data Forecasts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https://www.marketscreener.com/quote/stock/SPOTIFY-TECHNOLOGY-S-A-42589613/finances/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Roku: Financial Data Forecasts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https://www.marketscreener.com/quote/stock/ROKU-INC-37892974/finances/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TKO Group Holdings: Financial Data Forecasts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https://www.marketscreener.com/quote/stock/TKO-GROUP-HOLDINGS-INC-159194874/finances/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WBD, proxy definitivo de la fusión con Paramount Skydance (DEFM14A)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Warner Bros. Discovery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https://www.sec.gov/Archives/edgar/data/1437107/000119312526125075/d115093ddefm14a.htm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Paramount Skydance’s $110 Billion Acquisition of Warner Bros. Discovery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Cleary Gottlieb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https://www.clearygottlieb.com/news-and-insights/news-listing/paramount-skydances-110-billion-acquisition-of-warner-bros-discovery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 Facts de Warner Bros. Discovery (CIK 1437107)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https://data.sec.gov/api/xbrl/companyfacts/CIK0001437107.json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Yield on U.S. Treasury Securities at 10-Year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Federal Reserve Bank of St. Louis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 Consensus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https://www.marketscreener.com/quote/stock/NETFLIX-INC-44292425/consensus/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(NFLX) stock forecast and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https://www.marketbeat.com/stocks/NASDAQ/NFLX/forecast/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(NFLX) analysis: EPS trend and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https://finance.yahoo.com/quote/NFLX/analysis/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NFLX, cotización de 5 minutos con fuera de horas (19 y 20-oct-2026)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https://query1.finance.yahoo.com/v8/finance/chart/NFLX?interval=5m&amp;range=2d&amp;includePrePost=true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call transcript: Netflix beats Q3 2026 estimates, but shares fall after hours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https://www.investing.com/news/transcripts/earnings-call-transcript-netflix-beats-q3-2026-estimates-but-shares-fall-after-hours-93CH-4961240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https://home.treasury.gov/resource-center/data-chart-center/interest-rates/TextView?type=daily_treasury_yield_curve&amp;field_tdr_date_value=2026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(NFLX) slumps 4.9% after Warner Bros. (WBD) acquisition bid reports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Schwab Network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https://schwabnetwork.beehiiv.com/p/netflix-nflx-slumps-4-9-after-warner-bros-wbd-acquisition-bid-reports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sinks 9% after Q1 earnings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XTB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https://www.xtb.com/int/market-analysis/news-and-research/netflix-sinks-9-after-q1-earnings-report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Sinks 11% on Soft Q3 Guidance as Analysts Warn It’s “Losing Narrative Control”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24/7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https://247wallst.com/investing/2026/07/17/netflix-sinks-11-on-soft-q3-guidance-as-analysts-warn-its-losing-narrative-control/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stock rallies 3.4% as Ackman thesis meets an 8% buyback tailwind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https://ts2.tech/en/netflix-stock-rallies-3-4-as-ackman-thesis-meets-an-8-buyback-tailwind/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shares slip after second UK price hike in two years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SentiSense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https://app.sentisense.ai/stories/netflix-shares-slip-over-4-percent-after-second-uk-price-hike-in-two-years-09052026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Die Netflix-Frage, die niemand stellt (rebaja de Wells Fargo, 18-sep-2026)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SimianX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https://www.simianx.ai/de/stories/netflix-stock-drops-5-has-nflx-lost-its-streaming-crown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directivos y consejeros de Netflix (21-abr a 21-oct-2026)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https://www.sec.gov/cgi-bin/browse-edgar?action=getcompany&amp;CIK=1065280&amp;type=4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 Form 10-Q del tercer trimestre de 2026 (30-sep-2026)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https://www.sec.gov/Archives/edgar/data/1065280/000106528026000291/nflx-20260930.htm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Wall Street Lowers Netflix Stock Price Targets After Weak Outlook Overshadows Q3 Earnings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TheWrap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https://www.thewrap.com/industry-news/business/netflix-q3-2026-earnings-stock-reaction/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Stock News (Oct 22, 2026): NFLX Falls 5.3% to $65.04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Gotrade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https://www.heygotrade.com/en/news/netflix-nflx-stock-news-october-22-2026/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 (CSV, 27-oct-2026)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https://home.treasury.gov/resource-center/data-chart-center/interest-rates/daily-treasury-rates.csv/2026/all?type=daily_treasury_yield_curve&amp;field_tdr_date_value=2026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 (NFLX): foro de comentarios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https://www.investing.com/equities/netflix,-inc.-commentary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(NFLX): artículos de opinión del 4 al 10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https://www.fool.com/quote/nasdaq/nflx/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NFLX: canal combinado de análisis y noticias (RSS)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https://seekingalpha.com/api/sa/combined/NFLX.xml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NFLX: flujo de mensajes (API, 120 mensajes del 20 y 21 de octubre)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https://api.stocktwits.com/api/2/streams/symbol/NFLX.json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artículos de opinión del 11 al 21 de octubre de 2026 (índice de octubre y piezas del 19, 20 y 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https://www.fool.com/sitemap/2026/10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(NFLX) News Today: Why Is Netflix Down Today?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https://www.marketbeat.com/stocks/NASDAQ/NFLX/news/</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93,4 %</w:t>
      </w:r>
      <w:r>
        <w:t xml:space="preserve"> · Secciones con menos del 60 % de campos cubiertos: </w:t>
      </w:r>
      <w:r>
        <w:rPr>
          <w:b/>
          <w:bCs/>
        </w:rPr>
        <w:t xml:space="preserve">ninguna</w:t>
      </w:r>
      <w:r>
        <w:t xml:space="preserve"> · Generado el 28 oct 2026.</w:t>
      </w:r>
    </w:p>
    <w:p>
      <w:pPr>
        <w:pStyle w:val="Nota"/>
        <w:spacing w:after="100"/>
      </w:pPr>
      <w:r>
        <w:t xml:space="preserve">Se valora la acción ordinaria del Nasdaq (NFLX), en dólares, con el cierre del 27-oct-2026 (62,52 USD), el último a la fecha de corte (28-oct, antes de la apertura de Nueva York) [59]. Todas las cifras por acción están ajustadas al desdoblamiento de 10 por 1 de noviembre de 2025. Acciones: 4.167 M = 4.106,3 M en circulación a 30-sep-2026 (10-Q) más 60,7 M de efecto dilutivo de opciones (media del 3T), del mismo balance que la caja del puente [91]. Criterio del EBITDA: beneficio operativo más la depreciación de inmovilizado; la amortización de contenidos (16.422 M en 2025) es gasto, como en Disney o Warner. Por eso el «capex» del DCF suma a las compras de inmovilizado el exceso de los pagos de caja por contenidos sobre su amortización [1]. El consenso de MarketScreener (28-oct, ya con el 3T26) excluye los pagos en acciones: el motor resta un 0,8 % de las ventas [57]. Los comparables se llevan del cierre del 20 al del 27-oct con la variación de su precio, sin revisar sus estimaciones (Spotify publicó el 21-oct) [59]. US GAAP: los arrendamientos operativos (2.330 M) no van a la deuda [3]. El beneficio LTM incluye la comisión de ruptura de Warner Bros. (2.800 M antes de impuestos), que infla el PER LTM [9].</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28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Netflix, Inc. (NFLX)</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62,52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(62,48 – 116,73)</c:v>
                </c:pt>
                <c:pt idx="1">
                  <c:v>Precio objetivo de los analistas (57,00 – 126,00)</c:v>
                </c:pt>
                <c:pt idx="2">
                  <c:v>Comparables: EV/EBITDA NTM (34,68 – 96,51)</c:v>
                </c:pt>
                <c:pt idx="3">
                  <c:v>Comparables: PER NTM (45,91 – 131,01)</c:v>
                </c:pt>
                <c:pt idx="4">
                  <c:v>Transacciones precedentes (EV/ventas) (31,46 – 41,67)</c:v>
                </c:pt>
                <c:pt idx="5">
                  <c:v>DCF (WACC y g ± 0,5) (57,22 – 69,51)</c:v>
                </c:pt>
                <c:pt idx="6">
                  <c:v>Escenarios (bajista – alcista) (37,21 – 85,33)</c:v>
                </c:pt>
                <c:pt idx="7">
                  <c:v>DCF con la prima implícita del mercado (4,2 %)</c:v>
                </c:pt>
                <c:pt idx="8">
                  <c:v>Precio actual (62,52)</c:v>
                </c:pt>
              </c:strCache>
            </c:strRef>
          </c:cat>
          <c:val>
            <c:numRef>
              <c:f>Hoja1!$B$2:$B$10</c:f>
              <c:numCache>
                <c:formatCode>#,##0</c:formatCode>
                <c:ptCount val="9"/>
                <c:pt idx="0">
                  <c:v>62.48</c:v>
                </c:pt>
                <c:pt idx="1">
                  <c:v>57</c:v>
                </c:pt>
                <c:pt idx="2">
                  <c:v>34.68</c:v>
                </c:pt>
                <c:pt idx="3">
                  <c:v>45.91</c:v>
                </c:pt>
                <c:pt idx="4">
                  <c:v>31.46</c:v>
                </c:pt>
                <c:pt idx="5">
                  <c:v>57.22</c:v>
                </c:pt>
                <c:pt idx="6">
                  <c:v>37.21</c:v>
                </c:pt>
                <c:pt idx="7">
                  <c:v>71.87</c:v>
                </c:pt>
                <c:pt idx="8">
                  <c:v>62.21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(62,48 – 116,73)</c:v>
                </c:pt>
                <c:pt idx="1">
                  <c:v>Precio objetivo de los analistas (57,00 – 126,00)</c:v>
                </c:pt>
                <c:pt idx="2">
                  <c:v>Comparables: EV/EBITDA NTM (34,68 – 96,51)</c:v>
                </c:pt>
                <c:pt idx="3">
                  <c:v>Comparables: PER NTM (45,91 – 131,01)</c:v>
                </c:pt>
                <c:pt idx="4">
                  <c:v>Transacciones precedentes (EV/ventas) (31,46 – 41,67)</c:v>
                </c:pt>
                <c:pt idx="5">
                  <c:v>DCF (WACC y g ± 0,5) (57,22 – 69,51)</c:v>
                </c:pt>
                <c:pt idx="6">
                  <c:v>Escenarios (bajista – alcista) (37,21 – 85,33)</c:v>
                </c:pt>
                <c:pt idx="7">
                  <c:v>DCF con la prima implícita del mercado (4,2 %)</c:v>
                </c:pt>
                <c:pt idx="8">
                  <c:v>Precio actual (62,52)</c:v>
                </c:pt>
              </c:strCache>
            </c:strRef>
          </c:cat>
          <c:val>
            <c:numRef>
              <c:f>Hoja1!$C$2:$C$10</c:f>
              <c:numCache>
                <c:formatCode>#,##0</c:formatCode>
                <c:ptCount val="9"/>
                <c:pt idx="0">
                  <c:v>54.25000000000001</c:v>
                </c:pt>
                <c:pt idx="1">
                  <c:v>69</c:v>
                </c:pt>
                <c:pt idx="2">
                  <c:v>61.830000000000005</c:v>
                </c:pt>
                <c:pt idx="3">
                  <c:v>85.1</c:v>
                </c:pt>
                <c:pt idx="4">
                  <c:v>10.21</c:v>
                </c:pt>
                <c:pt idx="5">
                  <c:v>12.290000000000006</c:v>
                </c:pt>
                <c:pt idx="6">
                  <c:v>48.12</c:v>
                </c:pt>
                <c:pt idx="7">
                  <c:v>12.519999999999996</c:v>
                </c:pt>
                <c:pt idx="8">
                  <c:v>0.6199999999999974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UCAN (EE. UU. y Canadá)</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11455.4</c:v>
                </c:pt>
                <c:pt idx="1">
                  <c:v>12972.1</c:v>
                </c:pt>
                <c:pt idx="2">
                  <c:v>14084.6</c:v>
                </c:pt>
                <c:pt idx="3">
                  <c:v>14873.8</c:v>
                </c:pt>
                <c:pt idx="4">
                  <c:v>17359.4</c:v>
                </c:pt>
                <c:pt idx="5">
                  <c:v>19957.2</c:v>
                </c:pt>
              </c:numCache>
            </c:numRef>
          </c:val>
        </c:ser>
        <c:ser>
          <c:idx val="1"/>
          <c:order val="1"/>
          <c:tx>
            <c:strRef>
              <c:f>Hoja1!$C$1</c:f>
              <c:strCache>
                <c:ptCount val="1"/>
                <c:pt idx="0">
                  <c:v>EMEA</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7772.3</c:v>
                </c:pt>
                <c:pt idx="1">
                  <c:v>9699.8</c:v>
                </c:pt>
                <c:pt idx="2">
                  <c:v>9745</c:v>
                </c:pt>
                <c:pt idx="3">
                  <c:v>10556.5</c:v>
                </c:pt>
                <c:pt idx="4">
                  <c:v>12387</c:v>
                </c:pt>
                <c:pt idx="5">
                  <c:v>14514.6</c:v>
                </c:pt>
              </c:numCache>
            </c:numRef>
          </c:val>
        </c:ser>
        <c:ser>
          <c:idx val="2"/>
          <c:order val="2"/>
          <c:tx>
            <c:strRef>
              <c:f>Hoja1!$D$1</c:f>
              <c:strCache>
                <c:ptCount val="1"/>
                <c:pt idx="0">
                  <c:v>LATAM</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3156.7</c:v>
                </c:pt>
                <c:pt idx="1">
                  <c:v>3577</c:v>
                </c:pt>
                <c:pt idx="2">
                  <c:v>4070</c:v>
                </c:pt>
                <c:pt idx="3">
                  <c:v>4446.5</c:v>
                </c:pt>
                <c:pt idx="4">
                  <c:v>4839.8</c:v>
                </c:pt>
                <c:pt idx="5">
                  <c:v>5357.5</c:v>
                </c:pt>
              </c:numCache>
            </c:numRef>
          </c:val>
        </c:ser>
        <c:ser>
          <c:idx val="3"/>
          <c:order val="3"/>
          <c:tx>
            <c:strRef>
              <c:f>Hoja1!$E$1</c:f>
              <c:strCache>
                <c:ptCount val="1"/>
                <c:pt idx="0">
                  <c:v>APAC</c:v>
                </c:pt>
              </c:strCache>
            </c:strRef>
          </c:tx>
          <c:spPr>
            <a:solidFill>
              <a:srgbClr val="EDA100"/>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2372.3</c:v>
                </c:pt>
                <c:pt idx="1">
                  <c:v>3266.6</c:v>
                </c:pt>
                <c:pt idx="2">
                  <c:v>3570.2</c:v>
                </c:pt>
                <c:pt idx="3">
                  <c:v>3763.7</c:v>
                </c:pt>
                <c:pt idx="4">
                  <c:v>4414.7</c:v>
                </c:pt>
                <c:pt idx="5">
                  <c:v>5353.7</c:v>
                </c:pt>
              </c:numCache>
            </c:numRef>
          </c:val>
        </c:ser>
        <c:ser>
          <c:idx val="4"/>
          <c:order val="4"/>
          <c:tx>
            <c:strRef>
              <c:f>Hoja1!$F$1</c:f>
              <c:strCache>
                <c:ptCount val="1"/>
                <c:pt idx="0">
                  <c:v>DVD (cerrado en sep-2023)</c:v>
                </c:pt>
              </c:strCache>
            </c:strRef>
          </c:tx>
          <c:spPr>
            <a:solidFill>
              <a:srgbClr val="E87BA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Hoja1!$F$2:$F$7</c:f>
              <c:numCache>
                <c:formatCode>#,##0</c:formatCode>
                <c:ptCount val="6"/>
                <c:pt idx="0">
                  <c:v>239.4</c:v>
                </c:pt>
                <c:pt idx="1">
                  <c:v>182.3</c:v>
                </c:pt>
                <c:pt idx="2">
                  <c:v>145.7</c:v>
                </c:pt>
                <c:pt idx="3">
                  <c:v>82.8</c:v>
                </c:pt>
                <c:pt idx="4">
                  <c:v>0</c:v>
                </c:pt>
                <c:pt idx="5">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UCAN (EE. UU. y Canadá)</c:v>
                </c:pt>
                <c:pt idx="1">
                  <c:v>EMEA</c:v>
                </c:pt>
                <c:pt idx="2">
                  <c:v>LATAM</c:v>
                </c:pt>
                <c:pt idx="3">
                  <c:v>APAC</c:v>
                </c:pt>
                <c:pt idx="4">
                  <c:v>DVD (cerrado en sep-2023)</c:v>
                </c:pt>
              </c:strCache>
            </c:strRef>
          </c:cat>
          <c:val>
            <c:numRef>
              <c:f>Hoja1!$B$2:$B$6</c:f>
              <c:numCache>
                <c:formatCode>General</c:formatCode>
                <c:ptCount val="5"/>
                <c:pt idx="0">
                  <c:v>44.2</c:v>
                </c:pt>
                <c:pt idx="1">
                  <c:v>32.1</c:v>
                </c:pt>
                <c:pt idx="2">
                  <c:v>11.9</c:v>
                </c:pt>
                <c:pt idx="3">
                  <c:v>11.8</c:v>
                </c:pt>
                <c:pt idx="4">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UCAN (EE. UU. y Canadá)</c:v>
                </c:pt>
                <c:pt idx="1">
                  <c:v>EMEA</c:v>
                </c:pt>
                <c:pt idx="2">
                  <c:v>LATAM</c:v>
                </c:pt>
                <c:pt idx="3">
                  <c:v>APAC</c:v>
                </c:pt>
              </c:strCache>
            </c:strRef>
          </c:cat>
          <c:val>
            <c:numRef>
              <c:f>Hoja1!$B$2:$B$5</c:f>
              <c:numCache>
                <c:formatCode>0"%"</c:formatCode>
                <c:ptCount val="4"/>
                <c:pt idx="0">
                  <c:v>44.2</c:v>
                </c:pt>
                <c:pt idx="1">
                  <c:v>32.1</c:v>
                </c:pt>
                <c:pt idx="2">
                  <c:v>11.9</c:v>
                </c:pt>
                <c:pt idx="3">
                  <c:v>11.8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2024</c:v>
                </c:pt>
                <c:pt idx="1">
                  <c:v>2030e</c:v>
                </c:pt>
              </c:strCache>
            </c:strRef>
          </c:cat>
          <c:val>
            <c:numRef>
              <c:f>Hoja1!$B$2:$B$3</c:f>
              <c:numCache>
                <c:formatCode>#,##0</c:formatCode>
                <c:ptCount val="2"/>
                <c:pt idx="0">
                  <c:v>129300</c:v>
                </c:pt>
                <c:pt idx="1">
                  <c:v>416800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3</c:v>
                </c:pt>
                <c:pt idx="3">
                  <c:v>2</c:v>
                </c:pt>
                <c:pt idx="4">
                  <c:v>4</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Netflix</c:v>
                </c:pt>
                <c:pt idx="1">
                  <c:v>Disney (Entertainment DTC: Disney+, Hulu)</c:v>
                </c:pt>
                <c:pt idx="2">
                  <c:v>Skydance (Paramount+, HBO Max, Pluto TV)</c:v>
                </c:pt>
                <c:pt idx="3">
                  <c:v>Comcast (Peacock)</c:v>
                </c:pt>
                <c:pt idx="4">
                  <c:v>Alphabet (YouTube)</c:v>
                </c:pt>
                <c:pt idx="5">
                  <c:v>Amazon (Prime Video)</c:v>
                </c:pt>
              </c:strCache>
            </c:strRef>
          </c:cat>
          <c:val>
            <c:numRef>
              <c:f>Hoja1!$B$2:$B$7</c:f>
              <c:numCache>
                <c:formatCode>0.0"%"</c:formatCode>
                <c:ptCount val="6"/>
                <c:pt idx="0">
                  <c:v>30.6</c:v>
                </c:pt>
                <c:pt idx="1">
                  <c:v>5.4</c:v>
                </c:pt>
                <c:pt idx="2">
                  <c:v>8.2</c:v>
                </c:pt>
                <c:pt idx="3">
                  <c:v>-20.4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2</c:v>
                </c:pt>
                <c:pt idx="2">
                  <c:v>4</c:v>
                </c:pt>
                <c:pt idx="3">
                  <c:v>4</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Hoja1!$A$2:$A$19</c:f>
              <c:strCache>
                <c:ptCount val="18"/>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strCache>
            </c:strRef>
          </c:cat>
          <c:val>
            <c:numRef>
              <c:f>Hoja1!$B$2:$B$19</c:f>
              <c:numCache>
                <c:formatCode>#,##0</c:formatCode>
                <c:ptCount val="18"/>
                <c:pt idx="0">
                  <c:v>8830.7</c:v>
                </c:pt>
                <c:pt idx="1">
                  <c:v>11692.7</c:v>
                </c:pt>
                <c:pt idx="2">
                  <c:v>15794.3</c:v>
                </c:pt>
                <c:pt idx="3">
                  <c:v>20156.4</c:v>
                </c:pt>
                <c:pt idx="4">
                  <c:v>24996.1</c:v>
                </c:pt>
                <c:pt idx="5">
                  <c:v>29697.8</c:v>
                </c:pt>
                <c:pt idx="6">
                  <c:v>31615.6</c:v>
                </c:pt>
                <c:pt idx="7">
                  <c:v>33723.3</c:v>
                </c:pt>
                <c:pt idx="8">
                  <c:v>39001</c:v>
                </c:pt>
                <c:pt idx="9">
                  <c:v>45183</c:v>
                </c:pt>
                <c:pt idx="10">
                  <c:v>51102</c:v>
                </c:pt>
                <c:pt idx="11">
                  <c:v>56468</c:v>
                </c:pt>
                <c:pt idx="12">
                  <c:v>62114</c:v>
                </c:pt>
                <c:pt idx="13">
                  <c:v>67705</c:v>
                </c:pt>
                <c:pt idx="14">
                  <c:v>73121</c:v>
                </c:pt>
                <c:pt idx="15">
                  <c:v>78240</c:v>
                </c:pt>
                <c:pt idx="16">
                  <c:v>82934</c:v>
                </c:pt>
                <c:pt idx="17">
                  <c:v>87081</c:v>
                </c:pt>
              </c:numCache>
            </c:numRef>
          </c:val>
        </c:ser>
        <c:ser>
          <c:idx val="1"/>
          <c:order val="1"/>
          <c:tx>
            <c:strRef>
              <c:f>Hoja1!$C$1</c:f>
              <c:strCache>
                <c:ptCount val="1"/>
                <c:pt idx="0">
                  <c:v>EBITDA</c:v>
                </c:pt>
              </c:strCache>
            </c:strRef>
          </c:tx>
          <c:spPr>
            <a:solidFill>
              <a:srgbClr val="EB6834"/>
            </a:solidFill>
            <a:ln w="9525">
              <a:noFill/>
            </a:ln>
          </c:spPr>
          <c:invertIfNegative val="0"/>
          <c:cat>
            <c:strRef>
              <c:f>Hoja1!$A$2:$A$19</c:f>
              <c:strCache>
                <c:ptCount val="18"/>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strCache>
            </c:strRef>
          </c:cat>
          <c:val>
            <c:numRef>
              <c:f>Hoja1!$C$2:$C$19</c:f>
              <c:numCache>
                <c:formatCode>#,##0</c:formatCode>
                <c:ptCount val="18"/>
                <c:pt idx="0">
                  <c:v>437.3</c:v>
                </c:pt>
                <c:pt idx="1">
                  <c:v>910.6</c:v>
                </c:pt>
                <c:pt idx="2">
                  <c:v>1688.4</c:v>
                </c:pt>
                <c:pt idx="3">
                  <c:v>2707.9</c:v>
                </c:pt>
                <c:pt idx="4">
                  <c:v>4701</c:v>
                </c:pt>
                <c:pt idx="5">
                  <c:v>6402.9</c:v>
                </c:pt>
                <c:pt idx="6">
                  <c:v>5969.5</c:v>
                </c:pt>
                <c:pt idx="7">
                  <c:v>7310.9</c:v>
                </c:pt>
                <c:pt idx="8">
                  <c:v>10746.5</c:v>
                </c:pt>
                <c:pt idx="9">
                  <c:v>14155</c:v>
                </c:pt>
                <c:pt idx="10">
                  <c:v>16506</c:v>
                </c:pt>
                <c:pt idx="11">
                  <c:v>19368</c:v>
                </c:pt>
                <c:pt idx="12">
                  <c:v>22361</c:v>
                </c:pt>
                <c:pt idx="13">
                  <c:v>25186</c:v>
                </c:pt>
                <c:pt idx="14">
                  <c:v>27932</c:v>
                </c:pt>
                <c:pt idx="15">
                  <c:v>30357</c:v>
                </c:pt>
                <c:pt idx="16">
                  <c:v>32510</c:v>
                </c:pt>
                <c:pt idx="17">
                  <c:v>34397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29.1</c:v>
                </c:pt>
                <c:pt idx="1">
                  <c:v>31.3</c:v>
                </c:pt>
                <c:pt idx="2">
                  <c:v>36.9</c:v>
                </c:pt>
                <c:pt idx="3">
                  <c:v>38.3</c:v>
                </c:pt>
                <c:pt idx="4">
                  <c:v>38.9</c:v>
                </c:pt>
                <c:pt idx="5">
                  <c:v>41.6</c:v>
                </c:pt>
                <c:pt idx="6">
                  <c:v>39.4</c:v>
                </c:pt>
                <c:pt idx="7">
                  <c:v>41.5</c:v>
                </c:pt>
                <c:pt idx="8">
                  <c:v>46.1</c:v>
                </c:pt>
                <c:pt idx="9">
                  <c:v>48.5</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5</c:v>
                </c:pt>
                <c:pt idx="1">
                  <c:v>7.8</c:v>
                </c:pt>
                <c:pt idx="2">
                  <c:v>10.7</c:v>
                </c:pt>
                <c:pt idx="3">
                  <c:v>13.4</c:v>
                </c:pt>
                <c:pt idx="4">
                  <c:v>18.8</c:v>
                </c:pt>
                <c:pt idx="5">
                  <c:v>21.6</c:v>
                </c:pt>
                <c:pt idx="6">
                  <c:v>18.9</c:v>
                </c:pt>
                <c:pt idx="7">
                  <c:v>21.7</c:v>
                </c:pt>
                <c:pt idx="8">
                  <c:v>27.6</c:v>
                </c:pt>
                <c:pt idx="9">
                  <c:v>31.3</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4.3</c:v>
                </c:pt>
                <c:pt idx="1">
                  <c:v>7.2</c:v>
                </c:pt>
                <c:pt idx="2">
                  <c:v>10.2</c:v>
                </c:pt>
                <c:pt idx="3">
                  <c:v>12.9</c:v>
                </c:pt>
                <c:pt idx="4">
                  <c:v>18.3</c:v>
                </c:pt>
                <c:pt idx="5">
                  <c:v>20.9</c:v>
                </c:pt>
                <c:pt idx="6">
                  <c:v>17.8</c:v>
                </c:pt>
                <c:pt idx="7">
                  <c:v>20.6</c:v>
                </c:pt>
                <c:pt idx="8">
                  <c:v>26.7</c:v>
                </c:pt>
                <c:pt idx="9">
                  <c:v>30.6</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Hoja1!$E$2:$E$11</c:f>
              <c:numCache>
                <c:formatCode>0"%"</c:formatCode>
                <c:ptCount val="10"/>
                <c:pt idx="0">
                  <c:v>2.1</c:v>
                </c:pt>
                <c:pt idx="1">
                  <c:v>4.8</c:v>
                </c:pt>
                <c:pt idx="2">
                  <c:v>7.7</c:v>
                </c:pt>
                <c:pt idx="3">
                  <c:v>9.3</c:v>
                </c:pt>
                <c:pt idx="4">
                  <c:v>11</c:v>
                </c:pt>
                <c:pt idx="5">
                  <c:v>17.2</c:v>
                </c:pt>
                <c:pt idx="6">
                  <c:v>14.2</c:v>
                </c:pt>
                <c:pt idx="7">
                  <c:v>16</c:v>
                </c:pt>
                <c:pt idx="8">
                  <c:v>22.3</c:v>
                </c:pt>
                <c:pt idx="9">
                  <c:v>24.3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Hoja1!$B$2:$B$9</c:f>
              <c:numCache>
                <c:formatCode>0.0"%"</c:formatCode>
                <c:ptCount val="8"/>
                <c:pt idx="0">
                  <c:v>16</c:v>
                </c:pt>
                <c:pt idx="1">
                  <c:v>12.5</c:v>
                </c:pt>
                <c:pt idx="2">
                  <c:v>15.9</c:v>
                </c:pt>
                <c:pt idx="3">
                  <c:v>17.2</c:v>
                </c:pt>
                <c:pt idx="4">
                  <c:v>17.6</c:v>
                </c:pt>
                <c:pt idx="5">
                  <c:v>16.2</c:v>
                </c:pt>
                <c:pt idx="6">
                  <c:v>13.4</c:v>
                </c:pt>
                <c:pt idx="7">
                  <c:v>11.8</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Hoja1!$C$2:$C$9</c:f>
              <c:numCache>
                <c:formatCode>0.0"%"</c:formatCode>
                <c:ptCount val="8"/>
                <c:pt idx="0">
                  <c:v>19</c:v>
                </c:pt>
                <c:pt idx="3">
                  <c:v>17</c:v>
                </c:pt>
                <c:pt idx="4">
                  <c:v>17</c:v>
                </c:pt>
                <c:pt idx="5">
                  <c:v>14</c:v>
                </c:pt>
                <c:pt idx="6">
                  <c:v>12</c:v>
                </c:pt>
                <c:pt idx="7">
                  <c:v>11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2">
                  <c:v>5</c:v>
                </c:pt>
                <c:pt idx="3">
                  <c:v>10</c:v>
                </c:pt>
                <c:pt idx="4">
                  <c:v>11</c:v>
                </c:pt>
                <c:pt idx="5">
                  <c:v>11</c:v>
                </c:pt>
                <c:pt idx="6">
                  <c:v>21</c:v>
                </c:pt>
                <c:pt idx="7">
                  <c:v>12</c:v>
                </c:pt>
                <c:pt idx="8">
                  <c:v>16</c:v>
                </c:pt>
                <c:pt idx="9">
                  <c:v>12</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0</c:v>
                </c:pt>
                <c:pt idx="1">
                  <c:v>0</c:v>
                </c:pt>
                <c:pt idx="2">
                  <c:v>0</c:v>
                </c:pt>
                <c:pt idx="3">
                  <c:v>0</c:v>
                </c:pt>
                <c:pt idx="4">
                  <c:v>0</c:v>
                </c:pt>
                <c:pt idx="5">
                  <c:v>0</c:v>
                </c:pt>
                <c:pt idx="6">
                  <c:v>0</c:v>
                </c:pt>
                <c:pt idx="7">
                  <c:v>0</c:v>
                </c:pt>
                <c:pt idx="8">
                  <c:v>0</c:v>
                </c:pt>
                <c:pt idx="9">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18</c:v>
                </c:pt>
                <c:pt idx="1">
                  <c:v>16</c:v>
                </c:pt>
                <c:pt idx="2">
                  <c:v>21</c:v>
                </c:pt>
                <c:pt idx="3">
                  <c:v>20</c:v>
                </c:pt>
                <c:pt idx="4">
                  <c:v>16</c:v>
                </c:pt>
                <c:pt idx="5">
                  <c:v>18</c:v>
                </c:pt>
                <c:pt idx="6">
                  <c:v>13</c:v>
                </c:pt>
                <c:pt idx="7">
                  <c:v>14</c:v>
                </c:pt>
                <c:pt idx="8">
                  <c:v>16</c:v>
                </c:pt>
                <c:pt idx="9">
                  <c:v>14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-1581.7</c:v>
                </c:pt>
                <c:pt idx="1">
                  <c:v>-1959.2</c:v>
                </c:pt>
                <c:pt idx="2">
                  <c:v>-2854.4</c:v>
                </c:pt>
                <c:pt idx="3">
                  <c:v>-3140.3</c:v>
                </c:pt>
                <c:pt idx="4">
                  <c:v>1929.1999999999998</c:v>
                </c:pt>
                <c:pt idx="5">
                  <c:v>-132</c:v>
                </c:pt>
                <c:pt idx="6">
                  <c:v>1618.6</c:v>
                </c:pt>
                <c:pt idx="7">
                  <c:v>6925.7</c:v>
                </c:pt>
                <c:pt idx="8">
                  <c:v>6921.9</c:v>
                </c:pt>
                <c:pt idx="9">
                  <c:v>9461.099999999999</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186.7</c:v>
                </c:pt>
                <c:pt idx="1">
                  <c:v>558.9</c:v>
                </c:pt>
                <c:pt idx="2">
                  <c:v>1211.2</c:v>
                </c:pt>
                <c:pt idx="3">
                  <c:v>1866.9</c:v>
                </c:pt>
                <c:pt idx="4">
                  <c:v>2761.4</c:v>
                </c:pt>
                <c:pt idx="5">
                  <c:v>5116.2</c:v>
                </c:pt>
                <c:pt idx="6">
                  <c:v>4491.9</c:v>
                </c:pt>
                <c:pt idx="7">
                  <c:v>5408</c:v>
                </c:pt>
                <c:pt idx="8">
                  <c:v>8711.6</c:v>
                </c:pt>
                <c:pt idx="9">
                  <c:v>10981.2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6.3</c:v>
                </c:pt>
                <c:pt idx="1">
                  <c:v>14.5</c:v>
                </c:pt>
                <c:pt idx="2">
                  <c:v>16.6</c:v>
                </c:pt>
                <c:pt idx="3">
                  <c:v>16.2</c:v>
                </c:pt>
                <c:pt idx="4">
                  <c:v>21.7</c:v>
                </c:pt>
                <c:pt idx="5">
                  <c:v>24.5</c:v>
                </c:pt>
                <c:pt idx="6">
                  <c:v>17.7</c:v>
                </c:pt>
                <c:pt idx="7">
                  <c:v>21.2</c:v>
                </c:pt>
                <c:pt idx="8">
                  <c:v>31</c:v>
                </c:pt>
                <c:pt idx="9">
                  <c:v>38</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11.2</c:v>
                </c:pt>
                <c:pt idx="1">
                  <c:v>11.2</c:v>
                </c:pt>
                <c:pt idx="2">
                  <c:v>11.2</c:v>
                </c:pt>
                <c:pt idx="3">
                  <c:v>11.2</c:v>
                </c:pt>
                <c:pt idx="4">
                  <c:v>11.2</c:v>
                </c:pt>
                <c:pt idx="5">
                  <c:v>11.2</c:v>
                </c:pt>
                <c:pt idx="6">
                  <c:v>11.2</c:v>
                </c:pt>
                <c:pt idx="7">
                  <c:v>11.2</c:v>
                </c:pt>
                <c:pt idx="8">
                  <c:v>11.2</c:v>
                </c:pt>
                <c:pt idx="9">
                  <c:v>11.2</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7</c:v>
                </c:pt>
                <c:pt idx="1">
                  <c:v>17.9</c:v>
                </c:pt>
                <c:pt idx="2">
                  <c:v>27.5</c:v>
                </c:pt>
                <c:pt idx="3">
                  <c:v>29.1</c:v>
                </c:pt>
                <c:pt idx="4">
                  <c:v>29.6</c:v>
                </c:pt>
                <c:pt idx="5">
                  <c:v>38</c:v>
                </c:pt>
                <c:pt idx="6">
                  <c:v>24.5</c:v>
                </c:pt>
                <c:pt idx="7">
                  <c:v>26.1</c:v>
                </c:pt>
                <c:pt idx="8">
                  <c:v>38.4</c:v>
                </c:pt>
                <c:pt idx="9">
                  <c:v>42.8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3.73</c:v>
                </c:pt>
                <c:pt idx="1">
                  <c:v>4.04</c:v>
                </c:pt>
                <c:pt idx="2">
                  <c:v>3.89</c:v>
                </c:pt>
                <c:pt idx="3">
                  <c:v>3.6</c:v>
                </c:pt>
                <c:pt idx="4">
                  <c:v>1.72</c:v>
                </c:pt>
                <c:pt idx="5">
                  <c:v>1.46</c:v>
                </c:pt>
                <c:pt idx="6">
                  <c:v>1.39</c:v>
                </c:pt>
                <c:pt idx="7">
                  <c:v>1.01</c:v>
                </c:pt>
                <c:pt idx="8">
                  <c:v>0.56</c:v>
                </c:pt>
                <c:pt idx="9">
                  <c:v>0.38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1000</c:v>
                </c:pt>
                <c:pt idx="1">
                  <c:v>1486</c:v>
                </c:pt>
                <c:pt idx="2">
                  <c:v>3500</c:v>
                </c:pt>
                <c:pt idx="3">
                  <c:v>4329</c:v>
                </c:pt>
                <c:pt idx="4">
                  <c:v>2257</c:v>
                </c:pt>
                <c:pt idx="5">
                  <c:v>2800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0</c:v>
                </c:pt>
                <c:pt idx="1">
                  <c:v>0</c:v>
                </c:pt>
                <c:pt idx="2">
                  <c:v>0</c:v>
                </c:pt>
                <c:pt idx="3">
                  <c:v>0</c:v>
                </c:pt>
                <c:pt idx="4">
                  <c:v>0</c:v>
                </c:pt>
                <c:pt idx="5">
                  <c:v>788.3</c:v>
                </c:pt>
                <c:pt idx="6">
                  <c:v>757.4</c:v>
                </c:pt>
                <c:pt idx="7">
                  <c:v>0</c:v>
                </c:pt>
                <c:pt idx="8">
                  <c:v>0</c:v>
                </c:pt>
                <c:pt idx="9">
                  <c:v>17.2</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0</c:v>
                </c:pt>
                <c:pt idx="1">
                  <c:v>0</c:v>
                </c:pt>
                <c:pt idx="2">
                  <c:v>0</c:v>
                </c:pt>
                <c:pt idx="3">
                  <c:v>0</c:v>
                </c:pt>
                <c:pt idx="4">
                  <c:v>0</c:v>
                </c:pt>
                <c:pt idx="5">
                  <c:v>0</c:v>
                </c:pt>
                <c:pt idx="6">
                  <c:v>0</c:v>
                </c:pt>
                <c:pt idx="7">
                  <c:v>0</c:v>
                </c:pt>
                <c:pt idx="8">
                  <c:v>0</c:v>
                </c:pt>
                <c:pt idx="9">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0</c:v>
                </c:pt>
                <c:pt idx="1">
                  <c:v>0</c:v>
                </c:pt>
                <c:pt idx="2">
                  <c:v>0</c:v>
                </c:pt>
                <c:pt idx="3">
                  <c:v>0</c:v>
                </c:pt>
                <c:pt idx="4">
                  <c:v>0</c:v>
                </c:pt>
                <c:pt idx="5">
                  <c:v>600</c:v>
                </c:pt>
                <c:pt idx="6">
                  <c:v>0</c:v>
                </c:pt>
                <c:pt idx="7">
                  <c:v>6045.3</c:v>
                </c:pt>
                <c:pt idx="8">
                  <c:v>6263.7</c:v>
                </c:pt>
                <c:pt idx="9">
                  <c:v>9127.2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9</c:v>
                </c:pt>
                <c:pt idx="1">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Vanguard Capital Management (Vanguard)</c:v>
                </c:pt>
                <c:pt idx="1">
                  <c:v>BlackRock</c:v>
                </c:pt>
                <c:pt idx="2">
                  <c:v>FMR (Fidelity)</c:v>
                </c:pt>
                <c:pt idx="3">
                  <c:v>Consejeros y directivos (16 personas)</c:v>
                </c:pt>
                <c:pt idx="4">
                  <c:v>Autocartera</c:v>
                </c:pt>
              </c:strCache>
            </c:strRef>
          </c:cat>
          <c:val>
            <c:numRef>
              <c:f>Hoja1!$B$2:$B$6</c:f>
              <c:numCache>
                <c:formatCode>0.0"%"</c:formatCode>
                <c:ptCount val="5"/>
                <c:pt idx="0">
                  <c:v>7.49</c:v>
                </c:pt>
                <c:pt idx="1">
                  <c:v>7.34</c:v>
                </c:pt>
                <c:pt idx="2">
                  <c:v>3.3</c:v>
                </c:pt>
                <c:pt idx="3">
                  <c:v>1.24</c:v>
                </c:pt>
                <c:pt idx="4">
                  <c:v>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8.2</c:v>
                </c:pt>
                <c:pt idx="1">
                  <c:v>55.1</c:v>
                </c:pt>
                <c:pt idx="2">
                  <c:v>39.4</c:v>
                </c:pt>
                <c:pt idx="3">
                  <c:v>20.9</c:v>
                </c:pt>
                <c:pt idx="4">
                  <c:v>67.1</c:v>
                </c:pt>
                <c:pt idx="5">
                  <c:v>11.4</c:v>
                </c:pt>
                <c:pt idx="6">
                  <c:v>-51.1</c:v>
                </c:pt>
                <c:pt idx="7">
                  <c:v>65.1</c:v>
                </c:pt>
                <c:pt idx="8">
                  <c:v>83.1</c:v>
                </c:pt>
                <c:pt idx="9">
                  <c:v>5.2</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127.9</c:v>
                </c:pt>
                <c:pt idx="1">
                  <c:v>98.2</c:v>
                </c:pt>
                <c:pt idx="2">
                  <c:v>75.4</c:v>
                </c:pt>
                <c:pt idx="3">
                  <c:v>57.6</c:v>
                </c:pt>
                <c:pt idx="4">
                  <c:v>54</c:v>
                </c:pt>
                <c:pt idx="5">
                  <c:v>44.3</c:v>
                </c:pt>
                <c:pt idx="6">
                  <c:v>23.7</c:v>
                </c:pt>
                <c:pt idx="7">
                  <c:v>30.9</c:v>
                </c:pt>
                <c:pt idx="8">
                  <c:v>37</c:v>
                </c:pt>
                <c:pt idx="9">
                  <c:v>29.2</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49.2</c:v>
                </c:pt>
                <c:pt idx="1">
                  <c:v>49.2</c:v>
                </c:pt>
                <c:pt idx="2">
                  <c:v>49.2</c:v>
                </c:pt>
                <c:pt idx="3">
                  <c:v>49.2</c:v>
                </c:pt>
                <c:pt idx="4">
                  <c:v>49.2</c:v>
                </c:pt>
                <c:pt idx="5">
                  <c:v>49.2</c:v>
                </c:pt>
                <c:pt idx="6">
                  <c:v>49.2</c:v>
                </c:pt>
                <c:pt idx="7">
                  <c:v>49.2</c:v>
                </c:pt>
                <c:pt idx="8">
                  <c:v>49.2</c:v>
                </c:pt>
                <c:pt idx="9">
                  <c:v>49.2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Netflix</c:v>
                </c:pt>
                <c:pt idx="1">
                  <c:v>Walt Disney</c:v>
                </c:pt>
                <c:pt idx="2">
                  <c:v>Comcast</c:v>
                </c:pt>
                <c:pt idx="3">
                  <c:v>Fox Corporation</c:v>
                </c:pt>
                <c:pt idx="4">
                  <c:v>Spotify</c:v>
                </c:pt>
                <c:pt idx="5">
                  <c:v>Roku</c:v>
                </c:pt>
                <c:pt idx="6">
                  <c:v>TKO Group</c:v>
                </c:pt>
              </c:strCache>
            </c:strRef>
          </c:cat>
          <c:val>
            <c:numRef>
              <c:f>Hoja1!$B$2:$B$8</c:f>
              <c:numCache>
                <c:formatCode>0.0"x"</c:formatCode>
                <c:ptCount val="7"/>
                <c:pt idx="0">
                  <c:v>14.2</c:v>
                </c:pt>
                <c:pt idx="1">
                  <c:v>9.7</c:v>
                </c:pt>
                <c:pt idx="2">
                  <c:v>4.8</c:v>
                </c:pt>
                <c:pt idx="3">
                  <c:v>7.5</c:v>
                </c:pt>
                <c:pt idx="4">
                  <c:v>26.2</c:v>
                </c:pt>
                <c:pt idx="5">
                  <c:v>23.9</c:v>
                </c:pt>
                <c:pt idx="6">
                  <c:v>15.3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Netflix</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11</c:v>
                </c:pt>
              </c:numCache>
            </c:numRef>
          </c:xVal>
          <c:yVal>
            <c:numRef>
              <c:f>Hoja1!$C$2</c:f>
              <c:numCache>
                <c:formatCode>0.0"x"</c:formatCode>
                <c:ptCount val="1"/>
                <c:pt idx="0">
                  <c:v>14.2</c:v>
                </c:pt>
              </c:numCache>
            </c:numRef>
          </c:yVal>
          <c:smooth val="0"/>
        </c:ser>
        <c:ser>
          <c:idx val="1"/>
          <c:order val="1"/>
          <c:tx>
            <c:strRef>
              <c:f>Hoja1!$A$3</c:f>
              <c:strCache>
                <c:ptCount val="1"/>
                <c:pt idx="0">
                  <c:v>Walt Disney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6.4</c:v>
                </c:pt>
              </c:numCache>
            </c:numRef>
          </c:xVal>
          <c:yVal>
            <c:numRef>
              <c:f>Hoja1!$C$3</c:f>
              <c:numCache>
                <c:formatCode>0.0"x"</c:formatCode>
                <c:ptCount val="1"/>
                <c:pt idx="0">
                  <c:v>9.7</c:v>
                </c:pt>
              </c:numCache>
            </c:numRef>
          </c:yVal>
          <c:smooth val="0"/>
        </c:ser>
        <c:ser>
          <c:idx val="2"/>
          <c:order val="2"/>
          <c:tx>
            <c:strRef>
              <c:f>Hoja1!$A$4</c:f>
              <c:strCache>
                <c:ptCount val="1"/>
                <c:pt idx="0">
                  <c:v>Comcast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-3.1</c:v>
                </c:pt>
              </c:numCache>
            </c:numRef>
          </c:xVal>
          <c:yVal>
            <c:numRef>
              <c:f>Hoja1!$C$4</c:f>
              <c:numCache>
                <c:formatCode>0.0"x"</c:formatCode>
                <c:ptCount val="1"/>
                <c:pt idx="0">
                  <c:v>4.8</c:v>
                </c:pt>
              </c:numCache>
            </c:numRef>
          </c:yVal>
          <c:smooth val="0"/>
        </c:ser>
        <c:ser>
          <c:idx val="3"/>
          <c:order val="3"/>
          <c:tx>
            <c:strRef>
              <c:f>Hoja1!$A$5</c:f>
              <c:strCache>
                <c:ptCount val="1"/>
                <c:pt idx="0">
                  <c:v>Fox Corporation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3.3</c:v>
                </c:pt>
              </c:numCache>
            </c:numRef>
          </c:xVal>
          <c:yVal>
            <c:numRef>
              <c:f>Hoja1!$C$5</c:f>
              <c:numCache>
                <c:formatCode>0.0"x"</c:formatCode>
                <c:ptCount val="1"/>
                <c:pt idx="0">
                  <c:v>7.5</c:v>
                </c:pt>
              </c:numCache>
            </c:numRef>
          </c:yVal>
          <c:smooth val="0"/>
        </c:ser>
        <c:ser>
          <c:idx val="4"/>
          <c:order val="4"/>
          <c:tx>
            <c:strRef>
              <c:f>Hoja1!$A$6</c:f>
              <c:strCache>
                <c:ptCount val="1"/>
                <c:pt idx="0">
                  <c:v>Spotify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17.8</c:v>
                </c:pt>
              </c:numCache>
            </c:numRef>
          </c:xVal>
          <c:yVal>
            <c:numRef>
              <c:f>Hoja1!$C$6</c:f>
              <c:numCache>
                <c:formatCode>0.0"x"</c:formatCode>
                <c:ptCount val="1"/>
                <c:pt idx="0">
                  <c:v>26.2</c:v>
                </c:pt>
              </c:numCache>
            </c:numRef>
          </c:yVal>
          <c:smooth val="0"/>
        </c:ser>
        <c:ser>
          <c:idx val="5"/>
          <c:order val="5"/>
          <c:tx>
            <c:strRef>
              <c:f>Hoja1!$A$7</c:f>
              <c:strCache>
                <c:ptCount val="1"/>
                <c:pt idx="0">
                  <c:v>Roku</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18.6</c:v>
                </c:pt>
              </c:numCache>
            </c:numRef>
          </c:xVal>
          <c:yVal>
            <c:numRef>
              <c:f>Hoja1!$C$7</c:f>
              <c:numCache>
                <c:formatCode>0.0"x"</c:formatCode>
                <c:ptCount val="1"/>
                <c:pt idx="0">
                  <c:v>23.9</c:v>
                </c:pt>
              </c:numCache>
            </c:numRef>
          </c:yVal>
          <c:smooth val="0"/>
        </c:ser>
        <c:ser>
          <c:idx val="6"/>
          <c:order val="6"/>
          <c:tx>
            <c:strRef>
              <c:f>Hoja1!$A$8</c:f>
              <c:strCache>
                <c:ptCount val="1"/>
                <c:pt idx="0">
                  <c:v>TKO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11.1</c:v>
                </c:pt>
              </c:numCache>
            </c:numRef>
          </c:xVal>
          <c:yVal>
            <c:numRef>
              <c:f>Hoja1!$C$8</c:f>
              <c:numCache>
                <c:formatCode>0.0"x"</c:formatCode>
                <c:ptCount val="1"/>
                <c:pt idx="0">
                  <c:v>15.3</c:v>
                </c:pt>
              </c:numCache>
            </c:numRef>
          </c:yVal>
          <c:smooth val="0"/>
        </c:ser>
        <c:axId val="10"/>
        <c:axId val="20"/>
      </c:scatterChart>
      <c:valAx>
        <c:axId val="10"/>
        <c:scaling>
          <c:orientation val="minMax"/>
          <c:max val="3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Warner Bros. (estudios, HBO y HBO Max)</c:v>
                </c:pt>
                <c:pt idx="1">
                  <c:v>Warner Bros. Discovery (todo el grupo)</c:v>
                </c:pt>
                <c:pt idx="2">
                  <c:v>Hulu (33 % de Comcast)</c:v>
                </c:pt>
                <c:pt idx="3">
                  <c:v>Paramount Global</c:v>
                </c:pt>
                <c:pt idx="4">
                  <c:v>MGM Holdings</c:v>
                </c:pt>
              </c:strCache>
            </c:strRef>
          </c:cat>
          <c:val>
            <c:numRef>
              <c:f>Hoja1!$B$2:$B$6</c:f>
              <c:numCache>
                <c:formatCode>0.0"x"</c:formatCode>
                <c:ptCount val="5"/>
                <c:pt idx="0">
                  <c:v>30.6</c:v>
                </c:pt>
                <c:pt idx="1">
                  <c:v>17.1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10940</c:v>
                </c:pt>
                <c:pt idx="1">
                  <c:v>13756</c:v>
                </c:pt>
                <c:pt idx="2">
                  <c:v>16228</c:v>
                </c:pt>
                <c:pt idx="3">
                  <c:v>18589</c:v>
                </c:pt>
                <c:pt idx="4">
                  <c:v>20862</c:v>
                </c:pt>
                <c:pt idx="5">
                  <c:v>22886</c:v>
                </c:pt>
                <c:pt idx="6">
                  <c:v>24799</c:v>
                </c:pt>
                <c:pt idx="7">
                  <c:v>26445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Flujos proyectados</c:v>
                </c:pt>
                <c:pt idx="1">
                  <c:v>Etapa de transición</c:v>
                </c:pt>
                <c:pt idx="2">
                  <c:v>Valor terminal</c:v>
                </c:pt>
              </c:strCache>
            </c:strRef>
          </c:cat>
          <c:val>
            <c:numRef>
              <c:f>Hoja1!$B$2:$B$4</c:f>
              <c:numCache>
                <c:formatCode>#,##0</c:formatCode>
                <c:ptCount val="3"/>
                <c:pt idx="0">
                  <c:v>96884</c:v>
                </c:pt>
                <c:pt idx="1">
                  <c:v>71966</c:v>
                </c:pt>
                <c:pt idx="2">
                  <c:v>99140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62,52</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37.21</c:v>
                </c:pt>
                <c:pt idx="1">
                  <c:v>62.65</c:v>
                </c:pt>
                <c:pt idx="2">
                  <c:v>85.33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62,52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(62,48 – 116,73)</c:v>
                </c:pt>
                <c:pt idx="1">
                  <c:v>Precio objetivo de los analistas (57,00 – 126,00)</c:v>
                </c:pt>
                <c:pt idx="2">
                  <c:v>Comparables: EV/EBITDA NTM (34,68 – 96,51)</c:v>
                </c:pt>
                <c:pt idx="3">
                  <c:v>Comparables: PER NTM (45,91 – 131,01)</c:v>
                </c:pt>
                <c:pt idx="4">
                  <c:v>Transacciones precedentes (EV/ventas) (31,46 – 41,67)</c:v>
                </c:pt>
                <c:pt idx="5">
                  <c:v>DCF (WACC y g ± 0,5) (57,22 – 69,51)</c:v>
                </c:pt>
                <c:pt idx="6">
                  <c:v>Escenarios (bajista – alcista) (37,21 – 85,33)</c:v>
                </c:pt>
                <c:pt idx="7">
                  <c:v>DCF con la prima implícita del mercado (4,2 %)</c:v>
                </c:pt>
                <c:pt idx="8">
                  <c:v>Precio actual (62,52)</c:v>
                </c:pt>
              </c:strCache>
            </c:strRef>
          </c:cat>
          <c:val>
            <c:numRef>
              <c:f>Hoja1!$B$2:$B$10</c:f>
              <c:numCache>
                <c:formatCode>#,##0</c:formatCode>
                <c:ptCount val="9"/>
                <c:pt idx="0">
                  <c:v>62.48</c:v>
                </c:pt>
                <c:pt idx="1">
                  <c:v>57</c:v>
                </c:pt>
                <c:pt idx="2">
                  <c:v>34.68</c:v>
                </c:pt>
                <c:pt idx="3">
                  <c:v>45.91</c:v>
                </c:pt>
                <c:pt idx="4">
                  <c:v>31.46</c:v>
                </c:pt>
                <c:pt idx="5">
                  <c:v>57.22</c:v>
                </c:pt>
                <c:pt idx="6">
                  <c:v>37.21</c:v>
                </c:pt>
                <c:pt idx="7">
                  <c:v>71.87</c:v>
                </c:pt>
                <c:pt idx="8">
                  <c:v>62.21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(62,48 – 116,73)</c:v>
                </c:pt>
                <c:pt idx="1">
                  <c:v>Precio objetivo de los analistas (57,00 – 126,00)</c:v>
                </c:pt>
                <c:pt idx="2">
                  <c:v>Comparables: EV/EBITDA NTM (34,68 – 96,51)</c:v>
                </c:pt>
                <c:pt idx="3">
                  <c:v>Comparables: PER NTM (45,91 – 131,01)</c:v>
                </c:pt>
                <c:pt idx="4">
                  <c:v>Transacciones precedentes (EV/ventas) (31,46 – 41,67)</c:v>
                </c:pt>
                <c:pt idx="5">
                  <c:v>DCF (WACC y g ± 0,5) (57,22 – 69,51)</c:v>
                </c:pt>
                <c:pt idx="6">
                  <c:v>Escenarios (bajista – alcista) (37,21 – 85,33)</c:v>
                </c:pt>
                <c:pt idx="7">
                  <c:v>DCF con la prima implícita del mercado (4,2 %)</c:v>
                </c:pt>
                <c:pt idx="8">
                  <c:v>Precio actual (62,52)</c:v>
                </c:pt>
              </c:strCache>
            </c:strRef>
          </c:cat>
          <c:val>
            <c:numRef>
              <c:f>Hoja1!$C$2:$C$10</c:f>
              <c:numCache>
                <c:formatCode>#,##0</c:formatCode>
                <c:ptCount val="9"/>
                <c:pt idx="0">
                  <c:v>54.25000000000001</c:v>
                </c:pt>
                <c:pt idx="1">
                  <c:v>69</c:v>
                </c:pt>
                <c:pt idx="2">
                  <c:v>61.830000000000005</c:v>
                </c:pt>
                <c:pt idx="3">
                  <c:v>85.1</c:v>
                </c:pt>
                <c:pt idx="4">
                  <c:v>10.21</c:v>
                </c:pt>
                <c:pt idx="5">
                  <c:v>12.290000000000006</c:v>
                </c:pt>
                <c:pt idx="6">
                  <c:v>48.12</c:v>
                </c:pt>
                <c:pt idx="7">
                  <c:v>12.519999999999996</c:v>
                </c:pt>
                <c:pt idx="8">
                  <c:v>0.6199999999999974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