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Uber Technologies, Inc.</w:t>
      </w:r>
    </w:p>
    <w:p>
      <w:pPr>
        <w:spacing w:after="60"/>
        <w:rPr>
          <w:color w:val="52514E"/>
          <w:sz w:val="22"/>
          <w:szCs w:val="22"/>
        </w:rPr>
      </w:pPr>
      <w:r>
        <w:rPr>
          <w:color w:val="52514E"/>
          <w:sz w:val="22"/>
          <w:szCs w:val="22"/>
        </w:rPr>
        <w:t xml:space="preserve">UBER · NYSE · ISIN US90353T1007 · Industria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65,78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79,93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+21,5 % (base +19,0 %)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75,30 USD · mercado 82,71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134.612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Uber Technologies,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UBER / US90353T1007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(GICS) / Transporte terrestre de pasajeros: plataformas de movilidad, reparto y cargas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Francisco (California) · 2009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www.uber.com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65,78 (27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65,41 – 100,35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134.612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132.204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1.279 M USD/día (17,8 M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79,93 USD</w:t>
      </w:r>
      <w:r>
        <w:t xml:space="preserve"> frente a 65,78 · Rentabilidad a 12 meses </w:t>
      </w:r>
      <w:r>
        <w:rPr>
          <w:b/>
          <w:bCs/>
        </w:rPr>
        <w:t xml:space="preserve">+21,5 % (base +19,0 %)</w:t>
      </w:r>
      <w:r>
        <w:t xml:space="preserve"> · Valor intrínseco 75,30 USD · con la prima implícita del mercado: 82,71 (+25,7 %) · Alcista / bajista +54,3 % / -34,0 %</w:t>
      </w:r>
    </w:p>
    <w:p>
      <w:pPr>
        <w:spacing w:after="100"/>
      </w:pPr>
      <w:r>
        <w:rPr>
          <w:b/>
        </w:rPr>
        <w:t xml:space="preserve">La recomendación y por qué.</w:t>
      </w:r>
      <w:r>
        <w:t xml:space="preserve"> Comprar, con convicción baja. El objetivo a 12 meses es de 79,93 USD (ponderado; base 78,26) frente a un precio de 65,78 (cierre del 27-oct-2026): rentabilidad del 21,5 % ponderada y del 19,0 % en el base, sin dividendo, con un bajista de 46,35 y un alcista de 116,84 (asimetría de 2,63 veces). El valor intrínseco es de 75,30 USD (+14,5 %) y el objetivo medio de los analistas, 100,86 USD, queda por encima de nuestro rango central [80]. La razón: el BPA crece un 19 % de 2027e a 2028e y la acción ya cotiza a 18,2 veces nuestro BPA de 2027e, el PER más bajo desde que gana dinero. La convicción es baja porque las reglas del valor intrínseco discrepan (absoluta Mantener, relativa Comprar) y porque no es compra robusta: con un BPA un 10 % peor la ponderada cae al 9,4 %. Subiría si los resultados del 4-nov confirman reservas brutas de Mobility por encima del 18 %; bajaría si el crecimiento de viajes baja del 12 %.</w:t>
      </w:r>
    </w:p>
    <w:p>
      <w:pPr>
        <w:spacing w:after="100"/>
      </w:pPr>
      <w:r>
        <w:rPr>
          <w:b/>
        </w:rPr>
        <w:t xml:space="preserve">El negocio.</w:t>
      </w:r>
      <w:r>
        <w:t xml:space="preserve"> Uber tiene el 51,5 % del mercado mundial de VTC [29] y un ROIC del 19,9 %, 9,5 puntos por encima de su WACC del 10,40 %. </w:t>
      </w:r>
      <w:r>
        <w:rPr>
          <w:b/>
        </w:rPr>
        <w:t xml:space="preserve">La calidad sostiene el crecimiento proyectado (veredicto «Sí»)</w:t>
      </w:r>
      <w:r>
        <w:t xml:space="preserve">: es una plataforma de activos ligeros (capex del 1,6 % de las ventas) que crece un 9,3 % anual por volumen, con reservas brutas +22 % a tipo constante en el 2T26 [4]. El margen EBIT contable de 2025 (10,8 %) dobla al de DoorDash (5,3 %) [18]. La amenaza es concreta: Waymo opera en 15 ciudades de EE. UU. y Tesla presentó el Cybercab en septiembre [32, 112].</w:t>
      </w:r>
    </w:p>
    <w:p>
      <w:pPr>
        <w:spacing w:after="100"/>
      </w:pPr>
      <w:r>
        <w:rPr>
          <w:b/>
        </w:rPr>
        <w:t xml:space="preserve">Finanzas.</w:t>
      </w:r>
      <w:r>
        <w:t xml:space="preserve"> El BPA publicado no sirve: 2024 y 2025 llevan 6.400 y 5.000 M USD de liberaciones fiscales y cada año ±1.800 M de revalorizaciones de participaciones. Historia del PER y escenarios van en la misma base ajustada (sin esas partidas, impuestos normalizados): 1,20 USD en 2024 y 2,36 en 2025, frente a 4,56 y 4,73 publicados [6]. Deuda neta ajustada de 8.285 M USD (1,1 veces el EBITDA) antes de pagar Delivery Hero (unos 9.300 M por el resto) y ezCater (2.300 M) [87, 108].</w:t>
      </w:r>
    </w:p>
    <w:p>
      <w:pPr>
        <w:spacing w:after="100"/>
      </w:pPr>
      <w:r>
        <w:rPr>
          <w:b/>
        </w:rPr>
        <w:t xml:space="preserve">Equipo y gobierno.</w:t>
      </w:r>
      <w:r>
        <w:t xml:space="preserve"> Suma: la guía trimestral se ha cumplido seis trimestres seguidos, el consejo tiene 9 de 10 independientes y el primer ejecutivo y el presidente compraron 15,3 M USD en septiembre, a 71-76 USD [4, 15, 16, 17, 53, 54, 55, 62, 113].</w:t>
      </w:r>
    </w:p>
    <w:p>
      <w:pPr>
        <w:spacing w:after="100"/>
      </w:pPr>
      <w:r>
        <w:rPr>
          <w:b/>
        </w:rPr>
        <w:t xml:space="preserve">Valoración.</w:t>
      </w:r>
      <w:r>
        <w:t xml:space="preserve"> A 12 meses decide la v2: con solo tres años de historia, el selector toma la más baja de v3 (34,1 %) y v2. Múltiplos de la regla: 15,5x, 18,2x y 23,7x sobre BPA de 2028e de 2,99, 4,30 y 4,93 USD. El DCF vale 77,41 USD y el DCF inverso dice que el precio descuenta un crecimiento del 6,4 % anual en 2027e-2035e frente al 9,1 % de nuestra base: el mercado pone precio a una desaceleración por el coche autónomo que las cifras aún no muestran. Nuestro BPA de 2028e queda un 26 % bajo el del consenso (base distinta: restamos la remuneración en acciones).</w:t>
      </w:r>
    </w:p>
    <w:p>
      <w:pPr>
        <w:spacing w:after="100"/>
      </w:pPr>
      <w:r>
        <w:rPr>
          <w:b/>
        </w:rPr>
        <w:t xml:space="preserve">Riesgos y catalizadores.</w:t>
      </w:r>
      <w:r>
        <w:t xml:space="preserve"> En el bajista (Waymo y Tesla con aplicación propia) el DCF cae a 43,43 USD; dos puntos menos de margen lo bajan a 67,83. Catalizadores: resultados del 3T26 el 4-nov, fin del plazo de la OPA sobre Delivery Hero el 5-nov y cierre de ezCater [106, 108]. Los foros muestran cansancio, sin riesgos nuevos.</w:t>
      </w:r>
    </w:p>
    <w:p>
      <w:pPr>
        <w:spacing w:after="100"/>
      </w:pPr>
      <w:r>
        <w:rPr>
          <w:b/>
        </w:rPr>
        <w:t xml:space="preserve">Qué cambiaría la decisión.</w:t>
      </w:r>
      <w:r>
        <w:t xml:space="preserve"> Para quien la tiene: mantener; se vendería por encima de 72,66 USD, donde deja de pasar el filtro de mantener (la banda Vender de la regla, ponderada ≤ −10 %, empieza en 88,81). Para comprar: la regla da Comprar por debajo de 69,50, pero la compra robusta (nivel A) exige 62,57 o menos, y el nivel B1 65,42; a 65,78 no entra en ningún nivel.</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79,93 USD</w:t>
      </w:r>
      <w:r>
        <w:t xml:space="preserve"> (rentabilidad +21,5 % (base +19,0 %)) · Valor intrínseco: 75,30 USD (+14,5 % sobre 65,78) · con la prima implícita del mercado: 82,71 (+25,7 %)</w:t>
      </w:r>
    </w:p>
    <w:p>
      <w:pPr>
        <w:spacing w:after="100"/>
      </w:pPr>
      <w:r>
        <w:t xml:space="preserve">Uber es la mayor red de transporte bajo demanda del mundo: 208 millones de usuarios activos al mes, 3.867 millones de viajes en el 2T26 y 215.622 M USD de reservas brutas en los doce meses a junio [4]. La escala le da el mejor margen del sector (EBIT contable del 10,8 % en 2025 frente al −3,0 % de Lyft) y un ROIC del 19,9 % con un capex del 0,6 % de las ventas [1, 18].</w:t>
      </w:r>
    </w:p>
    <w:p>
      <w:pPr>
        <w:spacing w:after="100"/>
      </w:pPr>
      <w:r>
        <w:t xml:space="preserve">El precio (65,78 USD, 12,8 veces el EBITDA contable de los próximos 12 meses y 18,2 veces nuestro BPA ajustado de 2027e) descuenta un crecimiento anual de los ingresos del 6,4 % entre 2027 y 2035, frente al 9,1 % que proyectamos. Ha caído un 34 % desde noviembre de 2025 sin que el consenso de BPA haya bajado [78, 80].</w:t>
      </w:r>
    </w:p>
    <w:p>
      <w:pPr>
        <w:spacing w:after="100"/>
      </w:pPr>
      <w:r>
        <w:t xml:space="preserve">El mercado acierta al pedir un descuento por el coche autónomo, pero lo pide entero cuando aún no hay datos de pérdida de viajes. Para invertir hay que creer que Uber será la red de demanda que los fabricantes necesitan para llenar sus flotas, como sugieren sus más de 30 socios [22]. Los resultados del 4-nov son la primera prueba nueva.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 × 2,99 = 46,35 · 18,2x × 4,30 = 78,26 · 23,7x × 4,93 = 116,84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 / 19,0 %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historia adelantada de 3 años: decide la más baja de v3 y v2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100,86 (nuestro base -22,4 %)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54,3 % / -34,0 %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 frente a 10,4 % y 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82,71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frente a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69,50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69,50 y 88,81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88,81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Para quien la tiene, por encima de 72,66 USD deja de pasar el filtro de mantener (ponderada &lt; 10 %) y se vendería; la banda Vender de la regla (ponderada ≤ −10 %) empieza en 88,81.</w:t>
      </w:r>
    </w:p>
    <w:p>
      <w:pPr>
        <w:pStyle w:val="ListParagraph"/>
        <w:numPr>
          <w:ilvl w:val="0"/>
          <w:numId w:val="2"/>
        </w:numPr>
        <w:spacing w:after="60"/>
      </w:pPr>
      <w:r>
        <w:t xml:space="preserve">Para comprar con la regla basta un precio por debajo de 69,50 USD, pero la compra robusta exige 62,57 USD o menos (nivel B1: 65,42).</w:t>
      </w:r>
    </w:p>
    <w:p>
      <w:pPr>
        <w:pStyle w:val="ListParagraph"/>
        <w:numPr>
          <w:ilvl w:val="0"/>
          <w:numId w:val="2"/>
        </w:numPr>
        <w:spacing w:after="60"/>
      </w:pPr>
      <w:r>
        <w:t xml:space="preserve">Si las reservas brutas de Mobility del 3T26 (4-nov) crecen por debajo del 12 % a tipo constante, rebajaríamos el BPA de los escenarios: con un 10 % menos, la ponderada cae por debajo del 10 % y pasaríamos a Mantener o Vender.</w:t>
      </w:r>
    </w:p>
    <w:p>
      <w:pPr>
        <w:pStyle w:val="ListParagraph"/>
        <w:numPr>
          <w:ilvl w:val="0"/>
          <w:numId w:val="2"/>
        </w:numPr>
        <w:spacing w:after="60"/>
      </w:pPr>
      <w:r>
        <w:t xml:space="preserve">Si Waymo deja de ofrecer sus coches en la red de Uber en Austin o Atlanta, rebajaríamos el caso base hacia el bajista.</w:t>
      </w:r>
    </w:p>
    <w:p>
      <w:pPr>
        <w:pStyle w:val="ListParagraph"/>
        <w:numPr>
          <w:ilvl w:val="0"/>
          <w:numId w:val="2"/>
        </w:numPr>
        <w:spacing w:after="60"/>
      </w:pPr>
      <w:r>
        <w:t xml:space="preserve">Si Uber publica la economía del viaje autónomo con un margen por viaje igual o mayor que el del conductor humano, la convicción subiría a media.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los ingresos del 6,4 % anual en 2027e-2035e, más lento que el 9,1 % de nuestra base, y un múltiplo de 18,2 veces el BPA ajustado de 2027e, el más bajo de su historia como empresa rentable, por el riesgo de desintermediación del coche autónomo [112].</w:t>
      </w:r>
    </w:p>
    <w:p>
      <w:pPr>
        <w:keepNext/>
        <w:spacing w:after="100"/>
      </w:pPr>
      <w:r>
        <w:rPr>
          <w:b/>
          <w:bCs/>
        </w:rPr>
        <w:t xml:space="preserve">Lo que creemos nosotros.</w:t>
      </w:r>
    </w:p>
    <w:p>
      <w:pPr>
        <w:spacing w:after="100"/>
      </w:pPr>
      <w:r>
        <w:t xml:space="preserve">Somos más prudentes que el consenso en el BPA (−26 % en 2028e, por restar la remuneración en acciones y no contar ingresos de la caja) y aun así el precio deja una rentabilidad a 12 meses por encima del 15 %. No tenemos una visión distinta sobre el coche autónomo: es una pregunta abierta.</w:t>
      </w:r>
    </w:p>
    <w:p>
      <w:pPr>
        <w:keepNext/>
        <w:spacing w:after="100"/>
      </w:pPr>
      <w:r>
        <w:rPr>
          <w:b/>
          <w:bCs/>
        </w:rPr>
        <w:t xml:space="preserve">Por qué podemos tener razón.</w:t>
      </w:r>
    </w:p>
    <w:p>
      <w:pPr>
        <w:spacing w:after="100"/>
      </w:pPr>
      <w:r>
        <w:t xml:space="preserve">La diferencia sale de la misma base de BPA en historia y escenarios: con el BPA publicado (inflado por liberaciones fiscales) Uber parecería barata en historia y cara hoy; con el ajustado, el PER de hoy (18,2 veces) queda por debajo de los 25,6-51,3 de 2023-2025 [6].</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65,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Escala que se nota en el margen</w:t>
      </w:r>
      <w:r>
        <w:t xml:space="preserve">: EBIT contable del 10,8 % en 2025 frente al 5,3 % de DoorDash y el −3,0 % de Lyft [18, 19].</w:t>
      </w:r>
    </w:p>
    <w:p>
      <w:pPr>
        <w:pStyle w:val="ListParagraph"/>
        <w:numPr>
          <w:ilvl w:val="0"/>
          <w:numId w:val="2"/>
        </w:numPr>
        <w:spacing w:after="60"/>
      </w:pPr>
      <w:r>
        <w:rPr>
          <w:b/>
        </w:rPr>
        <w:t xml:space="preserve">Crecimiento intacto</w:t>
      </w:r>
      <w:r>
        <w:t xml:space="preserve">: reservas brutas +22 % a tipo constante en el 2T26 y guía del 18-22 % para el 3T26 [4].</w:t>
      </w:r>
    </w:p>
    <w:p>
      <w:pPr>
        <w:pStyle w:val="ListParagraph"/>
        <w:numPr>
          <w:ilvl w:val="0"/>
          <w:numId w:val="2"/>
        </w:numPr>
        <w:spacing w:after="60"/>
      </w:pPr>
      <w:r>
        <w:rPr>
          <w:b/>
        </w:rPr>
        <w:t xml:space="preserve">Calidad</w:t>
      </w:r>
      <w:r>
        <w:t xml:space="preserve">: ROIC del 19,9 % frente a un WACC del 10,40 %, con un capex del 0,6 % de las ventas.</w:t>
      </w:r>
    </w:p>
    <w:p>
      <w:pPr>
        <w:pStyle w:val="ListParagraph"/>
        <w:numPr>
          <w:ilvl w:val="0"/>
          <w:numId w:val="2"/>
        </w:numPr>
        <w:spacing w:after="60"/>
      </w:pPr>
      <w:r>
        <w:rPr>
          <w:b/>
        </w:rPr>
        <w:t xml:space="preserve">La dirección compra</w:t>
      </w:r>
      <w:r>
        <w:t xml:space="preserve">: 15,3 M USD del primer ejecutivo y el presidente en septiembre de 2026, sin ventas relevantes después [62, 113].</w:t>
      </w:r>
    </w:p>
    <w:p>
      <w:pPr>
        <w:pStyle w:val="ListParagraph"/>
        <w:numPr>
          <w:ilvl w:val="0"/>
          <w:numId w:val="2"/>
        </w:numPr>
        <w:spacing w:after="60"/>
      </w:pPr>
      <w:r>
        <w:rPr>
          <w:b/>
        </w:rPr>
        <w:t xml:space="preserve">Múltiplo en mínimos</w:t>
      </w:r>
      <w:r>
        <w:t xml:space="preserve">: 18,2 veces nuestro BPA ajustado de 2027e frente a 25,6-51,3 veces en 2023-2025.</w:t>
      </w:r>
    </w:p>
    <w:p>
      <w:pPr>
        <w:pStyle w:val="Heading2"/>
      </w:pPr>
      <w:r>
        <w:t xml:space="preserve">En contra</w:t>
      </w:r>
    </w:p>
    <w:p>
      <w:pPr>
        <w:pStyle w:val="ListParagraph"/>
        <w:numPr>
          <w:ilvl w:val="0"/>
          <w:numId w:val="2"/>
        </w:numPr>
        <w:spacing w:after="60"/>
      </w:pPr>
      <w:r>
        <w:rPr>
          <w:b/>
        </w:rPr>
        <w:t xml:space="preserve">Coche autónomo</w:t>
      </w:r>
      <w:r>
        <w:t xml:space="preserve">: Waymo en 15 ciudades de EE. UU. con aplicación propia en la mayoría y el Cybercab de Tesla presentado en septiembre [32, 112].</w:t>
      </w:r>
    </w:p>
    <w:p>
      <w:pPr>
        <w:pStyle w:val="ListParagraph"/>
        <w:numPr>
          <w:ilvl w:val="0"/>
          <w:numId w:val="2"/>
        </w:numPr>
        <w:spacing w:after="60"/>
      </w:pPr>
      <w:r>
        <w:rPr>
          <w:b/>
        </w:rPr>
        <w:t xml:space="preserve">No es compra robusta</w:t>
      </w:r>
      <w:r>
        <w:t xml:space="preserve">: con un BPA un 10 % peor la ponderada baja al 9,4 % y el base al 7,1 %.</w:t>
      </w:r>
    </w:p>
    <w:p>
      <w:pPr>
        <w:pStyle w:val="ListParagraph"/>
        <w:numPr>
          <w:ilvl w:val="0"/>
          <w:numId w:val="2"/>
        </w:numPr>
        <w:spacing w:after="60"/>
      </w:pPr>
      <w:r>
        <w:rPr>
          <w:b/>
        </w:rPr>
        <w:t xml:space="preserve">Historia corta</w:t>
      </w:r>
      <w:r>
        <w:t xml:space="preserve">: solo tres años de PER útil (2023-2025); el múltiplo de referencia es poco firme.</w:t>
      </w:r>
    </w:p>
    <w:p>
      <w:pPr>
        <w:pStyle w:val="ListParagraph"/>
        <w:numPr>
          <w:ilvl w:val="0"/>
          <w:numId w:val="2"/>
        </w:numPr>
        <w:spacing w:after="60"/>
      </w:pPr>
      <w:r>
        <w:rPr>
          <w:b/>
        </w:rPr>
        <w:t xml:space="preserve">Compras grandes y con deuda</w:t>
      </w:r>
      <w:r>
        <w:t xml:space="preserve">: Delivery Hero (unos 14.800 M USD por el 100 %) y ezCater (2.300 M) [87, 108].</w:t>
      </w:r>
    </w:p>
    <w:p>
      <w:pPr>
        <w:pStyle w:val="ListParagraph"/>
        <w:numPr>
          <w:ilvl w:val="0"/>
          <w:numId w:val="2"/>
        </w:numPr>
        <w:spacing w:after="60"/>
      </w:pPr>
      <w:r>
        <w:rPr>
          <w:b/>
        </w:rPr>
        <w:t xml:space="preserve">Litigios que se repiten</w:t>
      </w:r>
      <w:r>
        <w:t xml:space="preserve">: reservas legales de 564 M USD en 2025 y multa neerlandesa de 825 M EUR [1, 41].</w:t>
      </w:r>
    </w:p>
    <w:p>
      <w:pPr>
        <w:pStyle w:val="Heading2"/>
      </w:pPr>
      <w:r>
        <w:t xml:space="preserve">Qué tiene que pasar para que la tesis funcione</w:t>
      </w:r>
    </w:p>
    <w:p>
      <w:pPr>
        <w:spacing w:after="100"/>
      </w:pPr>
      <w:r>
        <w:t xml:space="preserve">La tesis depende de que Uber siga ganando viajes en las ciudades donde Waymo y Tesla operan con aplicación propia. La señal de alarma sería un crecimiento de las reservas brutas de Mobility por debajo del 12 % a tipo constante, o que Waymo deje de ofrecer sus coches en la red de Uber en Austin o Atlanta. La segunda condición es que Delivery Hero y ezCater no dejen la deuda neta por encima de dos veces el EBITDA ajustado ni paren las recompras.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de Mobility (crecimiento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pérdida de viajes frente al coche autónomo.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trimestrales del grupo (crecimiento)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precio de volumen.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contable (después de remuneración en acciones)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 (doce meses a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de 2028e necesita llegar al 16,8 %.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autónomos de pago de Waymo por semana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500.000 (sep-2026)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 millones sin pasar por Uber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del competidor con aplicación propia [34].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veces (jun-26, antes de Delivery Hero)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Límite para mantener rating y recompras.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17,5x / 12,8x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14,4x / 15,3x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Uber nace en 2009 en San Francisco (Garrett Camp y Travis Kalanick) como servicio de coches con conductor pedidos desde el móvil [44]. Creció a fuerza de capital privado y de choques con reguladores hasta la crisis de 2017: Kalanick dimitió en junio y Dara Khosrowshahi, procedente de Expedia, tomó el mando en agosto [44]. Khosrowshahi cambió guerras de subvenciones por participaciones: China a Didi (2016, 18 %), Sudeste Asiático a Grab (2018, 27,5 %) y Rusia a una sociedad con Yandex, vendida en 2023 [44]. Salió a bolsa el 10 de mayo de 2019 a 45 USD por acción [43]. En 2020 compró Careem y Postmates y vendió su unidad de conducción autónoma (ATG) a Aurora, para volver a la autonomía por la vía de socios [44]. En 2023 logró su primer beneficio operativo anual (1.110 M USD) y en 2025 ya ganaba 5.565 M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San Francisco por Garrett Camp y Travis Kalanick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Uber China a Didi a cambio de un 18 % de Didi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Dimisión de Kalanick (junio) tras una crisis de gobierno y cultura; Dara Khosrowshahi, consejero delegado desde agosto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Fusiona su negocio del Sudeste Asiático con Grab a cambio del 27,5 %; desde entonces tiene prohibido competir allí [3,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OPV en la NYSE: 180 millones de acciones a 45 USD, cotiza desde el 10 de mayo [43].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Careem (3.100 M USD, enero) y Postmates (2.650 M USD, diciembre); acuerda vender ATG, su unidad de conducción autónoma, a Aurora (cerrada en enero de 2021)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beneficio operativo anual, 1.110 M USD [1]; vende a Yandex su parte de la sociedad rusa por 702,5 M USD (abril)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el pleito de Massachusetts sobre la clasificación de los conductores manteniéndolos como autónomos (junio); los votantes aprueban la negociación colectiva de conductores (noviembre)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el 85 % de Trendyol GO (Turquía) por 694 M USD y se compromete a adquirir al menos 20.000 vehículos Lucid con el sistema autónomo de Nuro en seis años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de modelo en parte del Reino Unido (deja de ser el prestador del servicio, enero) y acuerda comprar el negocio de reparto de Getir en Turquía (febrero) [1,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Uber es una plataforma tecnológica que casa oferta y demanda de transporte en más de 70 países y más de 15.000 ciudades (fuera de China y del Sudeste Asiático) [1]. Reporta tres segmentos: </w:t>
      </w:r>
      <w:r>
        <w:rPr>
          <w:b/>
        </w:rPr>
        <w:t xml:space="preserve">Movilidad</w:t>
      </w:r>
      <w:r>
        <w:t xml:space="preserve"> (viajes en coche, moto, taxi, alquiler y transporte público), </w:t>
      </w:r>
      <w:r>
        <w:rPr>
          <w:b/>
        </w:rPr>
        <w:t xml:space="preserve">Reparto</w:t>
      </w:r>
      <w:r>
        <w:t xml:space="preserve"> (Uber Eats: comida, supermercado, alcohol y comercio, más Uber Direct, reparto en marca blanca para comercios) y </w:t>
      </w:r>
      <w:r>
        <w:rPr>
          <w:b/>
        </w:rPr>
        <w:t xml:space="preserve">Freight</w:t>
      </w:r>
      <w:r>
        <w:t xml:space="preserve"> (intermediación de transporte de mercancías por carretera, sobre todo en Norteamérica y Europa) [1]. Los clientes son consumidores (202 millones de usuarios activos mensuales en el 4T25 y 208 millones en el 2T26), comercios y cargadores; la oferta la ponen conductores y repartidores independientes y, cada vez más, flotas autónomas de socios [1, 4]. Uber One, la suscripción transversal, tenía 46 millones de miembros a cierre de 2025 en más de 30 países [1]. La publicidad dentro de las apps es la tercera línea de ingresos, repartida entre Movilidad y Reparto [1].</w:t>
      </w:r>
    </w:p>
    <w:p>
      <w:pPr>
        <w:pStyle w:val="Heading2"/>
      </w:pPr>
      <w:r>
        <w:t xml:space="preserve">Cómo gana dinero</w:t>
      </w:r>
    </w:p>
    <w:p>
      <w:pPr>
        <w:spacing w:after="100"/>
      </w:pPr>
      <w:r>
        <w:t xml:space="preserve">Uber cobra una comisión sobre el importe bruto de cada viaje o pedido (Gross Bookings). En 2025 las reservas brutas fueron unos 193.500 M USD (Movilidad 97.500 M, Reparto 90.900 M, Freight 5.100 M) y los ingresos 52.017 M; la tasa de cobro implícita fue del 30,4 % en Movilidad y del 19,0 % en Reparto (estimación propia: ingresos del segmento entre reservas brutas, con las cifras trimestrales del 10-K) [1]. Freight registra el importe bruto como ingreso, de ahí su margen mínimo. El beneficio está en Movilidad: 7.899 M USD de EBITDA ajustado del segmento en 2025, frente a 3.572 M en Reparto y −33 M en Freight [1]. El margen depende de los incentivos a conductores y descuentos a consumidores, que se restan del ingreso. El cuarto trimestre es el más fuerte y el primero el más flojo [1]. Ojo con la comparación de ingresos en 2026: desde el 2-ene-2026 Uber deja de ser el prestador del servicio en parte del Reino Unido y registra solo la comisión, lo que restó 1.100 M USD a los ingresos del 2T26 (8 puntos de crecimiento) sin tocar las reservas brutas [3, 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Freight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(ATG y otros programas)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plataforma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Freight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(ATG y otros programas)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plataforma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atomizada: cientos de millones de consumidores y ningún cliente relevante por concentración; más del 75 % de las reservas brutas de 2025 se pagaron con tarjeta o monedero digital [1]. El 15 % de las reservas de Movilidad de 2025 empezó o acabó en un aeropuerto, y el negocio se concentra en grandes áreas metropolitanas [1]. La recurrencia la da Uber One (46 millones de miembros) y el uso cruzado: los clientes de Movilidad y Reparto generan más de tres veces las reservas de quien usa solo uno, y solo uno de cada cinco clientes elegibles usa los dos cada mes [1]. El 58 % de los nuevos clientes de Reparto en el 4T25 eran nuevos en Uber [1]. El poder de precios es limitado: el propio 10-K dice que el coste de cambio de plataforma es bajo para consumidores, conductores y comercios, y que Uber ha bajado tarifas y aumentado incentivos para competir en algunos mercados [1]. Cuando bajó el coste del seguro en California, Uber trasladó el ahorro a precio y el número de viajes se aceleró, sobre todo en Los Ángeles [22].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Segment Operating Income (medida vigente desde 2026), M USD: Mobility / Delivery / Freight / Corporativo = Non-GAAP Operating Income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3.316 / 1.437 / −51 / −1.842 = 2.860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4.244 / 2.016 / −54 / −2.180 = 4.026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 +40 % / n.s. / +18 % = +41 %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cambió en el 1T26 su medida de segmento de Segment Adjusted EBITDA a Segment Operating Income, que incluye la remuneración en acciones y las amortizaciones (salvo intangibles adquiridos). Solo hay reexpresados 1T25, 2T25 y 4T25; el Non-GAAP Operating Income del grupo fue de 4.310 M en 2024 y 6.453 M en 2025 [3,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(Gross Bookings),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162.773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193.454 (2025); 215.622 en los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(+20 %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58.022 M, +24 % (+22 % a divisa constante)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por segmento, M USD (Mobility / Delivery / Freight)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83.024 / 74.614 / 5.135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97.497 / 90.864 / 5.093 (2025); 107.935 / 102.208 / 5.479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 +22 % / −1 %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de los trimestres publicados en el 10-K 2025 y los comunicados de 1T26 y 2T26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cobro (ingresos / reservas brutas), % (total; Mobility; Delivery)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30,2; 18,4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30,4; 19,0 (2025); 25,6; 27,8; 19,3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Mobility −2,6 pp en los doce meses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 Mobility en 2026 es contable: el cambio de modelo en el Reino Unido pasa el pago al conductor a menor ingreso (−1.100 M en 2T26) [3]. Cálculo propio con cifras de la empresa.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Consumidores activos mensuales (MAPCs),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(4T25); 208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(4T25); +16 %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mensual del trimestre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(Trips),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3.867 M, +18 %, con viajes por usuario al mes +2 %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Socios de Uber One,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socios generan la mitad de las reservas brutas de Mobility y Delivery, según el comunicado del 1T26 [15]. No hay serie anterior en los documentos de la SEC leídos.</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Adjusted EBITDA en % de reservas brutas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(2025); 4,9 %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Adjusted EBITDA de 6.484 M (2024), 8.730 M (2025) y 10.043 M en los doce meses a jun-26. Desde 2026 Uber lo publica solo como transición: la medida clave pasa a Non-GAAP Operating Income (6.453 M en 2025; 3,7 % de las reservas en 2T26) [1, 4,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caja libre (operativo − capex),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9.763 (2025); 10.116 en los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Definición de Uber; no resta el principal de arrendamientos financieros (157 M en 2025) [1,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Uber juega en tres mercados distintos. </w:t>
      </w:r>
      <w:r>
        <w:rPr>
          <w:b/>
        </w:rPr>
        <w:t xml:space="preserve">Movilidad</w:t>
      </w:r>
      <w:r>
        <w:t xml:space="preserve">: VTC y taxi pedidos por aplicación, mundial salvo China y el Sudeste Asiático; es el que da el beneficio. </w:t>
      </w:r>
      <w:r>
        <w:rPr>
          <w:b/>
        </w:rPr>
        <w:t xml:space="preserve">Reparto</w:t>
      </w:r>
      <w:r>
        <w:t xml:space="preserve">: comida, supermercado y comercio a domicilio pedidos por aplicación. </w:t>
      </w:r>
      <w:r>
        <w:rPr>
          <w:b/>
        </w:rPr>
        <w:t xml:space="preserve">Freight</w:t>
      </w:r>
      <w:r>
        <w:t xml:space="preserve">: intermediación de transporte por carretera en Norteamérica y Europa. Para Movilidad usamos Global Market Insights (GMI, agosto de 2026), que mide el mercado por importe pagado por el usuario, la misma base que las reservas brutas de Uber: con 188.600 M USD en 2025 y un 51,5 % de cuota, Uber tendría unos 97.000 M, que cuadra con sus 97.500 M de reservas brutas de Movilidad [1, 29]. Statista da la misma cifra, 188.600 M, pero para 2026, y un crecimiento mucho menor [30]. Para Reparto solo tenemos Statista, que incluye la compra de supermercado online en sentido amplio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VTC mundial: ≈ 188.600 M USD en 2025 y 213.200 M en 2026e según GMI [29]; Statista estima 188.600 M en 2026 y 229.980 M en 2030 (TCAC 2026-2030 del 5,1 %) [30]. Reparto online mundial: 1,51 billones USD en 2026e, de los que 1,04 billones son supermercado; China, 540.000 M [31]. Las reservas brutas de Reparto de Uber (90.900 M USD en 2025) son una fracción pequeña de ese perímetro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TC mundial según GMI (2025 y 2026e); 2027e-2030e, estimación propia con la TCAC del 9,7 % que publica GMI)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Vehículos autónomos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Waymo da más de 500.000 viajes de pago a la semana con más de 4.000 vehículos (1-sep-2026) y ya opera en 15 ciudades de EE. UU. [32, 34]; Uber tiene más de 30 socios autónomos, multiplicó por más de 10 sus viajes autónomos de Movilidad en un año y prevé estar en hasta 15 ciudades a final de 2026 [22, 36].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Plataforma y suscripción (Uber One, uso cruzado)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 millones de miembros de Uber One a cierre de 2025; el cliente de Movilidad y Reparto gasta más de tres veces más y solo uno de cada cinco clientes elegibles usa los dos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seguro de responsabilidad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cientos de millones de USD de ahorro en seguros en 2026 por reformas legales y mejores renovaciones, y lo traslada a precio [22]; las reservas por seguros suman 13.286 M USD a junio de 2026, frente a 12.463 M en diciembre de 2025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laboral de las plataformas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Directiva europea de trabajo en plataformas con presunción de laboralidad y plazo de transposición el 2-dic-2026 [37]; sindicato de conductores certificado en Massachusetts para unos 70.000 conductores (mayo de 2026) [38]; reforma laboral de México de dic-2024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Supermercado y comercio a domicilio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supermercado ya pesa 1,04 de los 1,51 billones USD del reparto online mundial en 2026e [31]; las reservas brutas de Reparto de Uber crecieron un 25 % en el 2T26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Viajes y consumo urbano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15 % de las reservas de Movilidad de 2025 empezó o acabó en un aeropuerto y el negocio depende de grandes ciudades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por conductores y clientes con incentivos y descuentos; Uber reconoce que ha bajado tarifas y subido incentivos para defender posiciones [1]. Los rivales cotizados ganan poco: Lyft perdió 188 M USD en EBIT en 2025, Bolt ganó 19,5 M EUR sobre 2.270 M de ingresos [18,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atomizado pero con coste de cambio casi nulo y sensibilidad al precio: la bajada de precios en California aceleró los viajes [1,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conductores usan varias aplicaciones y se van a la que más paga [1]; la regulación les da más poder (sindicato de Massachusetts) [38]. En autonomía el proveedor clave (Waymo) es también competidor con su propia aplicación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de red son altas para un recién llegado con conductores, pero no para quien trae flota autónoma y capital: Waymo levantó 16.000 M USD de capital en 2026 y 5.000 M de deuda en octubre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coche propio sigue siendo la mayoría de los kilómetros de pasajeros y el transporte público es más barato en muchas ciudades [1]; en reparto, la recogida en tienda y el reparto propio de los comercios [1].</w:t>
            </w:r>
          </w:p>
        </w:tc>
      </w:tr>
    </w:tbl>
    <w:p>
      <w:pPr>
        <w:spacing w:after="160" w:before="0"/>
      </w:pPr>
    </w:p>
    <w:p>
      <w:pPr>
        <w:pStyle w:val="Heading2"/>
      </w:pPr>
      <w:r>
        <w:t xml:space="preserve">Ciclo</w:t>
      </w:r>
    </w:p>
    <w:p>
      <w:pPr>
        <w:spacing w:after="100"/>
      </w:pPr>
      <w:r>
        <w:t xml:space="preserve">Lo indican los volúmenes: en el 2T26 los viajes crecieron un 18 %, los usuarios activos un 16 % y las reservas brutas un 22 % a tipo constante, cuarto trimestre seguido por encima del 20 %, con una previsión del 18-22 % para el 3T26 [4]. En EE. UU. la Movilidad se acelera por el abaratamiento del seguro [22]. El sector no existía a escala en 2008-09; en 2020 la Movilidad se hundió con los confinamientos y el Reparto amortiguó la caída, y 2022 trajo la vuelta de los viajes. No tenemos cifras verificadas del sector para esos años.</w:t>
      </w:r>
    </w:p>
    <w:p>
      <w:pPr>
        <w:pStyle w:val="Heading2"/>
      </w:pPr>
      <w:r>
        <w:t xml:space="preserve">Regulación</w:t>
      </w:r>
    </w:p>
    <w:p>
      <w:pPr>
        <w:spacing w:after="100"/>
      </w:pPr>
      <w:r>
        <w:rPr>
          <w:b/>
        </w:rPr>
        <w:t xml:space="preserve">Estatus laboral</w:t>
      </w:r>
      <w:r>
        <w:t xml:space="preserve">: Proposición 22 en California (en vigor desde dic-2020, avalada por el Tribunal Supremo de California) [1]; en Massachusetts, acuerdo de junio de 2024 que mantiene a los conductores como autónomos y negociación colectiva aprobada en 2024, con sindicato certificado en mayo de 2026 y seis meses para negociar antes de mediación y arbitraje [1, 38]. En la UE, la Directiva 2024/2831 debe transponerse antes del 2-dic-2026: a 29-sep-2026 solo Eslovaquia había aprobado su ley; España tiene la presunción para repartidores desde ago-2021 (Ley Rider), Francia admite que no llegará y Alemania no tiene borrador [37]. </w:t>
      </w:r>
      <w:r>
        <w:rPr>
          <w:b/>
        </w:rPr>
        <w:t xml:space="preserve">Fiscal</w:t>
      </w:r>
      <w:r>
        <w:t xml:space="preserve">: desde ene-2026 el Reino Unido prohíbe a Uber tributar el IVA sobre el margen; Uber ha pagado 1.800 M USD (1.400 M GBP) de liquidaciones de 2022-2024 que recurre [3]. </w:t>
      </w:r>
      <w:r>
        <w:rPr>
          <w:b/>
        </w:rPr>
        <w:t xml:space="preserve">Consumo</w:t>
      </w:r>
      <w:r>
        <w:t xml:space="preserve">: la FTC demandó a Uber por Uber One en abril de 2025 y 21 estados más Washington D. C. se sumaron en diciembre [39]. </w:t>
      </w:r>
      <w:r>
        <w:rPr>
          <w:b/>
        </w:rPr>
        <w:t xml:space="preserve">Clima</w:t>
      </w:r>
      <w:r>
        <w:t xml:space="preserve">: California exige que el 90 % de los kilómetros de VTC sean cero emisiones en 2030 [1].</w:t>
      </w:r>
    </w:p>
    <w:p>
      <w:pPr>
        <w:pStyle w:val="Heading2"/>
      </w:pPr>
      <w:r>
        <w:t xml:space="preserve">Tendencias y disrupción</w:t>
      </w:r>
    </w:p>
    <w:p>
      <w:pPr>
        <w:spacing w:after="100"/>
      </w:pPr>
      <w:r>
        <w:t xml:space="preserve">La tendencia que decide el valor es la conducción autónoma. Waymo ya opera en quince ciudades de EE. UU., supera los 500.000 viajes de pago semanales con más de 4.000 coches y apunta al millón semanal a final de año [32, 34]; acumula 270 millones de millas autónomas con un 82 % menos de accidentes con heridos que un conductor humano, según sus propios datos [33]; Tesla opera sin conductor en Austin, Dallas, Houston, Miami, Orlando y Tampa, aunque con flotas pequeñas (2,4 millones de millas de pago acumuladas a junio de 2026) [35]. Uber apuesta por ser la red de demanda de todos: más de 30 socios, 7 ciudades autónomas a agosto de 2026 y 8 más antes de fin de año [22, 36]. Gana si los fabricantes de software autónomo necesitan su demanda; pierde si Waymo y Tesla escalan con su propia aplicación. En reparto, el supermercado y el comercio ganan peso [31].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VTC con un 51,5 % del mercado en 2025 según GMI (Didi 14,7 %, Lyft 10,2 %, Grab 4,1 %, Bolt 3,6 %) [29]. En reparto compite con DoorDash, mayor en ingresos (13.717 M USD frente a 17.248 M de ingresos de Reparto de Uber, que incluyen el modelo de prestador en algunos países) [1, 19]. En Freight es un intermediario mediano: 5.099 M USD de ingresos frente a 16.233 M de C.H. Robinson y 5.742 M de RXO [1, 23,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Lyft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rival de escala en VTC en EE. UU. y Canadá. Pérdida operativa de 188 M USD en 2025; el beneficio neto de 2.844 M se debe a partidas fiscales, no a la operación [18]. Cuota mundial según GMI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DoorDash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DASH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reparto en EE. UU.; ingresos +28 % en 2025 y EBIT de 723 M USD [19]. Es el comparable directo de Reparto.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Instacart (Maplebear)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supermercado a domicilio en EE. UU.; EBIT de 498 M USD en 2025 [20]. Margen alto por un modelo de comisión y publicidad sin flota propia.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Didi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DIDIY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China y competidor de Uber en Latinoamérica y otros mercados; 226.700 M CNY de ingresos en 2025 convertidos a 7,1875 CNY/USD [26, 28]. El margen es EBITA ajustado (3.670 M CNY), no EBIT contable; el negocio internacional perdió 6.050 M CNY [26]. Cotiza fuera de bolsa oficial en EE. UU.</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Estonia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Europa y África, más barato; 2.270 M EUR de ingresos y 19,5 M EUR de beneficio operativo en 2025, primer año con beneficio neto (0,9 M EUR) [27]; convertido a 1,1306 USD/EUR [28]. Privada: cifras de prensa sobre sus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 Hero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DHER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en Asia, Oriente Medio, Europa y Latinoamérica; 14.059,6 M EUR de ingresos y −154,1 M EUR de resultado operativo en 2025 [25], convertido a 1,1306 USD/EUR [28]. Uber tiene una participación y le compró Foodpanda Taiwán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Singapur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Superapp del Sudeste Asiático; EBIT de 65 M USD en 2025 (NIIF) [21]. No encaja como competidor directo: Uber no puede competir en su región desde 2018 [3]; sirve como comparable de modelo.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 Robinson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intermediario de transporte por carretera de EE. UU.; EBIT de 795 M USD en 2025 [23]. Comparable solo de Freight (el 10 % de los ingresos de Uber [1]); RXO, otro rival, perdió 79 M USD sobre 5.742 M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demanda atrae más conductores y menos espera: Uber dice que los coches autónomos, muy caros, se usan más en su red, y por eso firma socios [8]. Su cuota en San Francisco y Los Ángeles, donde opera Waymo, era más alta en mayo de 2026 que seis meses antes [8]. El uso cruzado multiplica por tres el gasto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reconoce que el coste de cambiar de plataforma es bajo para consumidores, conductores, comercios y cargadores [1]. Uber One (46 millones de miembros) lo sube algo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que da nombre a la categoría en más de 70 países y licencias de operador en grandes ciudades y aeropuertos (15 % de las reservas de Movilidad)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10,7 % en 2025 (5.565 M USD sobre 52.017 M) frente al −3,0 % de Lyft, el 5,3 % de DoorDash y el 0,9 % de Bolt [1, 4, 5, 13]: la escala reparte la tecnología, el marketing y los seguros. Un coche autónomo propio podría dar a Waymo o Tesla costes por viaje más bajos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mercados locales tienden a dos operadores (Uber y Lyft en EE. UU.; cinco primeros con el 84,1 % mundial) [15], pero el capital de Waymo (16.000 M USD de capital y 5.000 M de deuda en 2026) demuestra que un tercero con tecnología propia puede entrar [18].</w:t>
            </w:r>
          </w:p>
        </w:tc>
      </w:tr>
    </w:tbl>
    <w:p>
      <w:pPr>
        <w:spacing w:after="160" w:before="0"/>
      </w:pPr>
    </w:p>
    <w:p>
      <w:pPr>
        <w:pStyle w:val="Heading2"/>
      </w:pPr>
      <w:r>
        <w:t xml:space="preserve">Amenazas</w:t>
      </w:r>
    </w:p>
    <w:p>
      <w:pPr>
        <w:spacing w:after="100"/>
      </w:pPr>
      <w:r>
        <w:t xml:space="preserve">La amenaza principal es que la conducción autónoma desintermedie a Uber. Waymo ya es socio en Austin y Atlanta pero compite con su propia aplicación en Phoenix, San Francisco, Los Ángeles, Dallas, Houston y otras ciudades [1, 45]; con más de 500.000 viajes semanales [34] equivale a una fracción todavía pequeña de los 3.867 millones de viajes trimestrales de Uber [4], pero crece deprisa y tiene financiación. Tesla añade seis metrópolis sin conductor [35] y Zoox es a la vez competidor y socio [1, 22]. El propio 10-K advierte que el coche autónomo puede abaratar tanto el viaje que un rival ofrezca precios muy inferiores [1]. Probabilidad media a cinco años: la dirección dice no ver efecto en sus cifras [22]. Las otras amenazas son la regulación laboral en la UE y EE. UU. y DoorDash en reparto [19, 37, 38].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spacing w:after="100"/>
      </w:pPr>
      <w:r>
        <w:t xml:space="preserve">Crecimiento anual compuesto 2020-2025: ingresos </w:t>
      </w:r>
      <w:r>
        <w:rPr>
          <w:b/>
          <w:bCs/>
        </w:rPr>
        <w:t xml:space="preserve">36,1 %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11.139 M USD en 2020 a 52.017 M en 2025 (TCAC del 36 %), pero con dos saltos que no son orgánicos. En 2022 Uber pasó a prestar el servicio en ciertos mercados (sobre todo el Reino Unido) y contabilizar en bruto, y compró Transplace: los ingresos crecieron un 83 % con reservas brutas +28 % [2]. En 2026 ocurre lo contrario: el cambio de modelo en el Reino Unido resta 8-9 puntos al crecimiento de los ingresos (2T26: +12 % con reservas +24 %) [3, 4]. Por eso el margen sobre ingresos es engañoso; Uber mide la rentabilidad sobre reservas brutas.</w:t>
      </w:r>
    </w:p>
    <w:p>
      <w:pPr>
        <w:spacing w:after="100"/>
      </w:pPr>
      <w:r>
        <w:t xml:space="preserve">El EBIT pasó de −4.863 M (2020) a 5.565 M (2025): 10,7 % de los ingresos en 2025 frente a 6,4 % en 2024 y 3,0 % en 2023. Lo explican el apalancamiento de los gastos fijos (operaciones, marketing, I+D y administración pasan del 63 % de los ingresos en 2021 y el 41 % en 2022, ya con el modelo en bruto, al 28 % en 2025) y menos reservas legales (564 M en 2025 frente a 1.123 M en 2024) [1]. La I+D no está en gastos_generales: 3.402 M en 2025. En los doce meses a jun-26 el EBIT es de 6.700 M (12,1 %) [4]. Las cifras trimestrales salen de los 10-Q y los comunicados [3, 5, 7, 15, 16, 17] y las series anuales se contrastan con los datos XBRL de la SEC [6].</w:t>
      </w:r>
    </w:p>
    <w:p>
      <w:pPr>
        <w:pStyle w:val="Heading2"/>
      </w:pPr>
      <w:r>
        <w:t xml:space="preserve">Ajustes y partidas no recurrentes</w:t>
      </w:r>
    </w:p>
    <w:p>
      <w:pPr>
        <w:spacing w:after="100"/>
      </w:pPr>
      <w:r>
        <w:t xml:space="preserve">El EBITDA de la tabla es contable: EBIT + amortizaciones, con la remuneración en acciones dentro (1.826 M en 2025; 1.938 M en los doce meses a jun-26). Uber publica un Adjusted EBITDA que además suma esa remuneración y las partidas que llama no recurrentes: −2.528 M (2020), −774 M (2021), 1.713 M (2022), 4.052 M (2023), 6.484 M (2024), 8.730 M (2025) y 10.043 M en los doce meses a jun-26 [1, 2, 4].</w:t>
      </w:r>
    </w:p>
    <w:p>
      <w:pPr>
        <w:spacing w:after="100"/>
      </w:pPr>
      <w:r>
        <w:t xml:space="preserve">En no_recurrentes_en_ebitda van esas partidas, sin la remuneración en acciones: reservas y acuerdos legales, fiscales (no de beneficios) y regulatorios (−35, 526, 732, 9, 1.123 y 564 M de 2020 a 2025), deterioros (317, 157, 25, 84, 3 y 2 M), costes de compras y ventas de negocios, reestructuración (362 M en 2020), gastos COVID y otros. Total: 933, 990, 805, 184, 1.178 y 620 M; 660 M en los doce meses a jun-26 [1, 2, 4]. Ojo: las reservas legales se repiten todos los años.</w:t>
      </w:r>
    </w:p>
    <w:p>
      <w:pPr>
        <w:spacing w:after="100"/>
      </w:pPr>
      <w:r>
        <w:t xml:space="preserve">El beneficio neto no es operativo. Lleva revalorizaciones de participadas en otros resultados: +1.832 M en 2024 (Grab +723, Aurora +629, Didi +357) y −97 M en 2025 (Aurora −802, Lucid −155, Didi +409, Waabi +179, Grab +145); en 2026, −1.500 M en 1T26 y +1.600 M en 2T26 (Delivery Hero +1.100 al pasar a puesta en equivalencia, Aurora +899, Didi −437). Y lleva liberaciones de provisiones de impuestos diferidos: 6.400 M en 4T24 (EE. UU.) y 5.000 M en 2025 (Países Bajos) [1, 3, 4]. Sin ellas, el beneficio de 2024 y 2025 rondaría 1.600 M y 5.100 M antes de otros efectos (estimación propia).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1T26 (6-may-26) el mensaje fue crecimiento con beneficio: reservas +21 % a divisa constante, BPA no GAAP +44 %, 50 millones de socios de Uber One (+50 % interanual) que generan más de la mitad de las reservas, y viajes con vehículo autónomo multiplicados por más de diez, con hasta 15 ciudades a final de año [14, 15]. El director financiero anunció «cientos de millones» de ahorro en seguros en 2026, que se devuelve al cliente en precio, y una recompra récord de unos 3.000 M en el trimestre [14]. En el 2T26 (5-ago-26) el discurso giró hacia la inversión: la compra de Delivery Hero (casi 100 mercados), la plataforma de vehículos autónomos y la IA; la recompra cayó a 510 M en el trimestre y la dirección dijo que se recuperará «en meses, no trimestres» [3, 13].</w:t>
      </w:r>
    </w:p>
    <w:p>
      <w:pPr>
        <w:spacing w:after="100"/>
      </w:pPr>
      <w:r>
        <w:t xml:space="preserve">Los analistas repitieron cuatro temas: los vehículos autónomos (hitos, regulación, relación con Waymo, coste y compromisos con Lucid y Nuro), el abaratamiento del seguro en EE. UU. como motor del crecimiento de Mobility, la competencia en Brasil de Didi Food y Meituan, y la integración de Delivery Hero, con una migración a una sola plataforma tecnológica en 2028-2029 [13, 14]. La dirección no dio cifras de rentabilidad ni de sinergias de Delivery Hero ni el impacto en la cuenta de la inversión en autónomos, y sustituyó el Adjusted EBITDA por el Non-GAAP Operating Income como medida principal (3,7 % de las reservas en 2T26, frente a 3,3 % un año antes) [4]. El «cambio de modelo de negocio» que resta 8 puntos al crecimiento de los ingresos es contable: desde el 2-ene-26 Uber deja de ser el prestador del servicio en ciertos mercados del Reino Unido y el pago al conductor pasa a restar ingresos (−1.100 M en 2T26) en vez de sumarse al coste [3]. Guía del 3T26: reservas de 58.250-60.250 M (+18-22 % a divisa constante), BPA no GAAP de 0,84-0,88 USD y Adjusted EBITDA de 2.860-2.960 M [4].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(2020: Careem (2-ene-2020, 3.000 M USD), Cornershop (55 % el 6-jul-2020) y Postmates (1-dic-2020, unos 3.900 M USD en acciones): Postmates entra en balance con un mes de cuenta.; 2021: Drizly (12-oct-2021, 943 M USD) y Transplace (12-nov-2021, 2.300 M USD en efectivo): Transplace aporta solo 684 M USD de ingresos en 2021 y unos 4.800 M más en 2022.).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subió de 7.935 M USD (2020) a 10.521 M (2025) y a 12.723 M contables a 30-jun-26 (12.625 M de principal): 2.000 M de préstamo a plazo que vence en dic-26, 1.725 M de convertible 2028 (conversión a 72,54 USD), 1.324 M del canjeable 2028 en acciones de Aurora (a valor razonable; 1.150 M de principal) y 8.750 M de bonos senior de 2029 a 2054 [3]. Después del cierre emitió 4.500 M EUR en bonos (5.243 M USD al cambio de 1,1652; 3,75-5,25 %, de 2029 a 2046) y firmó un puente de 14.200 M EUR para comprar Delivery Hero, reducido en 4.000 M EUR por un préstamo a plazo a 18 meses y 3 años [9, 10]. La deuda en principal pro forma de los bonos es de 17.868 M [10]. Con caja e inversiones a corto de 5.391 M, la deuda neta contable a jun-26 es de unos 7.300 M, frente a 2.900 M a dic-25 (estimación propia). El circulante es negativo por diseño: Uber cobra al usuario antes de pagar a conductores y restaurantes, y las reservas de seguros crecen con el volumen.</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15.172</w:t>
      </w:r>
      <w:r>
        <w:t xml:space="preserve">, conversión </w:t>
      </w:r>
      <w:r>
        <w:rPr>
          <w:b/>
          <w:bCs/>
        </w:rPr>
        <w:t xml:space="preserve">281 %</w:t>
      </w:r>
      <w:r>
        <w:t xml:space="preserve"> del beneficio neto; adquisiciones 4.659, dividendos 0, recompras 7.775.</w:t>
      </w:r>
    </w:p>
    <w:p>
      <w:pPr>
        <w:spacing w:after="100"/>
      </w:pPr>
      <w:r>
        <w:t xml:space="preserve">El flujo operativo pasó de −2.745 M USD (2020) a 10.099 M (2025); el flujo libre según Uber (operativo − capex) fue de 9.763 M en 2025 y 10.116 M en los doce meses a jun-26 [1, 4]. Restando además el principal de arrendamientos financieros (157 M), queda en 9.606 M en 2025. La conversión es alta porque el capex es mínimo (336 M, 0,6 % de los ingresos), pero tiene dos apoyos que no son del negocio: la remuneración en acciones (1.826 M, el 19 % del flujo libre de 2025) y el circulante, que aportó 2.200 M en 2025 y 2.400 M en 2024 sobre todo porque las reservas de seguros crecen más que los pagos de siniestros (+1.487 M en 1S25 y +830 M en 1S26) [1, 4]. En contra, los 1.800 M de IVA pagados a Hacienda británica están en cuentas a cobrar [1]. Uber no publica el reparto del capex entre mantenimiento y crecimiento; con 0,6 % de los ingresos, casi todo es tecnología y oficinas.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y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audita a Uber desde 2014 con opinión favorable; sus asuntos clave de 2025 son el criterio de agente o principal en los ingresos y la valoración de las reservas de seguros (12.463 M USD a dic-2025) [1]. Tres asuntos piden ajustar las cifras. Primero, </w:t>
      </w:r>
      <w:r>
        <w:rPr>
          <w:b/>
        </w:rPr>
        <w:t xml:space="preserve">el beneficio neto no es operativo</w:t>
      </w:r>
      <w:r>
        <w:t xml:space="preserve">: 2024 y 2025 llevan 6.400 y 5.000 M de liberaciones fiscales, y cada trimestre las revalorizaciones de participadas lo mueven en ±1.500 M [1, 4]. Segundo, </w:t>
      </w:r>
      <w:r>
        <w:rPr>
          <w:b/>
        </w:rPr>
        <w:t xml:space="preserve">las «partidas no recurrentes» se repiten</w:t>
      </w:r>
      <w:r>
        <w:t xml:space="preserve">: las reservas legales y regulatorias suman entre 526 y 1.123 M casi todos los años y aquí se tratan como coste. Tercero, </w:t>
      </w:r>
      <w:r>
        <w:rPr>
          <w:b/>
        </w:rPr>
        <w:t xml:space="preserve">el flujo libre que publica Uber está inflado</w:t>
      </w:r>
      <w:r>
        <w:t xml:space="preserve">: suma el aumento de las reservas de seguros (+830 M en 1S26), cuya caja se queda en inversiones restringidas, y no resta la remuneración en acciones (1.826 M, el 19 % del flujo de 2025) [1, 4]. Los indicadores del motor no alertan: Altman Z de 3,33 (zona segura), Piotroski F de 7 sobre 9 y Beneish M de −2,31, lejos del umbral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inflado por partidas fiscales y de cartera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Liberación de provisiones de impuestos diferidos de 6.400 M (4T24) y 5.000 M (2025); revalorizaciones de participadas de +1.832 M (2024) y −1.500/+1.600 M en 1T26/2T26. El PER contable no sirve sin ajustar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legales, fiscales y regulatorias de 526, 732, 9, 1.123 y 564 M entre 2021 y 2025, excluidas del Adjusted EBITDA cada año; son un coste del modelo (clasificación de conductores, impuestos indirectos)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sensibles al criterio agente/principal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Asunto clave de auditoría. El paso a principal en 2022 añadió 3.900 M a Mobility; la vuelta a agente en el Reino Unido resta 2.100 M en 1S26. Mejor comparar por reservas brutas [1,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apoyado en reservas de seguros y en pago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aumento de las reservas de seguros aportó caja (+1.487 M en 1S25, +830 M en 1S26) y la remuneración en acciones (1.826 M) no consume caja pero diluye; se compensa con recompras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Participaciones valoradas con datos poco líquidos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Didi (1.900 M) se valora con el precio del ADS en el mercado OTC y las no cotizadas con el método alternativo: ajustes a la baja de 1.117 M en 1S26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IVA británico pagado y activado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1.800 M pagados a HMRC y registrados como cuenta a cobrar a la espera del recurso; si se pierde, sería gasto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28.250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8.931 M en 2025 (el 30 % del capital invertido medio); ha subido más de un 5 % en 2 de 5 años: compra única grande. ROIC publicado 19,9 %; sin fondo de comercio, 28,5 %.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65,3 % · </w:t>
      </w:r>
      <w:r>
        <w:rPr>
          <w:b/>
          <w:bCs/>
        </w:rPr>
        <w:t xml:space="preserve">WACC</w:t>
      </w:r>
      <w:r>
        <w:t xml:space="preserve">: 10,4 %.</w:t>
      </w:r>
    </w:p>
    <w:p>
      <w:pPr>
        <w:spacing w:after="100"/>
      </w:pPr>
      <w:r>
        <w:t xml:space="preserve">Uber crea valor desde 2024: el ROIC pasó del −19,3 % de 2020 al 7,5 % de 2023 y al 19,9 % de 2025, frente a un WACC del 10,40 %. Lo mueve el margen, no la rotación: el margen EBIT contable subió del −35,3 % al 10,8 % mientras la rotación del capital se quedaba cerca de una vez. El ROIC incremental de 65,3 % dice que el crecimiento reciente casi no necesita capital: el capex es el 0,6 % de las ventas y el circulante es negativo por diseño, porque Uber cobra antes de pagar a conductores y restaurantes [1]. Ojo con dos cosas. El capital invertido incluye 10.000 M USD de activos fiscales diferidos y participadas que no producen EBIT. Y el ROE (41 % en 2025) está inflado por las liberaciones fiscales. Frente a los competidores, el margen EBIT de 2025 (10,8 %) supera al de DoorDash (5,3 %) y Lyft (−3,0 %) [18, 19].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8.285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y equivalentes 4.870 M USD + inversiones a corto 521 M = 5.391 M de liquidez no restringida; línea de crédito revolving de 5.000 M sin disponer (324 M ocupados por avales) y programa de pagarés de 2.000 M sin uso [3, 4]. El 6-ago-26 la línea se sustituyó por otra de 7.700 M hasta 2031 [9]. En sep-26 entraron 4.453 M EUR netos de bonos en euros [10]. La caja y las inversiones restringidas (661 + 1.646 + 9.486 = 11.793 M) respaldan las reservas de seguros: no es caja libre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Baa1 (perspectiva positiva), S&amp;P BBB+ (positiva), Fitch A- (estable), según el término de emisión de los bonos en euros de 9-sep-2026 [11]. En sep-2025: Baa1 (positiva), BBB (estable), BBB+ (positiva)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Reservas de seguros (responsabilidad civil de autos, daños propios, accidentes laborales): 13.286 M USD a 30-jun-26 (3.758 a corto + 9.528 a largo), frente a 12.463 M a dic-25; las respaldan 11.793 M de caja e inversiones restringidas, que no deben ir al puente [1, 4]. Provisiones legales, regulatorias y fiscales (no de beneficios): 1.800 M (2.100 M a dic-25) [3]. Uber ha pagado 1.800 M (1.400 M GBP) de IVA reclamado por Hacienda británica (2022-2024), activado como cuenta a cobrar mientras recurre; espera más liquidaciones de 2023-2025 [1]. Minoritarios: 903 M no rescatables (preferentes de Freight Holding, entre ellos el fondo soberano saudí y 550 M de la serie A-1 al 6 %) y 180 M rescatables (put/call del 8 % de Trendyol GO ejercitable en 1T31) [3, 4]. Arrendamientos operativos de 2.008 M, que no son deuda en US GAAP [4]. Compromisos: 2.400 M de nube no cancelables (dic-25), compra de al menos 20.000 vehículos Lucid con Nuro en seis años, avales por 2.300 M [1, 3]. Uber pagaría 700 M EUR a Delivery Hero si la oferta cae por motivos regulatorios [8]. Covenant de la nueva financiación: EBITDA ajustado / intereses ≥ 3,0x [9]. Participaciones a 30-jun-26 (valor contable): Didi 1.900 (no cotizada en EE. UU., a precio del ADS en OTC), Grab 2.020 y Aurora 1.763 (cotizadas, a valor razonable; el 61 % de Aurora está pignorado por el canjeable 2028), otras no cotizadas 2.263, otras cotizadas 813 (total inversiones 8.759); Delivery Hero 3.502 en puesta en equivalencia (24,99 %, valor de mercado 3.100), Careem Technologies 147 (45 %, controlada desde el 30-jul-26), otras 124; swaps de rendimiento total sobre acciones de Delivery Hero 1.504; préstamos y notas a cobrar 864 (Moove 442) [3].</w:t>
      </w:r>
    </w:p>
    <w:p>
      <w:pPr>
        <w:pStyle w:val="Heading1"/>
      </w:pPr>
      <w:r>
        <w:t xml:space="preserve">12. Asignación de capital</w:t>
      </w:r>
    </w:p>
    <w:p>
      <w:pPr>
        <w:pStyle w:val="Confianza"/>
        <w:spacing w:after="100"/>
      </w:pPr>
      <w:r>
        <w:t xml:space="preserve">Confianza: Alta</w:t>
      </w:r>
    </w:p>
    <w:p>
      <w:pPr>
        <w:spacing w:after="100"/>
      </w:pPr>
      <w:r>
        <w:t xml:space="preserve">Uber nunca ha pagado dividendo ni prevé hacerlo; algunos contratos de deuda lo restringen [1]. La caja va a recompras y a compras de empresas. El consejo aprobó 7.000 M USD de recompras en feb-24 y otros 20.000 M en jul-25 (27.000 M en total); quedaban 19.200 M a dic-25 [1]. Recompró 1.252 M en 2024 (17,8 millones de acciones), 6.523 M en 2025 (80,0 millones, con una recompra acelerada de 1.500 M) y 3.529 M en 1S26 (46,6 millones), pero solo 510 M en 2T26 al priorizar Delivery Hero; la dirección dice que volverá a subir «en meses» [1, 3, 13]. En 2026 la prioridad declarada es invertir: Delivery Hero (14.800 M USD por el 100 %), vehículos autónomos y compras pequeñas [3,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Careem (movilidad en Oriente Medio y Pakistán)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1.326 M en efectivo y 1.634 M en notas convertibles sin interés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no de movilidad (Careem Technologies) se cedió en mayoría a e&amp; en dic-23 con una plusvalía de 204 M; Uber recuperó su control el 30-jul-26 [1,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Postmates (reparto en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70 millones (3.500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Uber Eats; sin deterioro del fondo de comercio de Delivery en 2023-2025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Cornershop (supermercado en Chile y México)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362 M por el 55 % en 2020 y 967 M en acciones por el 45 % restante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Grocery &amp; Retail en Latinoamérica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Drizly (venta de alcohol a domicilio)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19 millones (881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619 M asignado a Delivery [2]; sin deterioro relevante declarado en las cuentas leídas.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Transplace (gestión de transporte, Freight)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1.400 M en Freight; Freight sigue en pérdidas (Segment Adjusted EBITDA −33 M en 2025) y sus ingresos bajaron de 6.947 M (2022) a 5.099 M (2025)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Trendyol GO (reparto en Turquía), 85 %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712 M; participación ampliada al 92 % en 2026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SpotHero (aparcamiento digital)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16-abr-26; fondo de comercio de 485 M en Mobility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Getir (reparto de comida en Turquía) y minoritaria en su negocio de supermercado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1-jul-26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Blacklane (chófer con reserva, Berlín)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autorización; cierre previsto antes de fin de 2026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(oferta pública por el 100 %, 41,50 EUR por acción)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préstamo puente de 14.200 M EUR (reducido por un préstamo a plazo de 4.000 M EUR) y bonos en euros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cierre previsto en 2S27. Uber ya tiene el 24,99 % (2.300 M pagados en 2T26 más 300 M en 2024) y swaps sobre acciones por 1.640 M [3, 8, 9].</w:t>
            </w:r>
          </w:p>
        </w:tc>
      </w:tr>
    </w:tbl>
    <w:p>
      <w:pPr>
        <w:spacing w:after="160" w:before="0"/>
      </w:pPr>
    </w:p>
    <w:p>
      <w:pPr>
        <w:spacing w:after="100"/>
      </w:pPr>
      <w:r>
        <w:t xml:space="preserve">Entre 2020 y 2021 Uber compró unos 11.500 M USD de empresas (Careem, Postmates, Cornershop, Drizly, Transplace), la mitad pagada con acciones. Desde 2024 la caja libre se destinó sobre todo a recompras: 7.775 M en 2024-2025 frente a una remuneración en acciones de 3.622 M en esos dos años. Las acciones en circulación pasaron de 2.071 millones (2023) a 2.108 (2024), 2.068 (2025) y 2.043 (31-jul-26); en 2025 se emitieron 37,8 millones por planes de empleados y se recompraron 80,0 millones, la primera reducción neta (−2,0 %) [1, 3]. Las acciones diluidas medias bajan de 2.151 millones (2024) a 2.050 (2T26) [1, 4]. Delivery Hero cambia la escala: 14.800 M por el 100 %, más que todas las compras de 2020-2021 juntas, financiado con deuda [3, 10].</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Dara Khosrowshahi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Uber y consejero desde septiembre de 2017; antes, presidente y CEO de Expedia (2005-2017) y director financiero de IAC (2002-2005) [46]. A 2 de marzo de 2026 tenía 2.380.203 acciones en sentido amplio (982.544 en propiedad, 496.958 RSU que consolidan en 60 días y 900.701 opciones ejercitables), menos del 1 % del capital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Balaji Krishnamurthy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el 16 de febrero de 2026; 41 años, en Uber desde 2019, jefe de relaciones con inversores (2020-2023) y vicepresidente de Finanzas Estratégicas desde 2023 [47]. Sustituyó a Prashanth Mahendra-Rajah, que dejó el cargo para una «nueva oportunidad» y fue asesor financiero sénior hasta el 1 de julio de 2026; la salida se trató como despido cualificado del plan de indemnizaciones y la empresa declaró que no hubo desacuerdos contables [47]. Compró 22.453 acciones en mercado el 24 de febrero de 2026 por 1,6 M USD [62].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Sugar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 desde julio de 2018; fue presidente y CEO de Northrop Grumman (2003-2010) y director financiero de TRW; consejero de Apple [46]. Preside la comisión de nombramientos y gobierno y forma parte de la de retribuciones; 231.909 acciones a través de un fideicomiso familiar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Macdonald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Uber desde 2012 (lanzó Toronto); vicepresidente sénior de Movilidad y Operaciones desde 2019 y presidente y COO desde el 2 de junio de 2025, con Movilidad, Reparto y Autónomos a su cargo [48]. 431.342 acciones en sentido amplio a marzo de 2026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Jill Hazelbaker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y directora de Asuntos Corporativos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Uber desde 2015 (comunicación y políticas públicas) y directora de marketing desde 2019; desde el 11 de mayo de 2026 asume además Personas y Operaciones de Seguridad tras la salida de la directora de personas, Nikki Krishnamurthy [49]. 224.211 acciones a marzo de 2026 [46].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2024-2026 (plan)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Investor Update de febrero de 2024, a tres años: reservas brutas con TCAC de la mitad a lo alto de la decena (moneda constante), EBITDA ajustado con TCAC de alto 30 % a 40 % y flujo libre ≥ 90 % del EBITDA ajustado cada año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 reservas brutas +21 % en moneda constante (162.773 M), EBITDA ajustado 6.484 M (+60 % sobre 4.052 M) y flujo libre 6.895 M (106 % del EBITDA) [53]. 2025: reservas +20 % (193.454 M), EBITDA ajustado 8.730 M (+35 %) y flujo libre 9.763 M (112 %) [16]. TCAC del EBITDA 2023-2025: 47 % (estimación propia con esas cifras). Queda 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42.000-43.500 M y EBITDA ajustado de 1.790-1.890 M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42.818 M y EBITDA ajustado de 1.868 M [54].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45.750-47.250 M (+16-20 % en moneda constante) y EBITDA ajustado de 2.020-2.120 M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46.756 M (+18 %) y EBITDA ajustado de 2.119 M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48.250-49.750 M (+17-21 %) y EBITDA ajustado de 2.190-2.290 M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49.740 M (+21 %) y EBITDA ajustado de 2.256 M [17].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52.250-53.750 M (+17-21 %) y EBITDA ajustado de 2.410-2.510 M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54.140 M (+22 %, por encima del rango) y EBITDA ajustado de 2.487 M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52.000-53.500 M (+17-21 %), BPA no GAAP de 0,65-0,72 USD y EBITDA ajustado de 2.370-2.470 M [16].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53.720 M (+21 %), BPA no GAAP de 0,72 USD y EBITDA ajustado de 2.481 M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Reservas brutas de 56.250-57.750 M (+18-22 %), BPA no GAAP de 0,78-0,82 USD y EBITDA ajustado de 2.700-2.800 M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Reservas brutas de 58.022 M (+22 %), BPA no GAAP de 0,81 USD y EBITDA ajustado de 2.819 M [4]. Guía del 3T26: reservas de 58.250-60.250 M y BPA no GAAP de 0,84-0,88 USD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dirección ha cumplido o batido su guía en los seis trimestres revisados (1T25-2T26), casi siempre en la parte alta del rango, y va por delante del plan a tres años de 2024: el EBITDA ajustado creció un 47 % anual en 2023-2025 frente al 37-40 % prometido y el flujo libre superó el 100 % del EBITDA [16, 53, 56]. El riesgo es de estabilidad: en un año han cambiado el director financiero (Mahendra-Rajah, tras poco más de dos años) y la directora de personas, y en junio de 2025 se fue el responsable de Reparto y se creó el puesto de presidente y COO [47, 48, 49]. Khosrowshahi lleva nueve años; Macdonald, Krishnamurthy y Hazelbaker son el banquillo interno, sin sucesor nombrado. Los tres primeros ejecutivos compraron acciones en 2026 [62].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Sugar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Dara Khosrowshahi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Revathi Advaithi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Turqi Alnowaiser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Nikesh Arora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Ursula Burns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Eckert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Amanda Ginsberg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Thain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Alexander Wynaendts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y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16,92 / ventas 5,85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grupo declaraba 167,6 M de acciones (8,01 %) en el proxy de 2025 y 190,8 M (9,34 %) en su 13G/A de octubre de 2025 [46, 63]. Tras su reorganización interna de enero de 2026, The Vanguard Group declara cero y Vanguard Capital Management, 154,0 M (7,53 %) a 31 de marzo de 2026; otras filiales pueden declarar aparte [57, 58].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139,3 M de acciones según su 13G de enero de 2024, la última cifra que recoge el proxy de 2026; el porcentaje pasa del 6,66 % al 6,82 % solo porque las recompras redujeron el número de acciones [46,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Global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118,1 M de acciones según su 13G de febrero de 2025; el proxy de 2026 no recoge declaraciones posteriores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 Investment Fund (Arabia Saudí)</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 con un consejero (Turqi Alnowaiser)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72,84 M de acciones, sin cambios entre los proxies de 2025 y 2026 (3,48 % y 3,57 %) [46,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en noviembre de 2024: 98,9 M de acciones (4,70 %) en su 13G/A [64].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(grupo)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Consejeros y 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77,9 M de acciones a 2 de marzo de 2026, de las que 72,8 M son del PIF; sin el PIF, el grupo tiene alrededor del 0,25 % (estimación propia) [46].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Dara Khosrowshahi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Macdonald (presidente y COO)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Balaji Krishnamurthy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Jill Hazelbaker (presidenta y directora de Asuntos Corporativos)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Nikki Krishnamurthy (directora de personas,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Prashanth Mahendra-Rajah (CFO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Tony West (director jurídico): cuatro ventas mensuales con plan 10b5-1 hasta el 20-ene-2026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35,6 M USD en 2025: 1,08 M de salario, 2,84 M de bonus y 31,1 M en acciones y opciones; 360 veces el empleado mediano [46]. El bonus pesó un 60 % en reservas brutas y EBITDA ajustado (con y sin remuneración en acciones) y un 40 % en objetivos estratégicos. Del largo plazo, el 55 % son PRSU ligadas a margen de EBITDA (40 %), crecimiento de reservas a tres años (40 %) y seguridad y electrificación (20 %), con un modificador de </w:t>
      </w:r>
      <w:r>
        <w:rPr>
          <w:b/>
        </w:rPr>
        <w:t xml:space="preserve">TSR relativo</w:t>
      </w:r>
      <w:r>
        <w:t xml:space="preserve"> que no sube si el TSR absoluto es negativo [46]. Tras el 85 % de apoyo de 2025, desde 2026 mandan el BPA no GAAP (bonus) y el beneficio operativo no GAAP a tres años (PRSU) [46]. El clawback cubre también conducta indebida [46]. El nuevo CFO recibió 17,5 M USD en acciones y opciones al ascender [47].</w:t>
      </w:r>
    </w:p>
    <w:p>
      <w:pPr>
        <w:pStyle w:val="Heading2"/>
      </w:pPr>
      <w:r>
        <w:t xml:space="preserve">Operaciones vinculadas, estructura de control y defensas</w:t>
      </w:r>
    </w:p>
    <w:p>
      <w:pPr>
        <w:spacing w:after="100"/>
      </w:pPr>
      <w:r>
        <w:t xml:space="preserve">No hay accionista de control: el mayor es Vanguard (7,5-9,3 % según la entidad que declara) y el único con consejero es el fondo soberano saudí PIF (3,6 %) [46, 57]. Una sola clase de acciones, consejo elegido entero cada año por mayoría, sin píldora venenosa ni mayorías reforzadas, con acceso a la convocatoria (3 % durante tres años) y junta extraordinaria a petición del 25 % [46]. Las normas de gobierno exigen separar presidencia y dirección general y un presidente independiente, que hace de coordinador [46]. Diez de once consejeros eran independientes y las tres comisiones lo son por completo [46]. El proxy no declara operaciones vinculadas desde 2025, aunque Uber tiene el 11,5 % de Lucid, que preside Alnowaiser [46, 61].</w:t>
      </w:r>
    </w:p>
    <w:p>
      <w:pPr>
        <w:pStyle w:val="Heading2"/>
      </w:pPr>
      <w:r>
        <w:t xml:space="preserve">Señales de alerta</w:t>
      </w:r>
    </w:p>
    <w:p>
      <w:pPr>
        <w:pStyle w:val="ListParagraph"/>
        <w:numPr>
          <w:ilvl w:val="0"/>
          <w:numId w:val="2"/>
        </w:numPr>
        <w:spacing w:after="60"/>
      </w:pPr>
      <w:r>
        <w:t xml:space="preserve">Relevo del director financiero en febrero de 2026: Prashanth Mahendra-Rajah salió tras poco más de dos años en el cargo y lo sustituyó Balaji Krishnamurthy, de la casa; la empresa declaró que no hubo desacuerdos contables [47].</w:t>
      </w:r>
    </w:p>
    <w:p>
      <w:pPr>
        <w:pStyle w:val="ListParagraph"/>
        <w:numPr>
          <w:ilvl w:val="0"/>
          <w:numId w:val="2"/>
        </w:numPr>
        <w:spacing w:after="60"/>
      </w:pPr>
      <w:r>
        <w:t xml:space="preserve">Cambios en la alta dirección en 12 meses: en junio de 2025 salió el responsable de Reparto (Gore-Coty) y se creó el puesto de presidente y COO; en mayo de 2026 salió la directora de personas [48, 49]. En el consejo, Wan Ling Martello no se presentó a la reelección en 2025 y entró Nikesh Arora [59, 60].</w:t>
      </w:r>
    </w:p>
    <w:p>
      <w:pPr>
        <w:pStyle w:val="ListParagraph"/>
        <w:numPr>
          <w:ilvl w:val="0"/>
          <w:numId w:val="2"/>
        </w:numPr>
        <w:spacing w:after="60"/>
      </w:pPr>
      <w:r>
        <w:t xml:space="preserve">Votos en contra relevantes: el «say-on-pay» de 2025 tuvo un 14,9 % en contra; en la junta de 2026, Nikesh Arora (consejero desde mayo de 2025 y presidente y CEO de Palo Alto Networks) tuvo un 20,3 % en contra y Ronald Sugar un 8,0 %; en 2024, David Trujillo tuvo un 43,6 % en contra y dejó el consejo tras la junta de 2026 [46, 50, 51, 52, 59].</w:t>
      </w:r>
    </w:p>
    <w:p>
      <w:pPr>
        <w:pStyle w:val="ListParagraph"/>
        <w:numPr>
          <w:ilvl w:val="0"/>
          <w:numId w:val="2"/>
        </w:numPr>
        <w:spacing w:after="60"/>
      </w:pPr>
      <w:r>
        <w:t xml:space="preserve">Posible conflicto: Uber tiene 37,75 M de acciones de clase A de Lucid (11,52 %, 13G de abril de 2026); Lucid está participada mayoritariamente por el PIF y la preside Turqi Alnowaiser, consejero de Uber [46, 61].</w:t>
      </w:r>
    </w:p>
    <w:p>
      <w:pPr>
        <w:pStyle w:val="ListParagraph"/>
        <w:numPr>
          <w:ilvl w:val="0"/>
          <w:numId w:val="2"/>
        </w:numPr>
        <w:spacing w:after="60"/>
      </w:pPr>
      <w:r>
        <w:t xml:space="preserve">Demanda de la FTC (abril de 2025), ampliada en diciembre de 2025 con 21 estados y el Distrito de Columbia, por cobros y bajas engañosos en la suscripción Uber One, en el Distrito Norte de California [66].</w:t>
      </w:r>
    </w:p>
    <w:p>
      <w:pPr>
        <w:pStyle w:val="ListParagraph"/>
        <w:numPr>
          <w:ilvl w:val="0"/>
          <w:numId w:val="2"/>
        </w:numPr>
        <w:spacing w:after="60"/>
      </w:pPr>
      <w:r>
        <w:t xml:space="preserve">Demanda del Departamento de Justicia de EE. UU. del 12 de septiembre de 2025 por discriminación a pasajeros con discapacidad (ADA); pide 125 M USD para los afectados [65].</w:t>
      </w:r>
    </w:p>
    <w:p>
      <w:pPr>
        <w:pStyle w:val="ListParagraph"/>
        <w:numPr>
          <w:ilvl w:val="0"/>
          <w:numId w:val="2"/>
        </w:numPr>
        <w:spacing w:after="60"/>
      </w:pPr>
      <w:r>
        <w:t xml:space="preserve">Litigio por agresiones sexuales: Uber perdió los dos primeros juicios piloto del procedimiento federal agrupado (8,5 M USD en febrero de 2026 y 5.000 USD en abril de 2026); hay más de 3.000 demandas pendientes [67].</w:t>
      </w:r>
    </w:p>
    <w:p>
      <w:pPr>
        <w:pStyle w:val="ListParagraph"/>
        <w:numPr>
          <w:ilvl w:val="0"/>
          <w:numId w:val="2"/>
        </w:numPr>
        <w:spacing w:after="60"/>
      </w:pPr>
      <w:r>
        <w:t xml:space="preserve">Contingencias fiscales y laborales: el HMRC reclama unos 1.800 M USD de IVA (marzo de 2022 a septiembre de 2024), ya pagados y recurridos; hay además reclamaciones de cotizaciones sociales en Suiza y Francia (URSSAF) y sigue el litigio del fiscal general de California por la clasificación de conductores [3].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3T26 (comunicado del 5-ago-2026) [4]: reservas brutas de 58.250-60.250 M USD (+18-22 % a tipo constante, con ~1 punto de efecto divisa en contra), BPA no GAAP de 0,84-0,88 USD (+28-35 %) y EBITDA ajustado de 2.860-2.960 M USD. Uber solo da guía trimestral, no anual ni a medio plazo. En el 2T26 las reservas brutas crecieron un 22 %, el EBITDA ajustado un 33 % (2.819 M; 4,9 % de las reservas) y el flujo de caja libre de los últimos doce meses superó los 10.000 M por primera vez [4]. Desde 2026 la medida de los segmentos es el «Segment Operating Income» y no el EBITDA ajustado, aunque este se sigue publicando [3, 4]. La OPA sobre Delivery Hero (cierre previsto en el 2S27) no está en la guía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50 analistas, 8-oct-2026 [78]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50 analistas, 8-oct-2026 [78]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8-oct-2026 [78]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66.773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 8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70,00 – 150,00</w:t>
            </w:r>
          </w:p>
        </w:tc>
      </w:tr>
    </w:tbl>
    <w:p>
      <w:pPr>
        <w:spacing w:after="160" w:before="0"/>
      </w:pPr>
    </w:p>
    <w:p>
      <w:pPr>
        <w:pStyle w:val="Heading2"/>
      </w:pPr>
      <w:r>
        <w:t xml:space="preserve">Revisiones de estimaciones</w:t>
      </w:r>
    </w:p>
    <w:p>
      <w:pPr>
        <w:spacing w:after="100"/>
      </w:pPr>
      <w:r>
        <w:t xml:space="preserve">Consenso al 23-26-oct-2026, casi idéntico al del 8-oct: MarketScreener [78] da ingresos de 57.884, 66.790 y 76.340 M USD y BPA no GAAP de 3,18, 4,54 y 5,81 USD para 2026e-2028e (8-oct: 3,18, 4,54 y 5,80); Stock Analysis [80] mantiene 50 analistas, objetivo medio de 100,86 USD (mediana 100,50; rango 70-150) y 41 compras, 8 mantener y 1 venta (en mayo eran 46 compras de 53). Ingresos de 2026e iguales en las dos fuentes; BPA de 2026e de 3,36 en Stock Analysis frente a 3,18 en MarketScreener. Octubre sin cambios de recomendación: Guggenheim (125 USD, 16-oct), TD Cowen (118) y RBC (105) el 21-oct, KeyBanc (105) y Bernstein (95) el 26-oct reiteran compra [80]. No hay series gratuitas de revisiones a 3 y 12 meses: la información es de una sola fuente con estimaciones completas.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bl>
    <w:p>
      <w:pPr>
        <w:spacing w:after="160" w:before="0"/>
      </w:pPr>
    </w:p>
    <w:p>
      <w:pPr>
        <w:spacing w:after="100"/>
      </w:pPr>
      <w:r>
        <w:t xml:space="preserve">La acción pierde un 31,1 % en un año y un 19,5 % en 2026, frente a +13,2 % y +13,7 % del S&amp;P 500 (con dividendos) [68]. El máximo fue de 100,35 USD el 3-nov-2025 y el mínimo de 65,41 USD el 27-jul-2026; el 27-oct cerró a 65,78, en mínimos de 52 semanas y un 10,7 % bajo la media de 200 sesiones. Las mayores caídas coinciden con los resultados (−5,1 % el 4-nov-2025 y el 4-feb-2026; −5,3 % el 5-ago-2026), aunque Uber cumplió o superó su guía en todos los trimestres [4, 15, 16, 17]: lo que cayó fue el múltiplo, no las cifras. El motivo es el coche autónomo: Waymo pasó a 15 ciudades y más de 500.000 viajes semanales, y Tesla presentó el Cybercab en septiembre [32, 34, 35, 112]. En la otra dirección, el primer ejecutivo y el presidente compraron 15,3 M USD de acciones en septiembre de 2026 y no ha habido ventas relevantes de directivos después [62, 113]. La posición corta es baja (2,24 % de las acciones) [98] y el capital flotante ronda el 96 %.</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 / -7,6 % / -11,2 % / -30,1 %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-34,0 % / 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20-nov-2025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hecho propio: la mayor caída diaria desde abril, dos semanas después de unos resultados del 3T25 por encima de lo esperado, en plena venta del sector tecnológico y con el temor a los robotaxis y a la regulación europea [114].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regulatoria europea sobre las plataformas de VTC y temor al coche autónomo; sin cambio de guía [114].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4-nov-2025, 4-feb-2026 y 5-ago-2026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Días de resultados (−5,1 %, −5,1 % y −5,3 %): Uber cumplió o superó la guía, pero la del trimestre siguiente decepcionó a un mercado que pedía más [4, 15, 16, 17, 111].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desde el mínimo del 24-jul (65,94) hasta 80,35 USD el 25-ago: flujo libre récord y reservas brutas +22 % en el 2T26 (+6,5 % el 7-ago) y la acogida de la OPA sobre Delivery Hero [8, 111].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25-ago al 24-sep (80,35 → 69,22 USD): presentación del Cybercab de Tesla y su autorización en Eslovenia (−4 % el 8-sep), y miedo a la desintermediación [112].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antes de la apertura; guía de reservas brutas de 58.250-60.250 M USD y EBITDA ajustado de 2.860-2.960 M [4, 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plazo de aceptación de la OPA sobre Delivery Hero (41,50 EUR por acción); con Prosus, Uber ya supera el umbral del 50 % más una acción en términos económicos. La liquidación espera a las autorizaciones de competencia (2S27) y no hay un hecho con fecha que pueda mover el precio de Uber más de un 5 % [106, 107].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Instacart estudia venderse tras conversaciones con DoorDash y Uber; según una segunda información, Uber se retiró. Uber cayó un 3,43 % ese día, también por los incentivos a conductores antes de la temporada alta [109, 110].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tribunal británico desestima la demanda colectiva de los taxistas de Londres contra Uber [101].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autoridad neerlandesa de protección de datos multa a Uber con 824,99 M EUR por suspender cuentas de conductores de forma automática; recurrida y ya en el puente (+920 M USD)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ezCater por 2.300 M USD en efectivo (más de 2.500 M de reservas brutas en 12 meses, rentable en resultado operativo no GAAP); cierre en los próximos meses [108].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rebajas en octubre: Guggenheim (125 USD), TD Cowen (118), RBC (105), KeyBanc (105) y Bernstein (95) reiteran compra; 41 de 50 analistas recomiendan comprar, frente a 46 de 53 en mayo [80].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primer ejecutivo compra 141.000 acciones (10,0 M USD a 70,96) y el presidente 70.000 (5,3 M USD a 75,65-76,44) el 4-sep; la única venta posterior es de 2,0 M USD de la directora jurídica (11-sep) [113].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mínimos de 52 semanas (65,78 USD), con tendencia bajista y un 34 % por debajo del máximo de noviembre de 2025. La caída no tiene un hecho de negocio detrás: el consenso de BPA no ha cambiado en octubre, nadie ha rebajado la recomendación y la dirección compró en septiembre. Lo que pesa es el miedo al coche autónomo (Cybercab, Waymo) y, en octubre, la especulación sobre Instacart y los incentivos a conductores. El único hecho pendiente con fecha son los resultados del 4-nov, que por la regla 11 no retrasan; la OPA sobre Delivery Hero no tiene un hito que pueda mover el precio más de un 5 % antes de 2027.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Solo hay tres años con EBITDA positivo (2023-2025); 2021 y 2022 se excluyen [1, 68]. Sobre esos años, Uber cotiza a 17,5 veces el EBITDA contable de los últimos 12 meses, frente a una media de 37,4: un descuento que no es una oportunidad por sí mismo, porque en 2023 el EBITDA estaba empezando y el múltiplo era de 63,9 veces. El PER de los últimos 12 meses no sirve: el beneficio de 2024 y 2025 lleva 6.400 y 5.000 M USD de liberaciones fiscales [1]. Lo estructural es el cambio de percepción: desde noviembre de 2025 la acción ha caído un 34 % mientras el EBITDA ajustado de los últimos doce meses subía un 15 %, por el miedo al coche autónomo [4, 68].</w:t>
      </w:r>
    </w:p>
    <w:p>
      <w:pPr>
        <w:pStyle w:val="Heading1"/>
      </w:pPr>
      <w:r>
        <w:t xml:space="preserve">18. Comparables cotizados</w:t>
      </w:r>
    </w:p>
    <w:p>
      <w:pPr>
        <w:pStyle w:val="Confianza"/>
        <w:spacing w:after="100"/>
      </w:pPr>
      <w:r>
        <w:t xml:space="preserve">Confianza: Media</w:t>
      </w:r>
    </w:p>
    <w:p>
      <w:pPr>
        <w:spacing w:after="100"/>
      </w:pPr>
      <w:r>
        <w:t xml:space="preserve">Plataformas de dos lados de movilidad y reparto (Lyft, DoorDash, Instacart, Grab) y dos plataformas de consumo maduras y muy rentables como referencia de múltiplo (Airbnb y Booking). Fuera: Delivery Hero (cotiza ligada a la OPA de Uber), Meituan (pérdidas en 2026e por la guerra de precios en China), Didi (sin estimaciones gratuitas) y Bolt (no cotiza). Cifras de MarketScreener a 8-oct-2026 llevadas al cierre del 27-oct con la variación de la cotización (Instacart, al 22-oct, antes de la noticia de su posible venta) [68, 81, 82, 83, 84, 85, 86]. Para medir lo mismo que en Uber, el EBITDA de cada comparable se pasa a «después de remuneración en acciones» restando su gasto de 2025 en % de ventas (Lyft 5,1 %, DoorDash 7,7 %, Instacart 9,4 %, Grab 7,2 %, Airbnb 13,0 % y Booking 2,3 %) [18, 19, 20, 21, 103, 104].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DoorDash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Instacart (Maplebear)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SG</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Airbnb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Booking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112.813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14,4x / 21,4x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 / 24,1x / 29,4x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 / 19,1x / 26,0x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3,5x / 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9,1 + 0,46 × crecimiento; R² = 0,23. El crecimiento explica poco los múltiplos de estos comparables (R² &lt; 0,3): la regresión no se usa en la valoración.</w:t>
      </w:r>
    </w:p>
    <w:p>
      <w:pPr>
        <w:spacing w:after="100"/>
      </w:pPr>
      <w:r>
        <w:t xml:space="preserve">Con el mismo criterio, Uber cotiza a 12,8 veces el EBITDA de los próximos 12 meses frente a una mediana de 14,5 veces, y a 15,3 veces el beneficio frente a 19,1. Aplicadas a Uber, esas medianas dan 74,20 y 82,16 USD. El descuento se explica por el riesgo del coche autónomo, que no tienen DoorDash ni Instacart, y no por el crecimiento (13 % de ingresos frente a 12-24 %) ni por el ROIC (19,9 %). La muestra es frágil: quitar una sola empresa mueve mucho la mediana; Lyft es el comparable más directo, pero cotiza a 12 veces porque es cuatro veces más pequeña en EE. UU. y no tiene reparto. Usamos el EV/EBITDA de los próximos 12 meses y el PER, con un 15 % de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Delivery Hero (perímetro de 50 mercados)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del múltiplo: 14.800 M USD por las acciones al 100 % (41,50 EUR × 314 M acciones diluidas, a 1,14) + 4.200 M de deuda neta y otras partidas del puente − 1.600 M que paga SSW Partners por los 14 mercados que no compra Uber = 17.400 M, sobre 1.100 M USD de EBITDA ajustado de 2025 del perímetro (criterio US GAAP de Uber) [87, 88]. Uber lo presenta como ~8x el EBITDA ajustado de 2027e con más de 1.200 M de sinergias [88]. Prima del 8,7 % sobre el cierre del 15-jul-2026 (38,18 EUR) [68].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Just Eat Takeaway.com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Prosus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efectivo a 20,30 EUR/acción, ≈ 4.100 M EUR por el 100 % del capital [95]; valor empresa 4.486 M EUR = capital + deuda financiera 1.341 + arrendamientos 222 − caja 1.177 a 31-dic-2024 [96]; múltiplos sobre ingresos 2024 sin Grubhub de 3.552 M EUR y EBITDA ajustado sin Grubhub de 313 M EUR [97]; prima sobre el cierre del 21-feb-2025; 1 EUR = 1,0466 USD (BCE, 24-feb-2025) [90].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Deliveroo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DoorDash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efectivo a 180 p/acción; capital ≈ 2.900 M GBP y valor empresa ≈ 2.400 M GBP según la nota de DoorDash, sobre ingresos 2024 ≈ 2.000 M GBP y EBITDA ajustado ≈ 140 M GBP (cifras redondeadas por la propia nota) [89]; prima sobre el cierre no afectado del 4-abr-2025 [89]; 1 GBP = 1,3372 USD (cruce BCE, 6-may-2025) [90].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Grubhub</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Wonder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JET por un valor empresa de 650 M USD (611 M EUR a 1,0629, BCE 13-nov-2024) [90, 96]; estimación propia de ingresos 2024 de Grubhub ≈ 1.533 M EUR y EBITDA ajustado ≈ 147 M EUR, por diferencia entre el grupo JET y JET sin Grubhub [96, 97]; excluida: desinversión forzada tras 1.002 M EUR de deterioros, no compra de control comparable.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DoorDash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en acciones (39,4 M acciones de DoorDash), valorada en ≈ 7.000 M EUR al anuncio [91, 92]; al cierre (may-2022) la contraprestación valía 2.838 M USD por la caída de DoorDash [93]; 1 EUR = 1,1577 USD (BCE, 9-nov-2021) [90]; sin ingresos ni EBITDA publicados de Wolt para el ejercicio anterior.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Postmates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en acciones: 70 M acciones de Uber; valor razonable de la contraprestación al cierre (1-dic-2020) de 3.902 M USD, incluidos 308 M de remuneración en acciones asumida [2]; Uber no publica ingresos de Postmates.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Careem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activos: 1.326 M USD en efectivo y 1.634 M en pagarés convertibles sin interés (valor razonable), 3.003 M USD en total al cierre del 2-ene-2020 [2]; ingresos de Careem no significativos según Uber.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Transplace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en efectivo; valor razonable de la contraprestación 2.300 M USD al cierre del 12-nov-2021 [2]; Uber solo da ingresos pro forma combinados, no los de Transplace.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Trendyol GO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85 % por 694 M USD en efectivo (cierre 17-jun-2025) [1]; estimación propia del 100 %: 694 / 0,85 = 816 M USD; ingresos aportados «no significativos» según Uber.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FreeNow</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175 M EUR en efectivo a BMW y Mercedes-Benz Mobility (197 M USD al tipo de la firma, según Lyft) [94]; sin ingresos ni EBITDA publicados.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Foodpanda Taiwán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950 M USD en efectivo, libre de caja y deuda; la autoridad de competencia de Taiwán la prohibió en ene-2025 y Uber pagó 236 M de penalización [1]. Sin múltiplo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Getir (reparto de comida y minoritaria en supermercado)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465 M USD en efectivo, cerrada el 1-jul-2026 [3]. Sin múltiplo publicado.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 (15,1x – 16,5x)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56,75 – 61,92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Pocas operaciones del sector tienen múltiplo sobre EBITDA, porque casi todos los objetivos perdían dinero (Wolt, FreeNow, Postmates, Careem). Las que lo tienen se pagaron a 14-17 veces el EBITDA ajustado del año anterior, con primas de control del 44-63 % y antes de sinergias: Just Eat Takeaway, comprada por Prosus, a 14,3 veces; Deliveroo, por DoorDash, a 17,1 veces; y la OPA de Uber sobre Delivery Hero, a unas 15,8 veces (estimación propia) [87, 88, 89, 95, 96, 97]. Uber cotiza a 12,8 veces su EBITDA contable de los próximos 12 meses: el sector se compra más caro de lo que el mercado paga por Uber. Uber es más un comprador que un objetivo: con 134.612 M USD de capitalización y sin accionista de control, el riesgo para el accionista está en lo que paga. Delivery Hero es la mayor compra de su historia: 41,50 EUR por acción, unos 14.800 M USD por el 100 %, cierre previsto en el 2S27 y financiada con deuda [8, 87].</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contables, no reservas brutas. 2026e (+11,3 %, fijo) replica el consenso de 57.889 M USD [78]: el 1S26 creció un 13 % pese a que el cambio de modelo en el Reino Unido resta 8 puntos [3, 4], y la guía del 3T26 da reservas brutas +18-22 % [4]. 2027e (+14,5 %) y 2028e (+13,5 %) quedan 0,8-1,0 puntos por debajo del consenso (+15,3 % y +14,3 %) porque descontamos algo de presión de los coches autónomos en las grandes ciudades de EE. UU. Después el crecimiento baja un punto y medio al año hasta el 4 % de 2035e. La referencia es la historia: reservas brutas +21 % en 2024 y +20 % en 2025 [16, 53], con un mercado mundial de VTC que crece en torno a un 10 % anual según GMI [29].</w:t>
      </w:r>
    </w:p>
    <w:p>
      <w:pPr>
        <w:keepNext/>
        <w:spacing w:after="100"/>
      </w:pPr>
      <w:r>
        <w:rPr>
          <w:b/>
          <w:bCs/>
        </w:rPr>
        <w:t xml:space="preserve">Márgenes.</w:t>
      </w:r>
    </w:p>
    <w:p>
      <w:pPr>
        <w:spacing w:after="100"/>
      </w:pPr>
      <w:r>
        <w:t xml:space="preserve">Margen EBITDA contable, después de la remuneración en acciones (3,5 % de los ingresos en 2025) y de las reservas legales y regulatorias, que se repiten todos los años (564 M USD en 2025) [1]. Sube del 15,2 % de 2026e (1S26: 15,6 % con el mismo criterio [4]) al 18 % desde 2031e. Es lo que descuenta el consenso: su EBITDA ajustado de 2026e-2028e, menos el 4,7 % de los ingresos que Uber excluye (cifra de 2025 y de los últimos doce meses), da un 15,0 %, un 16,0 % y un 16,9 % [78]. El 18 % final queda por debajo del margen de Mobility (26,6 % de EBITDA ajustado en 2025) y de Delivery (20,7 %) porque los costes de plataforma y la remuneración en acciones se los comen [1].</w:t>
      </w:r>
    </w:p>
    <w:p>
      <w:pPr>
        <w:keepNext/>
        <w:spacing w:after="100"/>
      </w:pPr>
      <w:r>
        <w:rPr>
          <w:b/>
          <w:bCs/>
        </w:rPr>
        <w:t xml:space="preserve">Inversión y circulante.</w:t>
      </w:r>
    </w:p>
    <w:p>
      <w:pPr>
        <w:spacing w:after="100"/>
      </w:pPr>
      <w:r>
        <w:t xml:space="preserve">Capex del 1,0 % de los ingresos en 2026e, que sube al 1,6-1,8 % en 2027e-2030e por la inversión en flotas autónomas (el 10-K recoge el compromiso de comprar al menos 20.000 vehículos Lucid con el sistema de Nuro) [1] y vuelve al 1,5 %, igual que la amortización, en 2035e. Históricamente es del 0,6 % [1]. Circulante comercial del 5,4 % de las ventas, el de 2025. El DCF no cuenta como caja el aumento de las reservas de seguros (+830 M USD en 1S26), que Uber sí suma a su flujo libre pero que inmoviliza en inversiones restringidas [1, 4]. Tipo impositivo del 14 % en 2026e que sube al 23 % en 2031e: Uber pagó 345 M USD de impuestos en 2025 y conserva 4.100 M de bases negativas federales, 20.300 M en el extranjero y 2.000 M de créditos de I+D [1].</w:t>
      </w:r>
    </w:p>
    <w:p>
      <w:pPr>
        <w:keepNext/>
        <w:spacing w:after="100"/>
      </w:pPr>
      <w:r>
        <w:rPr>
          <w:b/>
          <w:bCs/>
        </w:rPr>
        <w:t xml:space="preserve">Coste del capital.</w:t>
      </w:r>
    </w:p>
    <w:p>
      <w:pPr>
        <w:spacing w:after="100"/>
      </w:pPr>
      <w:r>
        <w:t xml:space="preserve">Tasa libre: bono a 10 años de EE. UU. al 4,99 % (Tesoro de EE. UU., curva diaria del 27-oct-2026; el 7-oct estaba al 5,28 %) [105]. Beta de 1,21: la ajustada, mensual a 5 años, frente al S&amp;P 500 (SPY). Contraste [68]: frente al Nasdaq 100 sale 0,99, frente a consumo discrecional (XLY) 0,99 y frente a transporte (IYT) 1,11. Se elige el S&amp;P 500 porque la prima de riesgo se mide sobre ese índice; contra índices que ya tienen beta alta, la de Uber sale artificialmente baja. La semanal de 2 años es menor (1,18 frente al S&amp;P), y el riesgo de esa elección se ve en la sensibilidad. Prima de mercado del 5 %, sin prima adicional. Coste de la deuda del 6,1 % (tasa libre más el diferencial de 107 pb del bono en euros a 2034) [11]; rating Baa1/BBB+/A- [11]. Peso de la deuda del 10 % a valor de mercado, entre el 8,4 % de junio y el 11,4 % con los bonos de septiembre [3, 73]. WACC del ${K.wacc} %.</w:t>
      </w:r>
    </w:p>
    <w:p>
      <w:pPr>
        <w:keepNext/>
        <w:spacing w:after="100"/>
      </w:pPr>
      <w:r>
        <w:rPr>
          <w:b/>
          <w:bCs/>
        </w:rPr>
        <w:t xml:space="preserve">Valor terminal.</w:t>
      </w:r>
    </w:p>
    <w:p>
      <w:pPr>
        <w:spacing w:after="100"/>
      </w:pPr>
      <w:r>
        <w:t xml:space="preserve">Crecimiento a perpetuidad del 3,0 % en USD, Gordon: por debajo del nominal de EE. UU. a largo plazo y entre la inflación esperada y la tasa libre menos medio punto (4,49 %). Implica salir a 9,7 veces el EBITDA de 2035e, por debajo de las 12,8 veces a las que cotiza hoy sobre los próximos 12 meses: el valor terminal no supone que el múltiplo actual se mantenga. Pesa el 57 %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126.295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 M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(reinvierte el 16 %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 (histórico: 65,3 %)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 frente al 9,3 %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5.039 M, el 4 % del NOPAT, con un capex bruto medio del 1,6 % de las ventas). En un negocio de activos ligeros, el crecimiento medio del 9,3 %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+22 % a tipo constante en el 2T26 y guía del 18-22 % en el 3T26; los ingresos crecen menos por el paso a agente en parte del Reino Unido (−2.100 M en el 1S26) y la divisa (reparto entre volumen y precio, estimación propia) [3,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Viajes y consumidores activos al alza (208 millones en el 2T26) y Uber One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consenso da +14,3 % en 2028e [78].</w:t>
            </w:r>
          </w:p>
        </w:tc>
      </w:tr>
    </w:tbl>
    <w:p>
      <w:pPr>
        <w:spacing w:after="160" w:before="0"/>
      </w:pPr>
    </w:p>
    <w:p>
      <w:pPr>
        <w:spacing w:after="100"/>
      </w:pPr>
      <w:r>
        <w:t xml:space="preserve">Sí para el caso base: es una plataforma de activos ligeros (capex del 1,6 % de las ventas) que crece por volumen, con el 51,5 % del mercado mundial de VTC y reservas brutas que crecen al 18-22 % [4, 29]. El efecto red (más conductores, esperas más cortas) y Uber One sostienen el volumen. La duda no es la calidad sino el coche autónomo: si Waymo y Tesla operan con aplicación propia, el volumen de las grandes ciudades deja de ser de Uber, y eso es el bajista, no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(base: 9,1 %)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15,6 % (base: 18,0 %)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 (WACC: 10,4 %)</w:t>
            </w:r>
          </w:p>
        </w:tc>
      </w:tr>
    </w:tbl>
    <w:p>
      <w:pPr>
        <w:spacing w:after="160" w:before="0"/>
      </w:pPr>
    </w:p>
    <w:p>
      <w:pPr>
        <w:spacing w:after="100"/>
      </w:pPr>
      <w:r>
        <w:t xml:space="preserve">El DCF vale 77,41 USD por acción, un 17,7 % sobre el precio de 65,78, con un valor terminal que pesa el 57 %. El DCF inverso dice que el precio descuenta un crecimiento de los ingresos del 6,4 % anual en 2027e-2035e, frente al 9,1 % de nuestra base, con el mismo margen final; o una rentabilidad implícita del 11,7 %, por encima de nuestro WACC del 10,40 %. No es exigente: en 2025 los ingresos crecieron un 18,3 % y las reservas brutas un 20 % [1], y nuestra base coincide con el consenso a ±2 % en ingresos y EBITDA hasta 2028. El precio ya incorpora una desaceleración más rápida de la que vemos, que es la forma en que el mercado descuenta el riesgo del coche autónomo. Con la prima de riesgo que hoy pide el mercado (4,2 %, WACC del 9,53 %), el DCF sube a 88,10 USD. La sensibilidad muestra dónde está el riesgo: dos puntos menos de margen en todos los años bajan el valor a 67,83 USD, y medio punto más de WACC a 72,36.</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Waymo y Tesla escalan con su propia aplicación en las 20 mayores ciudades de EE. UU. entre 2027 y 2030, y Uber tiene que ceder precio y comisión para retener a los usuarios. Los ingresos crecen 4 puntos menos cada año (5,1 % de media) y el margen EBITDA se queda 3,5 puntos por debajo (14,5 % al final), con un WACC medio punto mayor. Precedente: Lyft perdió cuota y margen frente a Uber en 2020-2022, y la acción de Uber cayó un 41 % en 2022 [68].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hasta 2028 con un punto menos de crecimiento en 2027-2028: reservas brutas que crecen al 15-20 % y se frenan con el tamaño, coches autónomos que se integran en la red de Uber como un proveedor más de oferta y margen EBITDA contable del 18 % desde 2031.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se convierte en la red de demanda de los coches autónomos: más de 30 socios y la cuota de San Francisco y Los Ángeles al alza aun con Waymo presente [22]. Los ingresos crecen 2 puntos más cada año, el margen sube 1,5 puntos por la menor cuota del conductor y el seguro, y el WACC baja un cuarto de punto.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65,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74,93 USD (+13,9 %).</w:t>
      </w:r>
    </w:p>
    <w:p>
      <w:pPr>
        <w:spacing w:after="100"/>
      </w:pPr>
      <w:r>
        <w:t xml:space="preserve">Con nuestro WACC, el alcista vale 101,48 USD (54,3 %) y el bajista 43,43 USD (−34,0 %): la asimetría es de 1,60 veces, sin ventaja. El valor ponderado (74,93 USD) apenas supera al precio. El bajista pesa tanto porque el coche autónomo ataca a la vez crecimiento y margen; y no es cosmético: es lo que el mercado ya teme y explica la caída del 31 % en un año [68]. Con la prima de riesgo del mercado, el alcista sube a 117,01 USD y el bajista a 48,33, y la asimetría pasa a 2,94 veces. A 12 meses manda otra cuenta (BPA × PER de la regla común), que se detalla en la valoración.</w:t>
      </w:r>
    </w:p>
    <w:p>
      <w:pPr>
        <w:pStyle w:val="Heading1"/>
      </w:pPr>
      <w:r>
        <w:t xml:space="preserve">22. Suma de partes</w:t>
      </w:r>
    </w:p>
    <w:p>
      <w:pPr>
        <w:pStyle w:val="Confianza"/>
        <w:spacing w:after="100"/>
      </w:pPr>
      <w:r>
        <w:t xml:space="preserve">Confianza: Media</w:t>
      </w:r>
    </w:p>
    <w:p>
      <w:pPr>
        <w:spacing w:after="100"/>
      </w:pPr>
      <w:r>
        <w:t xml:space="preserve">La suma de partes da 135.792 M USD de valor empresa y 67,53 USD por acción, un 2,7 % frente al precio: el mercado paga por cada negocio lo mismo que paga por sus comparables. Mobility aporta el 81 % del valor neto de costes centrales. Es una lectura sobre 2025, nueve meses atrás, con un EBITDA ajustado que ha crecido un 15 % desde entonces (10.043 M USD en los doce meses a junio) [4]: por eso pesa solo un 15 %.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110.586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segmento de 2025 [1]. 14 veces: entre Booking (11,4 veces el EBITDA ajustado de los últimos 12 meses), plataforma madura de consumo, y Grab (18,1 veces), que crece un 24 % [84, 86]; por encima de Lyft (8,2 veces), que tiene una cuarta parte de la escala y un margen tres veces menor [81]. Mobility crece un 17 % en reservas brutas y tiene un margen del 26,6 % sobre ingresos.</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segmento de 2025 [1]. 18 veces: entre DoorDash (24,5 veces), líder de EE. UU. con un crecimiento del 24 %, e Instacart (8,2 veces), que crece la mitad [82, 83]. Delivery crece un 22 % en reservas brutas y su margen pasó del 4,5 % al 20,7 % de los ingresos entre 2022 y 2025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Freight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2025 (0,3x)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Pierde dinero desde 2023 (EBITDA ajustado de −33 M USD en 2025) [1]: se valora por ingresos, a 0,3 veces, la mitad de lo que se suele pagar por un intermediario rentable de cargas (estimación propia). Pesa el 1 % del valor.</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plataforma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generales corporativos e I+D de plataforma no asignados a los segmentos (2.708 M USD en 2025) [1], capitalizados al múltiplo medio ponderado de Mobility y Delivery (15 veces). Los comparables sí los tienen dentro de su EBITDA. La remuneración en acciones no se resta aparte porque los múltiplos de los comparables también son sobre EBITDA ajustado.</w:t>
            </w:r>
          </w:p>
        </w:tc>
      </w:tr>
    </w:tbl>
    <w:p>
      <w:pPr>
        <w:spacing w:after="160" w:before="0"/>
      </w:pPr>
    </w:p>
    <w:p>
      <w:pPr>
        <w:spacing w:after="100"/>
      </w:pPr>
      <w:r>
        <w:rPr>
          <w:b/>
          <w:bCs/>
        </w:rPr>
        <w:t xml:space="preserve">Valor por acción por suma de partes:</w:t>
      </w:r>
      <w:r>
        <w:t xml:space="preserve"> 67,53 (+2,7 %); con ±1x en los múltiplos, 57,58 – 77,49.</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65,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75,30 USD (+14,5 % sobre 65,78).</w:t>
      </w:r>
    </w:p>
    <w:p>
      <w:pPr>
        <w:spacing w:after="100"/>
      </w:pPr>
      <w:r>
        <w:t xml:space="preserve">Puente a 30-jun-2026 [3]: deuda financiera de 12.723 M USD (préstamo a plazo de 2.000 M, convertible de 2028 de 1.725 M, canjeable en acciones de Aurora de 1.324 M y bonos de 7.750 M), 222 M de arrendamientos financieros (los operativos no van, por US GAAP) y 5.391 M de caja no restringida; los 11.793 M de caja e inversiones restringidas respaldan las reservas de seguros y no cuentan [3]. Minoritarios a valor contable (1.083 M). Las participaciones van a mercado al cierre del 27-oct (11.776 M; 12.357 M a 7-oct): Delivery Hero y su derivado 4.659 M (37,30 EUR por acción y 1,1150 USD/EUR), Didi 1.781 M, Grab 1.458 M, Aurora 804 M, otras cotizadas 801 M y no cotizadas y en equivalencia a valor contable 2.273 M; el número de acciones es el del 13F y del 13D/A [3, 68, 69, 71, 76]. Sus revalorizaciones pasan por «otros ingresos» y explican el ruido del beneficio neto (+1.612 M en el 2T26). Otros ajustes (+731 M): Getir pagada en julio (+465 M), venta de acciones de Aurora en agosto y septiembre (−654 M) y la multa neerlandesa de 824,99 M EUR (+920 M a 1,1150), recurrida pero sin provisión publicada [3, 41, 70, 71, 76]. La compra de ezCater (2.300 M USD en efectivo, anunciada el 6-oct, sin cerrar) no va al puente: se paga caja por un negocio que entra con su beneficio [108]. Pesos: DCF 40 %, escenarios 30 % (el coche autónomo es un riesgo de dos caras), comparables 15 % y suma de partes 15 %; las transacciones no pesan: casi todas son de empresas con pérdidas y llevan prima de control.</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116,84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+77,6 %</w:t>
            </w:r>
          </w:p>
        </w:tc>
      </w:tr>
    </w:tbl>
    <w:p>
      <w:pPr>
        <w:spacing w:after="160" w:before="0"/>
      </w:pPr>
    </w:p>
    <w:p>
      <w:pPr>
        <w:spacing w:after="100"/>
      </w:pPr>
      <w:r>
        <w:rPr>
          <w:b/>
          <w:bCs/>
        </w:rPr>
        <w:t xml:space="preserve">Objetivo a 12 meses (ponderado):</w:t>
      </w:r>
      <w:r>
        <w:t xml:space="preserve"> 79,93 USD · rentabilidad +21,5 % (base +19,0 %) · señal Comprar.</w:t>
      </w:r>
    </w:p>
    <w:p>
      <w:pPr>
        <w:spacing w:after="100"/>
      </w:pPr>
      <w:r>
        <w:t xml:space="preserve">Para comparar, con la regla v2 (historia al cierre, mismo precio): 15,5x / 18,2x / 23,7x, 21,5 % Comprar; con el tope anterior del base (×1,3, 14-oct mediodía): 49,0 % Comprar; con la v3 sin el selector (tope ×1,1): 34,1 % Comprar. Decide la v2, elegida por el selector de método (historia adelantada de 3 años: decide la más baja de v3 y v2 (v2); METODO-VIGENTE.md).</w:t>
      </w:r>
    </w:p>
    <w:p>
      <w:pPr>
        <w:keepNext/>
        <w:spacing w:after="100"/>
      </w:pPr>
      <w:r>
        <w:rPr>
          <w:b/>
          <w:bCs/>
        </w:rPr>
        <w:t xml:space="preserve">Frente al consenso (solo contraste).</w:t>
      </w:r>
    </w:p>
    <w:p>
      <w:pPr>
        <w:spacing w:after="100"/>
      </w:pPr>
      <w:r>
        <w:t xml:space="preserve">Nuestro BPA base de 2028e (4,30 USD) queda un 26 % por debajo del consenso (5,81) y nuestro precio base (78,26) un 22,4 % por debajo del objetivo medio de los analistas (100,86) [78, 80]. Las ventas casi coinciden (75.239 M frente a 76.340 M); la diferencia es de base: el BPA del consenso es no GAAP (sin remuneración en acciones, 3,5 % de las ventas) y cuenta los ingresos de la caja, y nosotros restamos 800 M de intereses sin ingresos porque la caja se va a Delivery Hero. No acercamos la cifra: la historia del PER está en la misma base que nuestros escenarios.</w:t>
      </w:r>
    </w:p>
    <w:p>
      <w:pPr>
        <w:keepNext/>
        <w:spacing w:after="100"/>
      </w:pPr>
      <w:r>
        <w:rPr>
          <w:b/>
          <w:bCs/>
        </w:rPr>
        <w:t xml:space="preserve">Del valor intrínseco al objetivo a 12 meses.</w:t>
      </w:r>
    </w:p>
    <w:p>
      <w:pPr>
        <w:spacing w:after="100"/>
      </w:pPr>
      <w:r>
        <w:t xml:space="preserve">El valor intrínseco (75,30 USD) queda un 5,8 % por debajo del objetivo a 12 meses ponderado (79,93 USD; +21,5 %, base +19,0 %): la distancia es pequeña y las dos lecturas apuntan por encima del precio. El objetivo a 12 meses solo pide que el BPA ajustado crezca de 3,62 USD en 2027e a 4,30 en 2028e al PER de hoy (18,2 veces); el catalizador con fecha son los resultados del 3T26 (4-nov-2026).</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 el 4-nov-2026, antes de la apertura, con conferencia a las 5:00 (hora del Pacífico) [99]. Guía de reservas brutas de 58.250-60.250 M USD (+18-22 %) y EBITDA ajustado de 2.860-2.960 M [4]; primera lectura del efecto de los coches autónomos en San Francisco y Los Ángeles.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plazo de aceptación de la OPA sobre Delivery Hero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Umbral mínimo del 50 % más una acción; Uber ya suma más del 53 % económico con el compromiso de Prosus (16,68 %). Liquidación, en el 2S27, tras las autorizaciones de competencia [106, 107].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ezCater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2.300 M USD en efectivo por la mayor plataforma de catering de empresa de EE. UU. (más de 2.500 M de reservas brutas en 12 meses, creciendo en torno al 18 %, rentable en resultado operativo no GAAP) [108].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plazo de transposición de la directiva europea de trabajo en plataformas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Presunción de laboralidad; a 29-sep solo Eslovaquia la había transpuesto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préstamo a plazo de 2.000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con la caja de los bonos en euros o con pagarés; prueba del apalancamiento antes de Delivery Hero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Juicios piloto del litigio federal por agresiones sexuales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3.000 demandas pendientes; Uber perdió los dos primeros (8,5 M USD y 5.000 USD)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Expansión de Waymo y Tesla sin conductor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Waymo apunta al millón de viajes semanales a fin de 2026 y acaba de cerrar 5.000 M USD de deuda [32, 34]; cada ciudad nueva con aplicación propia es una prueba para la cuota de Uber.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OPA sobre Delivery Hero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41,50 EUR por acción, unos 14.800 M USD por el 100 %; Uber promete más de 1.200 M de sinergias y lo presenta como 8 veces el EBITDA ajustado de 2027e [87, 88]. Sube la deuda y el riesgo de integración.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Quedaban 19.200 M USD de programa a dic-2025; bajaron a 510 M en el 2T26 por Delivery Hero y la dirección dice que volverán a subir [1,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el coche autónomo (Waymo, Tesla)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−34,0 % en el escenario bajista (43,43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 socios autónomos y cuota al alza en San Francisco y Los Ángeles aun con Waymo [22]; Waymo es socio en Austin y Atlanta.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Uber en las ciudades con Waymo o Tesla propios; crecimiento de viajes de Mobility en EE. UU. por debajo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margen por precio o por regulación laboral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con dos puntos menos de margen en todos los años (67,83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Proposición 22 en California y acuerdo de 2024 en Massachusetts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Leyes de transposición de la directiva europea; resultado de la negociación del sindicato de Massachusetts (mayo de 2026 más seis meses) [37, 38].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Delivery Hero cara o mal integrada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−4 % si se pagan 3.000-6.000 M USD de más por el resto, unos 9.300 M a 15,8 veces el EBITDA de 2025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tiene un 37 % económico pagado más barato y Prosus acude con su 17 %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Condiciones de competencia en la autorización; deuda neta sobre EBITDA ajustado por encima de 2 veces tras el cierre.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agresiones sexuales, FTC por Uber One, Departamento de Justicia, multas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a −3 %: la multa neerlandesa de 825 M EUR ya está en el puente (0,45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legales recurrentes de 0,5-1,1 miles de M USD al año ya dentro del EBITDA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juicios piloto; reservas legales por encima de 1.200 M USD en un año [41, 67].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Seguros de responsabilidad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con un punto menos de margen en todos los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Reformas legales en varios estados y renovaciones más baratas en 2026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de seguros (13.286 M USD en junio) creciendo más que las reservas brutas de Mobility [3].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tasa libre al 4,99 %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con medio punto más de WACC (72,36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casi toda a tipo fijo y rating con perspectiva positiva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de EE. UU.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por remuneración en acciones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restada en el DCF (3,5 % de los ingresos)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se recompraron 80,0 millones de acciones frente a 37,8 millones emitidas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en circulación al alza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IVA británico y cambio de modelo en el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 si se pierde el recurso por los 1.800 M USD pagados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 pagados; están como cuenta a cobrar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Resolución del tribunal fiscal británico.</w:t>
            </w:r>
          </w:p>
        </w:tc>
      </w:tr>
    </w:tbl>
    <w:p>
      <w:pPr>
        <w:spacing w:after="160" w:before="0"/>
      </w:pPr>
    </w:p>
    <w:p>
      <w:pPr>
        <w:pStyle w:val="Heading2"/>
      </w:pPr>
      <w:r>
        <w:t xml:space="preserve">Pre-mortem</w:t>
      </w:r>
    </w:p>
    <w:p>
      <w:pPr>
        <w:spacing w:after="100"/>
      </w:pPr>
      <w:r>
        <w:t xml:space="preserve">Octubre de 2029: la acción cotiza a 42 USD, un 40 % menos. Todo empezó en 2027, cuando Waymo pasó de 15 a 30 ciudades en EE. UU. con su propia aplicación y Tesla abrió su red sin conductor en Texas, Florida y California con precios un 30 % más bajos. Uber no perdió viajes de golpe: perdió los viajes urbanos cortos de los usuarios más frecuentes, los de más margen, y tuvo que bajar precios y comisión para que los conductores humanos siguieran siendo competitivos. El crecimiento de Mobility en EE. UU. cayó del 15 % al 5 % y el margen de grupo se quedó en el 14-15 % en vez de subir al 18 %. A la vez, la compra de Delivery Hero cerró en 2027 con condiciones de competencia en Europa y la deuda neta subió a 2,5 veces el EBITDA, lo que frenó las recompras. Las señales estaban a la vista: la cuota de Uber en San Francisco y Phoenix, los viajes autónomos de Waymo por semana y el crecimiento de viajes de Mobility en EE. UU., que la empresa no publica por separado.</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−15 % a +10 % a 3-5 años (bajista y alcista del DCF)</w:t>
      </w:r>
    </w:p>
    <w:p>
      <w:pPr>
        <w:spacing w:after="100"/>
      </w:pPr>
      <w:r>
        <w:t xml:space="preserve">La IA toca a Uber por dos lados. El grande es el coche autónomo, que es IA aplicada a la conducción: si Waymo o Tesla operan flotas con aplicación propia, Mobility (el 81 % del valor neto de costes centrales en la suma de partes) pierde viajes y precio; si se integran en la red de Uber, el coste por viaje baja y el margen sube. Es el bajista y el alcista del informe [32, 35]. El pequeño es de costes: asignación de viajes, precios, atención al cliente y desarrollo; Uber da ChatGPT de empresa a más de 30.000 empleados [101]. La señal que avisaría: viajes autónomos de socios en la red de Uber frente a los de Waymo y Tesla en su propia aplicación, y el crecimiento de viajes de Mobility en EE. UU.</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rPr>
          <w:b/>
        </w:rPr>
        <w:t xml:space="preserve">Seguridad de los usuarios</w:t>
      </w:r>
      <w:r>
        <w:t xml:space="preserve">: es el riesgo con más coste directo. Uber publica informes de seguridad sobre agresiones sexuales en EE. UU. y reconoce que los incidentes dañan marca y negocio [1]; las reservas por seguros y siniestros suman 13.286 M USD a junio de 2026 [3]. </w:t>
      </w:r>
      <w:r>
        <w:rPr>
          <w:b/>
        </w:rPr>
        <w:t xml:space="preserve">Estatus laboral</w:t>
      </w:r>
      <w:r>
        <w:t xml:space="preserve">: cualquier reclasificación de los conductores como asalariados obligaría, según Uber, a subir mucho los precios y a cambiar el modelo [1]; hay procesos abiertos en Francia (URSSAF), Suiza y Nueva Jersey, y 1.800 M USD de provisiones legales y fiscales a junio de 2026 [3]. </w:t>
      </w:r>
      <w:r>
        <w:rPr>
          <w:b/>
        </w:rPr>
        <w:t xml:space="preserve">Electrificación</w:t>
      </w:r>
      <w:r>
        <w:t xml:space="preserve">: objetivo de 100 % de viajes cero emisiones en EE. UU., Canadá y Europa en 2030 y en todo el mundo en 2040; en 2025 solo el 41 % de los viajes de Londres y Ámsterdam era cero emisiones frente a un objetivo del 100 %, y el 32 % de los kilómetros en siete capitales europeas frente al 50 % [42]. California exige el 90 % de kilómetros cero emisiones en 2030 [1].</w:t>
      </w:r>
    </w:p>
    <w:p>
      <w:pPr>
        <w:pStyle w:val="Heading2"/>
      </w:pPr>
      <w:r>
        <w:t xml:space="preserve">Controversias</w:t>
      </w:r>
    </w:p>
    <w:p>
      <w:pPr>
        <w:spacing w:after="100"/>
      </w:pPr>
      <w:r>
        <w:rPr>
          <w:b/>
        </w:rPr>
        <w:t xml:space="preserve">8-oct-2026</w:t>
      </w:r>
      <w:r>
        <w:t xml:space="preserve">: la autoridad neerlandesa de protección de datos multa a Uber con 824,99 M EUR por desactivar cuentas de conductores con decisiones totalmente automatizadas (casos de 2018-2022, quejas de 171 conductores franceses); Uber ha recurrido [41]. </w:t>
      </w:r>
      <w:r>
        <w:rPr>
          <w:b/>
        </w:rPr>
        <w:t xml:space="preserve">Abril y diciembre de 2025</w:t>
      </w:r>
      <w:r>
        <w:t xml:space="preserve">: demanda de la FTC por el cobro y la cancelación de Uber One, a la que se suman 21 estados y Washington D. C. [39]. </w:t>
      </w:r>
      <w:r>
        <w:rPr>
          <w:b/>
        </w:rPr>
        <w:t xml:space="preserve">5-feb-2026</w:t>
      </w:r>
      <w:r>
        <w:t xml:space="preserve">: primer juicio piloto del litigio federal por agresiones sexuales, 8,5 M USD de condena en Phoenix [40]. </w:t>
      </w:r>
      <w:r>
        <w:rPr>
          <w:b/>
        </w:rPr>
        <w:t xml:space="preserve">2022-2026</w:t>
      </w:r>
      <w:r>
        <w:t xml:space="preserve">: liquidaciones de IVA del Reino Unido por 1.400 M GBP, recurridas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Coche autónomo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cuota de Uber en los viajes de San Francisco, Los Ángeles y Phoenix, donde Waymo opera con su propia aplicación, y cómo ha evolucionado en 12 meses?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sube [22], pero no publica la cifra; es el dato que decide 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Economía del viaje autónomo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por viaje deja un viaje autónomo de un socio frente a uno con conductor, y quién paga vehículos, seguros y mantenimiento?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se compromete a comprar al menos 20.000 Lucid con Nuro [1]: si la flota es suya, el negocio deja de ser ligero en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 Hero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1.200 M USD de sinergias es de costes y en qué plazo, y qué remedios de competencia se esperan en Europa y Oriente Medio?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15,8 veces el EBITDA de 2025, la compra solo crea valor con sinergias [87, 88].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deuda neta sobre EBITDA ajustado es compatible con mantener la perspectiva positiva del rating y volver a recomprar a ritmo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cayeron de 3.019 M USD en el 1T26 a 510 M en el 2T26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legales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excluyen como no recurrentes unas reservas legales y regulatorias que aparecen todos los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Sumaron 3.000 M USD en 2021-2025 [1]; afectan a la lectura del EBITDA ajustado.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flujo libre de 2025-2026 viene del aumento de las reservas de seguros y cuánto ahorro de seguros se traslada al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reservas suben 830 M USD en el 1S26 y su caja queda restringida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Lucid y el PIF</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se gestiona el conflicto entre la participación del 11,5 % en Lucid y el consejero del PIF, que preside Lucid?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proxy no declara operaciones vinculadas [46, 61].</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(flujo de mensajes de UBER)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Treinta mensajes del 27 y 28-oct-2026, con la acción en mínimos de 52 semanas: ocho marcados como alcistas y seis como bajistas, pero el tono dominante es de cansancio («precio brutal», «16 de las últimas 20 sesiones a la baja», «hacia 60»). Una minoría lo ve como ocasión de promediar en los 60 USD y cita que Uber no necesita ganar la carrera tecnológica del coche autónomo [100].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colaboradores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Doce titulares del 29-sep al 28-oct: los alcistas («Buy the robotaxi panic», «Mispriced growth», «Unbeatable bookings momentum») frente a los bajistas («The road to disintermediation», «The sell-side overestimates its moat», 28-oct). También se debate la retirada de Uber de la compra de Instacart (27-oct), que la mayoría aplaude [101].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Stockchase (opiniones de gestores en la televisión financiera)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Trece opiniones del 15-jul al 6-oct-2026: seis favorables, una favorita pasada, una de operar en rango (70-78 USD) y cinco de no comprar; los críticos citan el coche autónomo y los favorables la caja, las recompras y Uber One [102].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Coche autónomo (Waymo, Tesla Cybercab) y desintermediación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bajista del informe. Las cifras de Uber no lo muestran todavía: reservas brutas +22 % a tipo constante en el 2T26 y guía del 18-22 % para el 3T26; los resultados del 4-nov son la primera prueba nueva.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en mínimos y castigo técnico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 octubre (−8 % desde el 9-oct) no tiene un hecho de negocio detrás: retirada de Instacart, más incentivos a conductores y nervios antes de resultados. El BPA del consenso no ha cambiado.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ezCater sí, Instacart no, Delivery Hero en curso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ezCater (2.300 M USD en efectivo) es pequeña frente a la capitalización; la OPA sobre Delivery Hero sí cambia la deuda y está fuera de la proyección.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de la dirección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Respaldado: el primer ejecutivo compró 10,0 M USD y el presidente 5,3 M USD en septiembre, a 71-76 USD; sin ventas relevantes después.</w:t>
            </w:r>
          </w:p>
        </w:tc>
      </w:tr>
    </w:tbl>
    <w:p>
      <w:pPr>
        <w:spacing w:after="160" w:before="0"/>
      </w:pPr>
    </w:p>
    <w:p>
      <w:pPr>
        <w:spacing w:after="100"/>
      </w:pPr>
      <w:r>
        <w:t xml:space="preserve">El sentimiento de los particulares ha empeorado con la acción en mínimos de 52 semanas: domina el cansancio y la idea de que el coche autónomo se comerá la red, mientras los analistas siguen con 41 recomendaciones de compra de 50 y un objetivo medio de unos 100 USD. Es una divergencia típica de capitulación parcial, pero no extrema. No aporta un riesgo que el informe no tenga; confirma que el precio ya descuenta el miedo al coche autónomo y que los resultados del 4-nov son la prueba que puede cambiar el tono en cualquiera de los dos sentidos.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26 controles correctos y 7 explicados. Fuentes: 114 (67 primarias); citas distintas en el texto: 111.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9,0 %: explica la causa (créditos fiscales, regularizaciones, mezcla de países) y no lo proyectes en el DCF. Explicación: El 9 % de 2023 refleja pérdidas fiscales de años anteriores todavía con provisión de valoración [1]. El DCF usa un tipo normalizado que sube del 14 % al 23 %.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-140,9 %: explica la causa (créditos fiscales, regularizaciones, mezcla de países) y no lo proyectes en el DCF. Explicación: Ingreso fiscal por la liberación de 6.400 M USD de provisión de valoración de los activos fiscales diferidos de EE. UU. en el 4T24 [1]; no es recurrente y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-75,6 %: explica la causa (créditos fiscales, regularizaciones, mezcla de países) y no lo proyectes en el DCF. Explicación: Ingreso fiscal por la liberación de unos 5.000 M USD de provisión de valoración en los Países Bajos [1]; no es recurrente y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-0,26 calculado frente a -0,29 publicado (con convertibles, el BPA diluido publicado ajusta el numerador: explícalo si la diferencia viene de ahí). Explicación: Con pérdidas, el BPA diluido publicado (−0,29 USD) ajusta el numerador por el efecto de instrumentos convertibles y de participaciones de minoritarios [1]; la diferencia es de 3 céntimos y no afecta a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5,4 % frente a 5,4 % real: genera una variación de circulante de 312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0,23: el crecimiento no explica los múltiplos de estos comparables; no uses el valor de la regresión. Explicación: Con seis comparables de modelos distintos (movilidad, reparto, viajes), el crecimiento no explica el múltiplo: no se usa la regresión, solo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13,3x a 15,6x según qué comparable se quite (68,39 a 80,01 por acción): la muestra es frágil; explícalo y no le des mucho peso. Explicación: La muestra es pequeña y heterogénea (de Lyft a Airbnb): por eso los comparables pesan solo un 15 % del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(20,2x → 13,3x), Grab (28,0x → 15,6x): el salto implica un crecimiento del EBITDA que no cuadra con el de las ventas. ¿EBITDA de proveedores distintos, o un cambio de perímetro? Explicación: Lyft y Grab están saliendo de márgenes muy bajos: su EBITDA crece mucho más que sus ventas en los próximos 12 meses según el consenso [81, 84]. No es un error de proveedor; pesan poco en la mediana.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114 fuentes (67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72, 77, 79.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en EDGAR (no publican consenso); 2) búsqueda web de resúmenes de la conferencia del 2T26 (solo titulares sin el consenso previo de EBITDA o BPA); 3) no se puede derivar sin un proveedor de consenso con fecha previa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 Operating Income anual reexpresado de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(aún en Segment Adjusted EBITDA); 2) comunicados del 3T25, 4T25 y 1T26 y 10-Q de 2026 (solo 1T25, 2T25 y 4T25 reexpresados; falta el 3T25); 3) no se puede derivar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los segmentos llevan el Segment Adjusted EBITDA anual de 2021-2025 (medida con la que se cerraron) y el Segment Operating Income de 1S25 y 1S26 va en la descripción y en un indicador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Socios de Uber One antes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2) comunicados del 4T25 y 2T26; 3) conferencia del 1T26 (solo crecimiento del 50 % y 20 millones añadidos en un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Arrendamientos financieros a 30-jun-26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del 10-Q 2T26 (no los desglosa); 2) nota de deuda del 10-Q; 3) se usa el dato de dic-25 (222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para jun-26; el histórico llega a dic-25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Uber y Lyft en VTC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Lyft 10-K 2025 (solo datos XBRL, sin cuota); 2) búsqueda de YipitData y Bloomberg Second Measure: solo resúmenes de buscador con cifras dispares (55/31, 71/29) sin documento original abrible; 3) eMarketer (403 Forbidden)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la cuota mundial de GMI</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DoorDash y Uber Eats en reparto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DoorDash (sin cuota); 2) búsqueda web: solo blogs de conductores con 66/23 sin fuente primaria; 3) Bloomberg Second Measure: no localizado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 histórica del mercado de VTC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GMI (solo 2025 en abierto); 2) Statista (serie de pago); 3) reconstruir con reservas brutas de los cinco primeros: falta la serie de Didi y Bolt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del tamaño del reparto y tamaño del mercado de intermediación de cargas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Statista (una sola fuente); 2) informe anual de Delivery Hero (solo potencial propio de GMV); 3) búsqueda de informes de mercado: agotadas las búsquedas compartidas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Sustainalytics de Uber (solo metodología, sin puntuación); 2) búsqueda web (resumen de buscador con 21,1 de Sustainalytics, no verificable); 3) MSCI ESG Ratings (herramienta con JavaScript, no abre)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 neerlandesa de 290 M EUR de 2024 por transferencias de datos a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la Autoriteit Persoonsgegevens (403); 2) noticia del EDPB de 2024 (redirige al listado); 3) 10-K y 10-Q de Uber (no la mencionan)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sí se recoge la multa de 824,99 M EUR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 en el S&amp;P 500 (dic-2023) y grado de inversión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 lo menciona); 2) Bloomberg (de pago); 3) Wikipedia (no lo recoge)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equipo[CFO].participacion_pct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la tabla de participaciones (2-mar-2026) no incluye a Balaji Krishnamurthy, que aún no era directivo nombrado; 2) Form 4 de EDGAR: solo da su compra de 22.453 acciones del 24-feb-2026, no el saldo total como porcentaje; 3) 8-K del nombramiento: no da tenencia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no lo da; 2) Stock Analysis usa otra definición; 3) no calculado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Delivery Hero del perímetro (EV/ventas)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y presentación de Uber del 16-jul (solo GMV de 42.000 M y EBITDA de 1.100 M); 2) informe anual de DH no descargado; 3) sin intento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valoracion.puente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la compra del control de Careem Technologies (30-jul-2026), disposición del préstamo a plazo tras el 30-jun y recompras desde el 31-jul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nota 3 y hechos posteriores; 2) 8-K de jul-sep 2026; 3) comunicado del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publicado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ev_ventas y ev_ebitda de Wolt, Postmates, Careem, Transplace, Trendyol GO y FreeNow</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10-K de Uber (2022, 2025) y DoorDash (2022): solo contraprestación y pro forma combinado; 2) notas de prensa de la operación (DoorDash-Wolt, Lyft-FreeNow): sin ingresos ni EBITDA del objetivo; 3) derivar de los pro forma: Wolt 2021 ≈ 240 M USD (5.128 − 4.888) daría 33,8x ventas, pero mezcla meses posteriores al anuncio y Transplace solo tiene el año parcial, así que no se usa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exactas de Deliveroo 2024 (ingresos y EBITDA ajustado)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la Regla 2.7 vía DoorDash en EDGAR: solo ≈ 2.000 M GBP y ≈ 140 M GBP; 2) web corporativa de Deliveroo: no consultada por límite de llamadas; 3) se usan las cifras redondeadas de la nota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tabla de participaciones: no la recoge; 2) balance del 10-Q del 2T26: sin partida de acciones propias; 3) 10-K de 2025: no detalla el destino de las acciones recompradas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https://www.sec.gov/Archives/edgar/data/1543151/000154315126000015/uber-20251231.htm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https://www.sec.gov/Archives/edgar/data/1543151/000154315123000010/uber-20221231.htm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10-Q 2T26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https://www.sec.gov/Archives/edgar/data/1543151/000154315126000032/uber-20260630.htm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Second Quarter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https://www.sec.gov/Archives/edgar/data/1543151/000154315126000027/uberq226earningspressrelea.htm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10-Q 3T25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https://www.sec.gov/Archives/edgar/data/1543151/000154315125000033/uber-20250930.htm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XBRL companyfacts, CIK 0001543151 (series anuales y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https://data.sec.gov/api/xbrl/companyfacts/CIK0001543151.json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10-Q 1T26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https://www.sec.gov/Archives/edgar/data/1543151/000154315126000022/uber-20260331.htm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8-K de 16-jul-2026 (puntos 1.01 y 2.03)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https://www.sec.gov/Archives/edgar/data/1543151/000155278126000382/e26302_uber-8k.htm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8-K de 7-ago-2026 (puntos 1.01, 1.02 y 2.03)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https://www.sec.gov/Archives/edgar/data/1543151/000155278126000414/e26328_uber-8k.htm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suplemento de folleto 424B2 de bonos en euros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https://www.sec.gov/Archives/edgar/data/1543151/000155278126000481/e26382_uber-euro424b2.htm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FWP tÃ©rminos finales de bonos en euros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https://www.sec.gov/Archives/edgar/data/1543151/000155278126000479/e26381_uber-fwp.htm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FWP tÃ©rminos finales de bonos 2031 y 2035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https://www.sec.gov/Archives/edgar/data/1543151/000155278125000275/e25321_uber-fwp.htm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transcripción de la conferencia de resultados del 2T26 (5-ago-2026)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Platform Aeronaut Transcripts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https://transcripts.platformaeronaut.com/transcripts/UBER-2Q26-transcript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transcripción de la conferencia de resultados del 1T26 (6-may-2026)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Platform Aeronaut Transcripts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https://transcripts.platformaeronaut.com/transcripts/UBER-1Q26-transcript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First Quarter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https://www.sec.gov/Archives/edgar/data/1543151/000154315126000019/uberq126earningspressrelea.htm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Fourth Quarter and Full Year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https://www.sec.gov/Archives/edgar/data/1543151/000154315126000011/uberq425earningspressrelea.htm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Third Quarter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https://www.sec.gov/Archives/edgar/data/1543151/000154315125000030/uberq325earningspressrelea.htm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https://www.sec.gov/Archives/edgar/data/1759509/000162828026006960/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https://www.sec.gov/Archives/edgar/data/1792789/000179278926000013/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Maplebear (Instacart),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Maplebear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https://www.sec.gov/Archives/edgar/data/1579091/000157909126000018/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Grab Holdings, Form 20-F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Grab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https://www.sec.gov/Archives/edgar/data/1855612/000185561226000020/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transcripción corregida de la conferencia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CallStreet / 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https://s23.q4cdn.com/407969754/files/doc_financials/2026/q1/Uber-Q1-26-Earnings-Call-Transcript.pdf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Worldwide,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https://www.sec.gov/Archives/edgar/data/1043277/000104327726000009/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RXO,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RXO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https://www.sec.gov/Archives/edgar/data/1929561/000192956126000013/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https://www.lobbyregister.bundestag.de/media/d4/45/775186/Delivery-Hero-Annual-Report-2025.pdf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Didi Profit Contracts in 2025 as International GTV Surpasses 100 Billion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EqualOcean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https://equalocean.com/news/2026031721792-didi-profit-contracts-2025-as-international-gtv-surpasses-100-billion-cny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Bolt: primer beneficio anual en 2025 con 2.270 M EUR de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 with Estonia (cita Zag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https://tradewithestonia.com/?p=50725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medios anuales CNY/USD (AEXCHUS) y USD/EUR (AEXUSEU),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https://fred.stlouisfed.org/series/AEXCHUS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Ride-Hailing Service Market Size and Share Report 2026-2035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https://www.gminsights.com/industry-analysis/ride-hailing-service-market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Ride-hailing - Worldwide (Market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https://www.statista.com/outlook/mmo/shared-mobility/ride-hailing/worldwide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Online Food Delivery - Worldwide (Market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https://www.statista.com/outlook/emo/online-food-delivery/worldwide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Closes $5 Billion Debt Financing to Accelerate Business Expansion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https://waymo.com/blog/2026/10/waymo-closes-5-billion-debt-financing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datos de seguridad hasta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https://waymo.com/blog/shorts/safetydata-september26/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begins offering paid robotaxi rides in Denver, San Diego, and Tampa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Crypto Briefing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https://cryptobriefing.com/waymo-paid-robotaxi-denver-san-diego-tampa/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Tesla Robotaxi: 2.4 million paid miles across six metros (resumen de la presentación del 2T26 de Tesla)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https://evwire.com/p/tesla-robotaxi-2-4-million-paid-miles-six-metros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building infrastructure to commercialise autonomous mobility at global scale: Q2 earnings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DT 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https://www.dtnext.in/news/business/uber-building-infrastructure-to-commercialise-autonomous-mobility-at-global-scale-q2-earnings-report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Platform Work Directive: transposition tracker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https://www.teamed.global/eu-platform-work/transposition-tracker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Massachusetts certifica el sindicato de conductores de Uber y Lyft (App Drivers Union)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Boston Globe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https://www.bostonglobe.com/2026/05/26/business/mass-uber-lyft-union/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Uber lawsuit: Several states join complaint over subscription practices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5 New York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https://www.fox5ny.com/news/uber-one-lawsuit-subscription-ftc-states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Jury forces Uber to pay $8.5 million in 2023 sexual assault case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https://www.walb.com/video/2026/02/06/jury-forces-uber-pay-85-million-2023-sexual-assault-case/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Dutch DPA fines Uber EUR 824 990 000 for unlawful automated decision-making and insufficient information on profiling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Data Protection 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https://www.edpb.europa.eu/news/dutch-dpa-fines-uber-eur-824-990-000-for-unlawful-automated-decision-making-and-insufficient_en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Sustainability: objetivos cero emisiones y avance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https://www.uber.com/about/sustainability/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Pricing of Initial Public Offering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https://investor.uber.com/news-events/news/press-release-details/2019/Uber-Announces-Pricing-of-Initial-Public-Offering/default.aspx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https://en.wikipedia.org/wiki/Uber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blog (entradas de agosto a octubre de 2026: Dallas, Houston, Las Vegas, Nashville)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https://www.sec.gov/Archives/edgar/data/1543151/000130817926000125/uber014597-def14a.htm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(ítems 2.02 y 5.02): relevo del director financiero, 4-feb-2026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https://www.sec.gov/Archives/edgar/data/1543151/000154315126000011/uber-20260130.htm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salida de P.-D. Gore-Coty y nombramiento de A. Macdonald como presidente y COO, 2-jun-2025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https://www.sec.gov/Archives/edgar/data/1543151/000155278125000201/e25231_uber-8k.htm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salida de la directora de personas y nuevo cargo de J. Hazelbaker, 11-may-2026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https://www.sec.gov/Archives/edgar/data/1543151/000155278126000320/e26247_uber-8k.htm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4-may-2026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https://www.sec.gov/Archives/edgar/data/1543151/000155278126000314/e26243_uber-8k.htm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5-may-2025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https://www.sec.gov/Archives/edgar/data/1543151/000155278125000174/e25195_uber-8k.htm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6-may-2024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https://www.sec.gov/Archives/edgar/data/1543151/000155278124000307/e24239_uber-8k.htm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4T24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https://www.sec.gov/Archives/edgar/data/1543151/000154315125000004/uberq424earningspressrelea.htm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https://www.sec.gov/Archives/edgar/data/1543151/000154315125000012/uberq125earningspressrelea.htm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https://www.sec.gov/Archives/edgar/data/1543151/000154315125000020/uberq225earningspressrelea.htm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7.01): Investor Update y objetivos a tres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https://www.sec.gov/Archives/edgar/data/1543151/000155278124000039/e24041_uber-8k.htm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Uber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https://www.sec.gov/Archives/edgar/data/1543151/000210011926001088/xslSCHEDULE_13G_X02/primary_doc.xml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3) de The Vanguard Group sobre Uber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https://www.sec.gov/Archives/edgar/data/1543151/000010290926002412/xslSCHEDULE_13G_X02/primary_doc.xml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Nikesh Arora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https://www.sec.gov/Archives/edgar/data/1543151/000155278125000203/e25233_uber-8k.htm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Wan Ling Martello no se presenta a la reelección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https://www.sec.gov/Archives/edgar/data/1543151/000155278125000025/e25038_uber-8k.htm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Uber sobre Lucid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https://www.sec.gov/Archives/edgar/data/1543151/000155278126000254/xslSCHEDULE_13G_X02/primary_doc.xml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Uber, 8-oct-2025 a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https://www.sec.gov/cgi-bin/browse-edgar?action=getcompany&amp;CIK=0001543151&amp;type=4&amp;dateb=&amp;owner=include&amp;count=40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https://www.sec.gov/Archives/edgar/data/1543151/000130817925000210/uber013353-def14a.htm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2) de FMR LLC sobre Uber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https://www.sec.gov/Archives/edgar/data/1543151/000031506624002908/filing.txt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Justice Department Sues Uber for Denying Rides to Passengers with Service Dogs and Wheelchairs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Justice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https://www.justice.gov/opa/pr/justice-department-sues-uber-denying-rides-passengers-service-dogs-wheelchairs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and states sue Uber over alleged deceptive billing in Uber One subscription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CNY Central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https://cnycentral.com/news/nation-world/ftc-sue-uber-one-subscription-alleged-deceptive-billing-benefits-charged-delivery-fees-cancel-anytime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jury finds Uber liable in second consecutive bellwether sexual assault trial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Anapol Weiss (bufete de demandantes)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https://blog.anapolweiss.com/blog/federal-jury-finds-uber-liable-in-second-consecutive-bellwether-sexual-assault-trial/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UBER, SPY, QQQ, IYT, XLY y de las participadas cotizadas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https://finance.yahoo.com/quote/UBER/history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13F-HR a 30-jun-2026 (tabla de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https://www.sec.gov/Archives/edgar/data/1543151/000155278126000415/infotable.xml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6) de Uber sobre Aurora Innovation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https://www.sec.gov/Archives/edgar/data/1543151/000155278126000453/xslSCHEDULE_13D_X02/primary_doc.xml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7) de Uber sobre Aurora Innovation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https://www.sec.gov/Archives/edgar/data/1543151/000155278126000494/xslSCHEDULE_13D_X02/primary_doc.xml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Uber sobre Neutron Holdings (Lime)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https://www.sec.gov/Archives/edgar/data/1543151/000155278126000443/xslSCHEDULE_13G_X02/primary_doc.xml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cierre de la emisión de 4.500 M EUR en bonos sénior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https://www.sec.gov/Archives/edgar/data/1543151/000155278126000486/e26383_uber-8k.htm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Euro Spot Exchange Rate (DEXUSEU)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https://fred.stlouisfed.org/series/DEXUSEU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https://www.marketscreener.com/quote/stock/UBER-TECHNOLOGIES-INC-57860975/finances/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https://www.marketscreener.com/quote/stock/UBER-TECHNOLOGIES-INC-57860975/consensus/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(UBER)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https://stockanalysis.com/stocks/uber/forecast/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https://www.marketscreener.com/quote/stock/LYFT-INC-56481539/finances/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https://www.marketscreener.com/quote/stock/DOORDASH-INC-137630468/finances/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Instacart (Maplebear):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https://www.marketscreener.com/quote/stock/INSTACART-MAPLEBEAR-159414518/finances/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Grab Holdings: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https://www.marketscreener.com/quote/stock/GRAB-HOLDINGS-LIMITED-130340709/finances/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https://www.marketscreener.com/quote/stock/AIRBNB-INC-116310849/finances/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https://www.marketscreener.com/quote/stock/BOOKING-HOLDINGS-INC-41613106/finances/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Acquisition Offer for Delivery Hero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https://www.sec.gov/Archives/edgar/data/1543151/000155278126000382/e26302_ex99-1.htm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de la oferta sobre Delivery Hero (Exhibit 99.2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https://www.sec.gov/Archives/edgar/data/1543151/000155278126000382/e26302_ex99-2.htm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recommended final cash acquisition of Deliveroo plc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https://www.sec.gov/Archives/edgar/data/1792789/000114036125017438/ef20048444_ex99-1.htm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to acquire Wolt (nota de prensa, anexo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https://www.sec.gov/Archives/edgar/data/1792789/000162828021022563/warsawpressreleasewarsawex.htm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8-K: Share Purchase Agreement con Wolt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https://www.sec.gov/Archives/edgar/data/1792789/000162828021023000/dash-20211109.htm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Form 10-K 2022 (nota 4, adquisiciones)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https://www.sec.gov/Archives/edgar/data/1792789/000162828023005131/dash-20221231.htm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Expands in Europe, Diversifies by Acquiring FREENOW (anexo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https://www.sec.gov/Archives/edgar/data/1759509/000175950925000052/a2025-04x16pressreleasepro.htm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 and Prosus agree on recommended offer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https://s205.q4cdn.com/266311280/files/doc_downloads/2025/05/18/Just-Eat-Takeaway-com-and-Prosus-agree-on-recommended-offer.pdf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 Full Year 2024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https://s205.q4cdn.com/266311280/files/doc_financials/2024/q4/24-02-2025-Press-Release-Just-Eat-Takeaway-com-Full-Year-2024-Results.pdf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 Analyst Presentation FY 2024 (págs. 15 y 25, sin Grubhub)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https://s205.q4cdn.com/266311280/files/doc_financials/2024/q4/Just-Eat-Takeaway-com-Analyst-Presentation-FY-2024.pdf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(UBER)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https://stockanalysis.com/stocks/uber/statistics/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Q3 2026 Earnings Conference Call (calendario de eventos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https://investor.uber.com/news-events/events-and-presentations/event-details/2026/Uber-Q3-2026-Earnings-Conference-Call/default.aspx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flujo de mensajes (API pública)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https://api.stocktwits.com/api/2/streams/symbol/UBER.json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noticias y análisis (RSS combinado)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https://seekingalpha.com/api/sa/combined/UBER.xml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(UBER-N): opiniones de expertos,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https://stockchase.com/UBER-N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Form 10-K del ejercicio 2025 (datos XBRL: remuneración en acciones e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https://data.sec.gov/api/xbrl/companyfacts/CIK0001559720.json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Form 10-K del ejercicio 2025 (datos XBRL: remuneración en acciones e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https://data.sec.gov/api/xbrl/companyfacts/CIK0001075531.json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4,99 % el 27-oct)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Publishes Offer Document for its Takeover Offer for Delivery Hero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01net / comunicado de Uber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https://www.01net.it/uber-publishes-offer-document-for-its-takeover-offer-for-delivery-hero/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dictamen motivado conjunto del consejo de dirección y de supervisión sobre la OPA de Uber (EQS)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 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https://live.deutsche-boerse.com/news/EQS-News-Delivery-Heros-Management-Board-and-Supervisory-Board-publish-joint-reasoned-statement-recommending-shareholders-to-accept-the-takeover-offer-from-Uber-cf9499d6-de28-49ca-adbe-b2b224afe0de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Eats acquires ezCater for $2.3B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Restaurant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https://www.restaurantdive.com/news/uber-eats-acquires-ezcater-2-billion/832219/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Instacart Is Exploring a Sale, and Uber and DoorDash Are Circling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https://247wallst.com/investing/2026/10/24/instacart-is-exploring-a-sale-and-uber-and-doordash-are-circling/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Inc Stock (UBER) Closed Down by 3.43% on Oct 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https://www.tradingkey.com/news/market-movers/262236794-market-movers-uber-20261023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stock fell 10% this year: can it bring meaningful upside before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https://www.tikr.com/blog/uber-stock-fell-10-this-year-can-it-bring-meaningful-upside-before-2027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Falls 4% on Tesla Cybercab Threat as Slovenia Clears Full Self-Driving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https://247wallst.com/investing/2026/09/08/uber-falls-4-on-tesla-cybercab-threat-as-slovenia-clears-full-self-driving/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4 presentados del 28-oct-2025 al 28-oct-2026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https://www.sec.gov/cgi-bin/browse-edgar?action=getcompany&amp;CIK=0001543151&amp;type=4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Stock Outlook December 2025: Robotaxis, Ad Data and a New Chapter After the November Pullback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TS2 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https://ts2.tech/en/uber-stock-outlook-december-2025-robotaxis-ad-data-and-a-new-chapter-after-the-november-pullback/</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93,5 %</w:t>
      </w:r>
      <w:r>
        <w:t xml:space="preserve"> · Secciones con menos del 60 % de campos cubiertos: </w:t>
      </w:r>
      <w:r>
        <w:rPr>
          <w:b/>
          <w:bCs/>
        </w:rPr>
        <w:t xml:space="preserve">ninguna</w:t>
      </w:r>
      <w:r>
        <w:t xml:space="preserve"> · Generado el 28 oct 2026.</w:t>
      </w:r>
    </w:p>
    <w:p>
      <w:pPr>
        <w:pStyle w:val="Nota"/>
        <w:spacing w:after="100"/>
      </w:pPr>
      <w:r>
        <w:t xml:space="preserve">Línea cotizada: acción ordinaria de Uber en la NYSE (USD); cuentas en USD y US GAAP. Precio: cierre del martes 27-oct-2026 (65,78 USD, Yahoo Finance [68]); la sesión del 28-oct no había cerrado a la hora del corte. Es la tercera iteración (las anteriores, con corte 8 y 10-oct-2026), hecha completa antes de decidir sobre la posición: no hay cuentas nuevas desde el 10-Q del 2T26 (el 3T26 se publica el 4-nov-2026), así que las cuentas, el balance y los flujos son los mismos, comprobados otra vez contra el XBRL de la SEC [6]; cambian el precio, el bono, las participadas cotizadas del puente (al cierre del 27-oct), los comparables (cifras de MarketScreener del 8-oct llevadas al cierre del 27-oct con la variación del precio; Instacart, al 22-oct, antes de la noticia de su posible venta), el consenso y las noticias. Ingresos: los contables, que dependen del criterio de agente o principal; desde el 2-ene-2026 Uber deja de ser el prestador en parte del Reino Unido y eso resta 2.100 M USD a los ingresos del 1S26 sin tocar el resultado [3]. Segmentos: resultado con el EBITDA ajustado de segmento con el que se cerraron 2021-2025; desde 2026 Uber publica un resultado operativo de segmento que solo está reexpresado para 1S25. EBITDA: contable (resultado de explotación más amortizaciones), con la remuneración en acciones y las reservas legales dentro; solo se devuelven al EBITDA los deterioros, los costes de compras y ventas y la reestructuración. Los múltiplos de los comparables se han pasado a EBITDA después de remuneración en acciones con el gasto de 2025 de cada uno [18, 19, 20, 21, 103, 104]. La OPA sobre Delivery Hero no está en la proyección ni en el puente salvo por la participación y el derivado que ya posee Uber.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Uber Technologies, Inc. (UBER)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65,78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(65,41 – 100,35)</c:v>
                </c:pt>
                <c:pt idx="1">
                  <c:v>Precio objetivo de los analistas (70,00 – 150,00)</c:v>
                </c:pt>
                <c:pt idx="2">
                  <c:v>Comparables: EV/EBITDA NTM (60,05 – 109,57)</c:v>
                </c:pt>
                <c:pt idx="3">
                  <c:v>Comparables: PER NTM (79,80 – 111,63)</c:v>
                </c:pt>
                <c:pt idx="4">
                  <c:v>Transacciones precedentes (EV/EBITDA) (56,75 – 61,92)</c:v>
                </c:pt>
                <c:pt idx="5">
                  <c:v>DCF (WACC y g ± 0,5) (69,86 – 87,24)</c:v>
                </c:pt>
                <c:pt idx="6">
                  <c:v>Escenarios (bajista – alcista) (43,43 – 101,48)</c:v>
                </c:pt>
                <c:pt idx="7">
                  <c:v>Suma de partes (57,58 – 77,49)</c:v>
                </c:pt>
                <c:pt idx="8">
                  <c:v>DCF con la prima implícita del mercado (4,2 %)</c:v>
                </c:pt>
                <c:pt idx="9">
                  <c:v>Precio actual (65,78)</c:v>
                </c:pt>
              </c:strCache>
            </c:strRef>
          </c:cat>
          <c:val>
            <c:numRef>
              <c:f>Hoja1!$B$2:$B$11</c:f>
              <c:numCache>
                <c:formatCode>#,##0</c:formatCode>
                <c:ptCount val="10"/>
                <c:pt idx="0">
                  <c:v>65.41</c:v>
                </c:pt>
                <c:pt idx="1">
                  <c:v>70</c:v>
                </c:pt>
                <c:pt idx="2">
                  <c:v>60.05</c:v>
                </c:pt>
                <c:pt idx="3">
                  <c:v>79.8</c:v>
                </c:pt>
                <c:pt idx="4">
                  <c:v>56.75</c:v>
                </c:pt>
                <c:pt idx="5">
                  <c:v>69.86</c:v>
                </c:pt>
                <c:pt idx="6">
                  <c:v>43.43</c:v>
                </c:pt>
                <c:pt idx="7">
                  <c:v>57.58</c:v>
                </c:pt>
                <c:pt idx="8">
                  <c:v>81.64</c:v>
                </c:pt>
                <c:pt idx="9">
                  <c:v>65.45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(65,41 – 100,35)</c:v>
                </c:pt>
                <c:pt idx="1">
                  <c:v>Precio objetivo de los analistas (70,00 – 150,00)</c:v>
                </c:pt>
                <c:pt idx="2">
                  <c:v>Comparables: EV/EBITDA NTM (60,05 – 109,57)</c:v>
                </c:pt>
                <c:pt idx="3">
                  <c:v>Comparables: PER NTM (79,80 – 111,63)</c:v>
                </c:pt>
                <c:pt idx="4">
                  <c:v>Transacciones precedentes (EV/EBITDA) (56,75 – 61,92)</c:v>
                </c:pt>
                <c:pt idx="5">
                  <c:v>DCF (WACC y g ± 0,5) (69,86 – 87,24)</c:v>
                </c:pt>
                <c:pt idx="6">
                  <c:v>Escenarios (bajista – alcista) (43,43 – 101,48)</c:v>
                </c:pt>
                <c:pt idx="7">
                  <c:v>Suma de partes (57,58 – 77,49)</c:v>
                </c:pt>
                <c:pt idx="8">
                  <c:v>DCF con la prima implícita del mercado (4,2 %)</c:v>
                </c:pt>
                <c:pt idx="9">
                  <c:v>Precio actual (65,78)</c:v>
                </c:pt>
              </c:strCache>
            </c:strRef>
          </c:cat>
          <c:val>
            <c:numRef>
              <c:f>Hoja1!$C$2:$C$11</c:f>
              <c:numCache>
                <c:formatCode>#,##0</c:formatCode>
                <c:ptCount val="10"/>
                <c:pt idx="0">
                  <c:v>34.94</c:v>
                </c:pt>
                <c:pt idx="1">
                  <c:v>80</c:v>
                </c:pt>
                <c:pt idx="2">
                  <c:v>49.519999999999996</c:v>
                </c:pt>
                <c:pt idx="3">
                  <c:v>31.83</c:v>
                </c:pt>
                <c:pt idx="4">
                  <c:v>5.170000000000002</c:v>
                </c:pt>
                <c:pt idx="5">
                  <c:v>17.379999999999995</c:v>
                </c:pt>
                <c:pt idx="6">
                  <c:v>58.050000000000004</c:v>
                </c:pt>
                <c:pt idx="7">
                  <c:v>19.909999999999997</c:v>
                </c:pt>
                <c:pt idx="8">
                  <c:v>14.010000000000005</c:v>
                </c:pt>
                <c:pt idx="9">
                  <c:v>0.6599999999999966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Mobility</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6953</c:v>
                </c:pt>
                <c:pt idx="1">
                  <c:v>14029</c:v>
                </c:pt>
                <c:pt idx="2">
                  <c:v>19832</c:v>
                </c:pt>
                <c:pt idx="3">
                  <c:v>25087</c:v>
                </c:pt>
                <c:pt idx="4">
                  <c:v>29670</c:v>
                </c:pt>
              </c:numCache>
            </c:numRef>
          </c:val>
        </c:ser>
        <c:ser>
          <c:idx val="1"/>
          <c:order val="1"/>
          <c:tx>
            <c:strRef>
              <c:f>Hoja1!$C$1</c:f>
              <c:strCache>
                <c:ptCount val="1"/>
                <c:pt idx="0">
                  <c:v>Delivery</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8362</c:v>
                </c:pt>
                <c:pt idx="1">
                  <c:v>10901</c:v>
                </c:pt>
                <c:pt idx="2">
                  <c:v>12204</c:v>
                </c:pt>
                <c:pt idx="3">
                  <c:v>13750</c:v>
                </c:pt>
                <c:pt idx="4">
                  <c:v>17248</c:v>
                </c:pt>
              </c:numCache>
            </c:numRef>
          </c:val>
        </c:ser>
        <c:ser>
          <c:idx val="2"/>
          <c:order val="2"/>
          <c:tx>
            <c:strRef>
              <c:f>Hoja1!$D$1</c:f>
              <c:strCache>
                <c:ptCount val="1"/>
                <c:pt idx="0">
                  <c:v>Freight</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2132</c:v>
                </c:pt>
                <c:pt idx="1">
                  <c:v>6947</c:v>
                </c:pt>
                <c:pt idx="2">
                  <c:v>5245</c:v>
                </c:pt>
                <c:pt idx="3">
                  <c:v>5141</c:v>
                </c:pt>
                <c:pt idx="4">
                  <c:v>5099</c:v>
                </c:pt>
              </c:numCache>
            </c:numRef>
          </c:val>
        </c:ser>
        <c:ser>
          <c:idx val="3"/>
          <c:order val="3"/>
          <c:tx>
            <c:strRef>
              <c:f>Hoja1!$E$1</c:f>
              <c:strCache>
                <c:ptCount val="1"/>
                <c:pt idx="0">
                  <c:v>Otros (ATG y otros programas)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8</c:v>
                </c:pt>
                <c:pt idx="1">
                  <c:v>0</c:v>
                </c:pt>
                <c:pt idx="2">
                  <c:v>0</c:v>
                </c:pt>
                <c:pt idx="3">
                  <c:v>0</c:v>
                </c:pt>
                <c:pt idx="4">
                  <c:v>0</c:v>
                </c:pt>
              </c:numCache>
            </c:numRef>
          </c:val>
        </c:ser>
        <c:ser>
          <c:idx val="4"/>
          <c:order val="4"/>
          <c:tx>
            <c:strRef>
              <c:f>Hoja1!$F$1</c:f>
              <c:strCache>
                <c:ptCount val="1"/>
                <c:pt idx="0">
                  <c:v>Corporativo y plataforma</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Mobility</c:v>
                </c:pt>
                <c:pt idx="1">
                  <c:v>Delivery</c:v>
                </c:pt>
                <c:pt idx="2">
                  <c:v>Freight</c:v>
                </c:pt>
                <c:pt idx="3">
                  <c:v>Otros (ATG y otros programas)</c:v>
                </c:pt>
                <c:pt idx="4">
                  <c:v>Corporativo y plataforma</c:v>
                </c:pt>
              </c:strCache>
            </c:strRef>
          </c:cat>
          <c:val>
            <c:numRef>
              <c:f>Hoja1!$B$2:$B$6</c:f>
              <c:numCache>
                <c:formatCode>General</c:formatCode>
                <c:ptCount val="5"/>
                <c:pt idx="0">
                  <c:v>57</c:v>
                </c:pt>
                <c:pt idx="1">
                  <c:v>33.2</c:v>
                </c:pt>
                <c:pt idx="2">
                  <c:v>9.8</c:v>
                </c:pt>
                <c:pt idx="3">
                  <c:v>0</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 y Canadá</c:v>
                </c:pt>
                <c:pt idx="1">
                  <c:v>Europa, Oriente Medio y África</c:v>
                </c:pt>
                <c:pt idx="2">
                  <c:v>Asia-Pacífico</c:v>
                </c:pt>
                <c:pt idx="3">
                  <c:v>Latinoamérica</c:v>
                </c:pt>
              </c:strCache>
            </c:strRef>
          </c:cat>
          <c:val>
            <c:numRef>
              <c:f>Hoja1!$B$2:$B$5</c:f>
              <c:numCache>
                <c:formatCode>0"%"</c:formatCode>
                <c:ptCount val="4"/>
                <c:pt idx="0">
                  <c:v>50.9</c:v>
                </c:pt>
                <c:pt idx="1">
                  <c:v>31.5</c:v>
                </c:pt>
                <c:pt idx="2">
                  <c:v>11.3</c:v>
                </c:pt>
                <c:pt idx="3">
                  <c:v>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VTC mundial según GMI (2025 y 2026e); 2027e-2030e, estimación propia con la TCAC del 9,7 % que publica GMI)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188600</c:v>
                </c:pt>
                <c:pt idx="1">
                  <c:v>213200</c:v>
                </c:pt>
                <c:pt idx="2">
                  <c:v>233880</c:v>
                </c:pt>
                <c:pt idx="3">
                  <c:v>256570</c:v>
                </c:pt>
                <c:pt idx="4">
                  <c:v>281460</c:v>
                </c:pt>
                <c:pt idx="5">
                  <c:v>308760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4</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Uber</c:v>
                </c:pt>
                <c:pt idx="1">
                  <c:v>Lyft</c:v>
                </c:pt>
                <c:pt idx="2">
                  <c:v>DoorDash</c:v>
                </c:pt>
                <c:pt idx="3">
                  <c:v>Instacart (Maplebear)</c:v>
                </c:pt>
                <c:pt idx="4">
                  <c:v>Didi Global</c:v>
                </c:pt>
                <c:pt idx="5">
                  <c:v>Bolt</c:v>
                </c:pt>
                <c:pt idx="6">
                  <c:v>Delivery Hero</c:v>
                </c:pt>
                <c:pt idx="7">
                  <c:v>Grab</c:v>
                </c:pt>
                <c:pt idx="8">
                  <c:v>C.H. Robinson</c:v>
                </c:pt>
              </c:strCache>
            </c:strRef>
          </c:cat>
          <c:val>
            <c:numRef>
              <c:f>Hoja1!$B$2:$B$10</c:f>
              <c:numCache>
                <c:formatCode>0.0"%"</c:formatCode>
                <c:ptCount val="9"/>
                <c:pt idx="0">
                  <c:v>10.8</c:v>
                </c:pt>
                <c:pt idx="1">
                  <c:v>-3</c:v>
                </c:pt>
                <c:pt idx="2">
                  <c:v>5.3</c:v>
                </c:pt>
                <c:pt idx="3">
                  <c:v>13.3</c:v>
                </c:pt>
                <c:pt idx="4">
                  <c:v>1.6</c:v>
                </c:pt>
                <c:pt idx="5">
                  <c:v>0.9</c:v>
                </c:pt>
                <c:pt idx="6">
                  <c:v>-1.1</c:v>
                </c:pt>
                <c:pt idx="7">
                  <c:v>1.9</c:v>
                </c:pt>
                <c:pt idx="8">
                  <c:v>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1</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11139</c:v>
                </c:pt>
                <c:pt idx="1">
                  <c:v>17455</c:v>
                </c:pt>
                <c:pt idx="2">
                  <c:v>31877</c:v>
                </c:pt>
                <c:pt idx="3">
                  <c:v>37281</c:v>
                </c:pt>
                <c:pt idx="4">
                  <c:v>43978</c:v>
                </c:pt>
                <c:pt idx="5">
                  <c:v>52017</c:v>
                </c:pt>
                <c:pt idx="6">
                  <c:v>57895</c:v>
                </c:pt>
                <c:pt idx="7">
                  <c:v>66290</c:v>
                </c:pt>
                <c:pt idx="8">
                  <c:v>75239</c:v>
                </c:pt>
                <c:pt idx="9">
                  <c:v>84267</c:v>
                </c:pt>
                <c:pt idx="10">
                  <c:v>93116</c:v>
                </c:pt>
                <c:pt idx="11">
                  <c:v>101496</c:v>
                </c:pt>
                <c:pt idx="12">
                  <c:v>109108</c:v>
                </c:pt>
                <c:pt idx="13">
                  <c:v>115655</c:v>
                </c:pt>
                <c:pt idx="14">
                  <c:v>121437</c:v>
                </c:pt>
                <c:pt idx="15">
                  <c:v>126295</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-3320</c:v>
                </c:pt>
                <c:pt idx="1">
                  <c:v>-2468</c:v>
                </c:pt>
                <c:pt idx="2">
                  <c:v>-812</c:v>
                </c:pt>
                <c:pt idx="3">
                  <c:v>2108</c:v>
                </c:pt>
                <c:pt idx="4">
                  <c:v>3565</c:v>
                </c:pt>
                <c:pt idx="5">
                  <c:v>6340</c:v>
                </c:pt>
                <c:pt idx="6">
                  <c:v>8800</c:v>
                </c:pt>
                <c:pt idx="7">
                  <c:v>10606</c:v>
                </c:pt>
                <c:pt idx="8">
                  <c:v>12640</c:v>
                </c:pt>
                <c:pt idx="9">
                  <c:v>14578</c:v>
                </c:pt>
                <c:pt idx="10">
                  <c:v>16481</c:v>
                </c:pt>
                <c:pt idx="11">
                  <c:v>18269</c:v>
                </c:pt>
                <c:pt idx="12">
                  <c:v>19639</c:v>
                </c:pt>
                <c:pt idx="13">
                  <c:v>20818</c:v>
                </c:pt>
                <c:pt idx="14">
                  <c:v>21859</c:v>
                </c:pt>
                <c:pt idx="15">
                  <c:v>22733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53.7</c:v>
                </c:pt>
                <c:pt idx="1">
                  <c:v>46.4</c:v>
                </c:pt>
                <c:pt idx="2">
                  <c:v>38.3</c:v>
                </c:pt>
                <c:pt idx="3">
                  <c:v>39.8</c:v>
                </c:pt>
                <c:pt idx="4">
                  <c:v>39.4</c:v>
                </c:pt>
                <c:pt idx="5">
                  <c:v>39.8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-29.8</c:v>
                </c:pt>
                <c:pt idx="1">
                  <c:v>-14.1</c:v>
                </c:pt>
                <c:pt idx="2">
                  <c:v>-2.5</c:v>
                </c:pt>
                <c:pt idx="3">
                  <c:v>5.7</c:v>
                </c:pt>
                <c:pt idx="4">
                  <c:v>8.1</c:v>
                </c:pt>
                <c:pt idx="5">
                  <c:v>12.2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-35</c:v>
                </c:pt>
                <c:pt idx="1">
                  <c:v>-19.3</c:v>
                </c:pt>
                <c:pt idx="2">
                  <c:v>-5.5</c:v>
                </c:pt>
                <c:pt idx="3">
                  <c:v>3.4</c:v>
                </c:pt>
                <c:pt idx="4">
                  <c:v>6.5</c:v>
                </c:pt>
                <c:pt idx="5">
                  <c:v>10.8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-60.8</c:v>
                </c:pt>
                <c:pt idx="1">
                  <c:v>-2.8</c:v>
                </c:pt>
                <c:pt idx="2">
                  <c:v>-28.7</c:v>
                </c:pt>
                <c:pt idx="3">
                  <c:v>5.1</c:v>
                </c:pt>
                <c:pt idx="4">
                  <c:v>22.4</c:v>
                </c:pt>
                <c:pt idx="5">
                  <c:v>19.3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20.4</c:v>
                </c:pt>
                <c:pt idx="1">
                  <c:v>20.4</c:v>
                </c:pt>
                <c:pt idx="2">
                  <c:v>13.8</c:v>
                </c:pt>
                <c:pt idx="3">
                  <c:v>18.2</c:v>
                </c:pt>
                <c:pt idx="4">
                  <c:v>20.4</c:v>
                </c:pt>
                <c:pt idx="5">
                  <c:v>20.1</c:v>
                </c:pt>
                <c:pt idx="6">
                  <c:v>14.5</c:v>
                </c:pt>
                <c:pt idx="7">
                  <c:v>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35</c:v>
                </c:pt>
                <c:pt idx="1">
                  <c:v>51</c:v>
                </c:pt>
                <c:pt idx="2">
                  <c:v>32</c:v>
                </c:pt>
                <c:pt idx="3">
                  <c:v>33</c:v>
                </c:pt>
                <c:pt idx="4">
                  <c:v>28</c:v>
                </c:pt>
                <c:pt idx="5">
                  <c:v>27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17</c:v>
                </c:pt>
                <c:pt idx="1">
                  <c:v>34</c:v>
                </c:pt>
                <c:pt idx="2">
                  <c:v>14</c:v>
                </c:pt>
                <c:pt idx="3">
                  <c:v>13</c:v>
                </c:pt>
                <c:pt idx="4">
                  <c:v>12</c:v>
                </c:pt>
                <c:pt idx="5">
                  <c:v>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-3585</c:v>
                </c:pt>
                <c:pt idx="1">
                  <c:v>-969</c:v>
                </c:pt>
                <c:pt idx="2">
                  <c:v>206</c:v>
                </c:pt>
                <c:pt idx="3">
                  <c:v>3191</c:v>
                </c:pt>
                <c:pt idx="4">
                  <c:v>6723</c:v>
                </c:pt>
                <c:pt idx="5">
                  <c:v>9606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-6768</c:v>
                </c:pt>
                <c:pt idx="1">
                  <c:v>-496</c:v>
                </c:pt>
                <c:pt idx="2">
                  <c:v>-9141</c:v>
                </c:pt>
                <c:pt idx="3">
                  <c:v>1887</c:v>
                </c:pt>
                <c:pt idx="4">
                  <c:v>9856</c:v>
                </c:pt>
                <c:pt idx="5">
                  <c:v>10053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-19.3</c:v>
                </c:pt>
                <c:pt idx="1">
                  <c:v>-14.1</c:v>
                </c:pt>
                <c:pt idx="2">
                  <c:v>-7.7</c:v>
                </c:pt>
                <c:pt idx="3">
                  <c:v>7.5</c:v>
                </c:pt>
                <c:pt idx="4">
                  <c:v>13.4</c:v>
                </c:pt>
                <c:pt idx="5">
                  <c:v>19.9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10.4</c:v>
                </c:pt>
                <c:pt idx="1">
                  <c:v>10.4</c:v>
                </c:pt>
                <c:pt idx="2">
                  <c:v>10.4</c:v>
                </c:pt>
                <c:pt idx="3">
                  <c:v>10.4</c:v>
                </c:pt>
                <c:pt idx="4">
                  <c:v>10.4</c:v>
                </c:pt>
                <c:pt idx="5">
                  <c:v>10.4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-55.2</c:v>
                </c:pt>
                <c:pt idx="1">
                  <c:v>-3.7</c:v>
                </c:pt>
                <c:pt idx="2">
                  <c:v>-83.9</c:v>
                </c:pt>
                <c:pt idx="3">
                  <c:v>20.3</c:v>
                </c:pt>
                <c:pt idx="4">
                  <c:v>60.1</c:v>
                </c:pt>
                <c:pt idx="5">
                  <c:v>41.4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-0.42</c:v>
                </c:pt>
                <c:pt idx="1">
                  <c:v>-2.12</c:v>
                </c:pt>
                <c:pt idx="2">
                  <c:v>-6.63</c:v>
                </c:pt>
                <c:pt idx="3">
                  <c:v>2.16</c:v>
                </c:pt>
                <c:pt idx="4">
                  <c:v>0.79</c:v>
                </c:pt>
                <c:pt idx="5">
                  <c:v>0.49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2000</c:v>
                </c:pt>
                <c:pt idx="1">
                  <c:v>0</c:v>
                </c:pt>
                <c:pt idx="2">
                  <c:v>2875</c:v>
                </c:pt>
                <c:pt idx="3">
                  <c:v>1500</c:v>
                </c:pt>
                <c:pt idx="4">
                  <c:v>1250</c:v>
                </c:pt>
                <c:pt idx="5">
                  <c:v>5000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1471</c:v>
                </c:pt>
                <c:pt idx="1">
                  <c:v>2314</c:v>
                </c:pt>
                <c:pt idx="2">
                  <c:v>59</c:v>
                </c:pt>
                <c:pt idx="3">
                  <c:v>0</c:v>
                </c:pt>
                <c:pt idx="4">
                  <c:v>0</c:v>
                </c:pt>
                <c:pt idx="5">
                  <c:v>815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1252</c:v>
                </c:pt>
                <c:pt idx="5">
                  <c:v>6523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Vanguard</c:v>
                </c:pt>
                <c:pt idx="1">
                  <c:v>BlackRock</c:v>
                </c:pt>
                <c:pt idx="2">
                  <c:v>Capital Research Global Investors</c:v>
                </c:pt>
                <c:pt idx="3">
                  <c:v>Public Investment Fund (Arabia Saudí)</c:v>
                </c:pt>
                <c:pt idx="4">
                  <c:v>FMR (Fidelity)</c:v>
                </c:pt>
                <c:pt idx="5">
                  <c:v>Consejeros y directivos (grupo)</c:v>
                </c:pt>
              </c:strCache>
            </c:strRef>
          </c:cat>
          <c:val>
            <c:numRef>
              <c:f>Hoja1!$B$2:$B$7</c:f>
              <c:numCache>
                <c:formatCode>0.0"%"</c:formatCode>
                <c:ptCount val="6"/>
                <c:pt idx="0">
                  <c:v>7.53</c:v>
                </c:pt>
                <c:pt idx="1">
                  <c:v>6.82</c:v>
                </c:pt>
                <c:pt idx="2">
                  <c:v>5.78</c:v>
                </c:pt>
                <c:pt idx="3">
                  <c:v>3.57</c:v>
                </c:pt>
                <c:pt idx="4">
                  <c:v>4.7</c:v>
                </c:pt>
                <c:pt idx="5">
                  <c:v>3.81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71.5</c:v>
                </c:pt>
                <c:pt idx="1">
                  <c:v>-17.8</c:v>
                </c:pt>
                <c:pt idx="2">
                  <c:v>-41</c:v>
                </c:pt>
                <c:pt idx="3">
                  <c:v>149</c:v>
                </c:pt>
                <c:pt idx="4">
                  <c:v>-2</c:v>
                </c:pt>
                <c:pt idx="5">
                  <c:v>35.5</c:v>
                </c:pt>
              </c:numCache>
            </c:numRef>
          </c:val>
        </c:ser>
        <c:ser>
          <c:idx val="1"/>
          <c:order val="1"/>
          <c:tx>
            <c:strRef>
              <c:f>Hoja1!$C$1</c:f>
              <c:strCache>
                <c:ptCount val="1"/>
                <c:pt idx="0">
                  <c:v>Índice</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18.3</c:v>
                </c:pt>
                <c:pt idx="1">
                  <c:v>28.7</c:v>
                </c:pt>
                <c:pt idx="2">
                  <c:v>-18.2</c:v>
                </c:pt>
                <c:pt idx="3">
                  <c:v>26.2</c:v>
                </c:pt>
                <c:pt idx="4">
                  <c:v>24.9</c:v>
                </c:pt>
                <c:pt idx="5">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2">
                  <c:v>63.9</c:v>
                </c:pt>
                <c:pt idx="3">
                  <c:v>37.4</c:v>
                </c:pt>
                <c:pt idx="4">
                  <c:v>28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37.4</c:v>
                </c:pt>
                <c:pt idx="1">
                  <c:v>37.4</c:v>
                </c:pt>
                <c:pt idx="2">
                  <c:v>37.4</c:v>
                </c:pt>
                <c:pt idx="3">
                  <c:v>37.4</c:v>
                </c:pt>
                <c:pt idx="4">
                  <c:v>37.4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Uber</c:v>
                </c:pt>
                <c:pt idx="1">
                  <c:v>Lyft</c:v>
                </c:pt>
                <c:pt idx="2">
                  <c:v>DoorDash</c:v>
                </c:pt>
                <c:pt idx="3">
                  <c:v>Instacart (Maplebear)</c:v>
                </c:pt>
                <c:pt idx="4">
                  <c:v>Grab</c:v>
                </c:pt>
                <c:pt idx="5">
                  <c:v>Airbnb</c:v>
                </c:pt>
                <c:pt idx="6">
                  <c:v>Booking Holdings</c:v>
                </c:pt>
              </c:strCache>
            </c:strRef>
          </c:cat>
          <c:val>
            <c:numRef>
              <c:f>Hoja1!$B$2:$B$8</c:f>
              <c:numCache>
                <c:formatCode>0.0"x"</c:formatCode>
                <c:ptCount val="7"/>
                <c:pt idx="0">
                  <c:v>12.8</c:v>
                </c:pt>
                <c:pt idx="1">
                  <c:v>13.3</c:v>
                </c:pt>
                <c:pt idx="2">
                  <c:v>23.4</c:v>
                </c:pt>
                <c:pt idx="3">
                  <c:v>11.1</c:v>
                </c:pt>
                <c:pt idx="4">
                  <c:v>15.6</c:v>
                </c:pt>
                <c:pt idx="5">
                  <c:v>24.8</c:v>
                </c:pt>
                <c:pt idx="6">
                  <c:v>10.2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Uber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13.3</c:v>
                </c:pt>
              </c:numCache>
            </c:numRef>
          </c:xVal>
          <c:yVal>
            <c:numRef>
              <c:f>Hoja1!$C$2</c:f>
              <c:numCache>
                <c:formatCode>0.0"x"</c:formatCode>
                <c:ptCount val="1"/>
                <c:pt idx="0">
                  <c:v>12.8</c:v>
                </c:pt>
              </c:numCache>
            </c:numRef>
          </c:yVal>
          <c:smooth val="0"/>
        </c:ser>
        <c:ser>
          <c:idx val="1"/>
          <c:order val="1"/>
          <c:tx>
            <c:strRef>
              <c:f>Hoja1!$A$3</c:f>
              <c:strCache>
                <c:ptCount val="1"/>
                <c:pt idx="0">
                  <c:v>Lyft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13.8</c:v>
                </c:pt>
              </c:numCache>
            </c:numRef>
          </c:xVal>
          <c:yVal>
            <c:numRef>
              <c:f>Hoja1!$C$3</c:f>
              <c:numCache>
                <c:formatCode>0.0"x"</c:formatCode>
                <c:ptCount val="1"/>
                <c:pt idx="0">
                  <c:v>13.3</c:v>
                </c:pt>
              </c:numCache>
            </c:numRef>
          </c:yVal>
          <c:smooth val="0"/>
        </c:ser>
        <c:ser>
          <c:idx val="2"/>
          <c:order val="2"/>
          <c:tx>
            <c:strRef>
              <c:f>Hoja1!$A$4</c:f>
              <c:strCache>
                <c:ptCount val="1"/>
                <c:pt idx="0">
                  <c:v>DoorDash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23.9</c:v>
                </c:pt>
              </c:numCache>
            </c:numRef>
          </c:xVal>
          <c:yVal>
            <c:numRef>
              <c:f>Hoja1!$C$4</c:f>
              <c:numCache>
                <c:formatCode>0.0"x"</c:formatCode>
                <c:ptCount val="1"/>
                <c:pt idx="0">
                  <c:v>23.4</c:v>
                </c:pt>
              </c:numCache>
            </c:numRef>
          </c:yVal>
          <c:smooth val="0"/>
        </c:ser>
        <c:ser>
          <c:idx val="3"/>
          <c:order val="3"/>
          <c:tx>
            <c:strRef>
              <c:f>Hoja1!$A$5</c:f>
              <c:strCache>
                <c:ptCount val="1"/>
                <c:pt idx="0">
                  <c:v>Instacart (Maplebear)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11.7</c:v>
                </c:pt>
              </c:numCache>
            </c:numRef>
          </c:xVal>
          <c:yVal>
            <c:numRef>
              <c:f>Hoja1!$C$5</c:f>
              <c:numCache>
                <c:formatCode>0.0"x"</c:formatCode>
                <c:ptCount val="1"/>
                <c:pt idx="0">
                  <c:v>11.1</c:v>
                </c:pt>
              </c:numCache>
            </c:numRef>
          </c:yVal>
          <c:smooth val="0"/>
        </c:ser>
        <c:ser>
          <c:idx val="4"/>
          <c:order val="4"/>
          <c:tx>
            <c:strRef>
              <c:f>Hoja1!$A$6</c:f>
              <c:strCache>
                <c:ptCount val="1"/>
                <c:pt idx="0">
                  <c:v>Grab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24.5</c:v>
                </c:pt>
              </c:numCache>
            </c:numRef>
          </c:xVal>
          <c:yVal>
            <c:numRef>
              <c:f>Hoja1!$C$6</c:f>
              <c:numCache>
                <c:formatCode>0.0"x"</c:formatCode>
                <c:ptCount val="1"/>
                <c:pt idx="0">
                  <c:v>15.6</c:v>
                </c:pt>
              </c:numCache>
            </c:numRef>
          </c:yVal>
          <c:smooth val="0"/>
        </c:ser>
        <c:ser>
          <c:idx val="5"/>
          <c:order val="5"/>
          <c:tx>
            <c:strRef>
              <c:f>Hoja1!$A$7</c:f>
              <c:strCache>
                <c:ptCount val="1"/>
                <c:pt idx="0">
                  <c:v>Airbnb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13.2</c:v>
                </c:pt>
              </c:numCache>
            </c:numRef>
          </c:xVal>
          <c:yVal>
            <c:numRef>
              <c:f>Hoja1!$C$7</c:f>
              <c:numCache>
                <c:formatCode>0.0"x"</c:formatCode>
                <c:ptCount val="1"/>
                <c:pt idx="0">
                  <c:v>24.8</c:v>
                </c:pt>
              </c:numCache>
            </c:numRef>
          </c:yVal>
          <c:smooth val="0"/>
        </c:ser>
        <c:ser>
          <c:idx val="6"/>
          <c:order val="6"/>
          <c:tx>
            <c:strRef>
              <c:f>Hoja1!$A$8</c:f>
              <c:strCache>
                <c:ptCount val="1"/>
                <c:pt idx="0">
                  <c:v>Booking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c:v>
                </c:pt>
              </c:numCache>
            </c:numRef>
          </c:xVal>
          <c:yVal>
            <c:numRef>
              <c:f>Hoja1!$C$8</c:f>
              <c:numCache>
                <c:formatCode>0.0"x"</c:formatCode>
                <c:ptCount val="1"/>
                <c:pt idx="0">
                  <c:v>10.2</c:v>
                </c:pt>
              </c:numCache>
            </c:numRef>
          </c:yVal>
          <c:smooth val="0"/>
        </c:ser>
        <c:axId val="10"/>
        <c:axId val="20"/>
      </c:scatterChart>
      <c:valAx>
        <c:axId val="10"/>
        <c:scaling>
          <c:orientation val="minMax"/>
          <c:max val="29"/>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Hoja1!$A$2:$A$13</c:f>
              <c:strCache>
                <c:ptCount val="12"/>
                <c:pt idx="0">
                  <c:v>Delivery Hero (perímetro de 50 mercados)</c:v>
                </c:pt>
                <c:pt idx="1">
                  <c:v>Just Eat Takeaway.com</c:v>
                </c:pt>
                <c:pt idx="2">
                  <c:v>Deliveroo</c:v>
                </c:pt>
                <c:pt idx="3">
                  <c:v>Grubhub</c:v>
                </c:pt>
                <c:pt idx="4">
                  <c:v>Wolt</c:v>
                </c:pt>
                <c:pt idx="5">
                  <c:v>Postmates</c:v>
                </c:pt>
                <c:pt idx="6">
                  <c:v>Careem</c:v>
                </c:pt>
                <c:pt idx="7">
                  <c:v>Transplace</c:v>
                </c:pt>
                <c:pt idx="8">
                  <c:v>Trendyol GO</c:v>
                </c:pt>
                <c:pt idx="9">
                  <c:v>FreeNow</c:v>
                </c:pt>
                <c:pt idx="10">
                  <c:v>Foodpanda Taiwán</c:v>
                </c:pt>
                <c:pt idx="11">
                  <c:v>Getir (reparto de comida y minoritaria en supermercado)</c:v>
                </c:pt>
              </c:strCache>
            </c:strRef>
          </c:cat>
          <c:val>
            <c:numRef>
              <c:f>Hoja1!$B$2:$B$13</c:f>
              <c:numCache>
                <c:formatCode>0.0"x"</c:formatCode>
                <c:ptCount val="12"/>
                <c:pt idx="0">
                  <c:v>15.8</c:v>
                </c:pt>
                <c:pt idx="1">
                  <c:v>14.3</c:v>
                </c:pt>
                <c:pt idx="2">
                  <c:v>17.1</c:v>
                </c:pt>
                <c:pt idx="3">
                  <c:v>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6790</c:v>
                </c:pt>
                <c:pt idx="1">
                  <c:v>7544</c:v>
                </c:pt>
                <c:pt idx="2">
                  <c:v>8717</c:v>
                </c:pt>
                <c:pt idx="3">
                  <c:v>9894</c:v>
                </c:pt>
                <c:pt idx="4">
                  <c:v>11092</c:v>
                </c:pt>
                <c:pt idx="5">
                  <c:v>12329</c:v>
                </c:pt>
                <c:pt idx="6">
                  <c:v>13342</c:v>
                </c:pt>
                <c:pt idx="7">
                  <c:v>14340</c:v>
                </c:pt>
                <c:pt idx="8">
                  <c:v>15116</c:v>
                </c:pt>
                <c:pt idx="9">
                  <c:v>15783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67425</c:v>
                </c:pt>
                <c:pt idx="1">
                  <c:v>88580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65,78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43.43</c:v>
                </c:pt>
                <c:pt idx="1">
                  <c:v>77.41</c:v>
                </c:pt>
                <c:pt idx="2">
                  <c:v>101.48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65,78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(65,41 – 100,35)</c:v>
                </c:pt>
                <c:pt idx="1">
                  <c:v>Precio objetivo de los analistas (70,00 – 150,00)</c:v>
                </c:pt>
                <c:pt idx="2">
                  <c:v>Comparables: EV/EBITDA NTM (60,05 – 109,57)</c:v>
                </c:pt>
                <c:pt idx="3">
                  <c:v>Comparables: PER NTM (79,80 – 111,63)</c:v>
                </c:pt>
                <c:pt idx="4">
                  <c:v>Transacciones precedentes (EV/EBITDA) (56,75 – 61,92)</c:v>
                </c:pt>
                <c:pt idx="5">
                  <c:v>DCF (WACC y g ± 0,5) (69,86 – 87,24)</c:v>
                </c:pt>
                <c:pt idx="6">
                  <c:v>Escenarios (bajista – alcista) (43,43 – 101,48)</c:v>
                </c:pt>
                <c:pt idx="7">
                  <c:v>Suma de partes (57,58 – 77,49)</c:v>
                </c:pt>
                <c:pt idx="8">
                  <c:v>DCF con la prima implícita del mercado (4,2 %)</c:v>
                </c:pt>
                <c:pt idx="9">
                  <c:v>Precio actual (65,78)</c:v>
                </c:pt>
              </c:strCache>
            </c:strRef>
          </c:cat>
          <c:val>
            <c:numRef>
              <c:f>Hoja1!$B$2:$B$11</c:f>
              <c:numCache>
                <c:formatCode>#,##0</c:formatCode>
                <c:ptCount val="10"/>
                <c:pt idx="0">
                  <c:v>65.41</c:v>
                </c:pt>
                <c:pt idx="1">
                  <c:v>70</c:v>
                </c:pt>
                <c:pt idx="2">
                  <c:v>60.05</c:v>
                </c:pt>
                <c:pt idx="3">
                  <c:v>79.8</c:v>
                </c:pt>
                <c:pt idx="4">
                  <c:v>56.75</c:v>
                </c:pt>
                <c:pt idx="5">
                  <c:v>69.86</c:v>
                </c:pt>
                <c:pt idx="6">
                  <c:v>43.43</c:v>
                </c:pt>
                <c:pt idx="7">
                  <c:v>57.58</c:v>
                </c:pt>
                <c:pt idx="8">
                  <c:v>81.64</c:v>
                </c:pt>
                <c:pt idx="9">
                  <c:v>65.45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(65,41 – 100,35)</c:v>
                </c:pt>
                <c:pt idx="1">
                  <c:v>Precio objetivo de los analistas (70,00 – 150,00)</c:v>
                </c:pt>
                <c:pt idx="2">
                  <c:v>Comparables: EV/EBITDA NTM (60,05 – 109,57)</c:v>
                </c:pt>
                <c:pt idx="3">
                  <c:v>Comparables: PER NTM (79,80 – 111,63)</c:v>
                </c:pt>
                <c:pt idx="4">
                  <c:v>Transacciones precedentes (EV/EBITDA) (56,75 – 61,92)</c:v>
                </c:pt>
                <c:pt idx="5">
                  <c:v>DCF (WACC y g ± 0,5) (69,86 – 87,24)</c:v>
                </c:pt>
                <c:pt idx="6">
                  <c:v>Escenarios (bajista – alcista) (43,43 – 101,48)</c:v>
                </c:pt>
                <c:pt idx="7">
                  <c:v>Suma de partes (57,58 – 77,49)</c:v>
                </c:pt>
                <c:pt idx="8">
                  <c:v>DCF con la prima implícita del mercado (4,2 %)</c:v>
                </c:pt>
                <c:pt idx="9">
                  <c:v>Precio actual (65,78)</c:v>
                </c:pt>
              </c:strCache>
            </c:strRef>
          </c:cat>
          <c:val>
            <c:numRef>
              <c:f>Hoja1!$C$2:$C$11</c:f>
              <c:numCache>
                <c:formatCode>#,##0</c:formatCode>
                <c:ptCount val="10"/>
                <c:pt idx="0">
                  <c:v>34.94</c:v>
                </c:pt>
                <c:pt idx="1">
                  <c:v>80</c:v>
                </c:pt>
                <c:pt idx="2">
                  <c:v>49.519999999999996</c:v>
                </c:pt>
                <c:pt idx="3">
                  <c:v>31.83</c:v>
                </c:pt>
                <c:pt idx="4">
                  <c:v>5.170000000000002</c:v>
                </c:pt>
                <c:pt idx="5">
                  <c:v>17.379999999999995</c:v>
                </c:pt>
                <c:pt idx="6">
                  <c:v>58.050000000000004</c:v>
                </c:pt>
                <c:pt idx="7">
                  <c:v>19.909999999999997</c:v>
                </c:pt>
                <c:pt idx="8">
                  <c:v>14.010000000000005</c:v>
                </c:pt>
                <c:pt idx="9">
                  <c:v>0.6599999999999966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