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InterDigital, Inc.</w:t>
      </w:r>
    </w:p>
    <w:p>
      <w:pPr>
        <w:spacing w:after="60"/>
        <w:rPr>
          <w:color w:val="52514E"/>
          <w:sz w:val="22"/>
          <w:szCs w:val="22"/>
        </w:rPr>
      </w:pPr>
      <w:r>
        <w:rPr>
          <w:color w:val="52514E"/>
          <w:sz w:val="22"/>
          <w:szCs w:val="22"/>
        </w:rPr>
        <w:t xml:space="preserve">IDCC · Nasdaq Global Select Market · ISIN US45867G1013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322,40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298,59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+7,5 %)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151,64 USD · mercado 170,33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9.865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InterDigital,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IDCC / US45867G1013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(licencias de propiedad intelectual)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Wilmington, Delaware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www.interdigital.com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322,40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249,14 – 412,60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67,5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298,59 USD</w:t>
      </w:r>
      <w:r>
        <w:t xml:space="preserve"> frente a 322,40 · Rentabilidad a 12 meses </w:t>
      </w:r>
      <w:r>
        <w:rPr>
          <w:b/>
          <w:bCs/>
        </w:rPr>
        <w:t xml:space="preserve">-6,5 % (base +7,5 %)</w:t>
      </w:r>
      <w:r>
        <w:t xml:space="preserve"> · Valor intrínseco 151,64 USD · con la prima implícita del mercado: 170,33 (-47,2 %) · Alcista / bajista -43,3 % / -69,6 %</w:t>
      </w:r>
    </w:p>
    <w:p>
      <w:pPr>
        <w:spacing w:after="100"/>
      </w:pPr>
      <w:r>
        <w:rPr>
          <w:b/>
        </w:rPr>
        <w:t xml:space="preserve">La recomendación y por qué.</w:t>
      </w:r>
      <w:r>
        <w:t xml:space="preserve"> Mantener, con convicción media; no es una compra. El objetivo a 12 meses es de 298,59 USD (nuestro BPA GAAP de 2028e × el PER de la regla común), un −6,5 % de rentabilidad ponderada con el dividendo y un +7,5 % en el caso base, frente a un precio de 322,40 USD (cierre del 19-oct-2026). El valor intrínseco (151,64 USD) queda un 53,0 % por debajo del precio. La razón principal: InterDigital es un negocio de calidad, pero el precio ya paga que cumpla su plan de 2030 y más; el DCF inverso descuenta un crecimiento del 15,3 % anual durante diez años, y el BPA de 2026-2028 baja frente a 2025 porque desaparecen los cobros atrasados. Compraríamos por debajo de 151,64 USD; venderíamos por encima de 334,77. La convicción es media porque las dos reglas del valor intrínseco (con nuestro WACC y con la prima del mercado) coinciden y el precio está lejos del de compra, pero solo un 3,8 % bajo el de venta; la convicción en no comprar subiría con un ARR plano en el 3T26 y bajaría con un laudo de Amazon alto o un ARR por encima de 800 M en 2027.</w:t>
      </w:r>
    </w:p>
    <w:p>
      <w:pPr>
        <w:spacing w:after="100"/>
      </w:pPr>
      <w:r>
        <w:rPr>
          <w:b/>
        </w:rPr>
        <w:t xml:space="preserve">El negocio.</w:t>
      </w:r>
      <w:r>
        <w:t xml:space="preserve"> InterDigital inventa tecnología para los estándares de telefonía móvil (3G a 6G), wifi y vídeo, la patenta y cobra licencias a quien la usa: fabricantes de móviles (60-70 % de los ingresos), televisores, coches e IoT, y desde 2026 plataformas de vídeo (Amazon) [1]. El 93 % es de cuota fija. Concentración muy alta: Samsung (31 %), Apple (16 %) y vivo (14 %) dieron el 61 % de 2025; Apple renueva en septiembre de 2029 y Samsung a finales de 2030 [1]. El ROIC exigente, sin atrasados y con la investigación capitalizada, es de ≈ 19 %, ≈ 7 puntos sobre el WACC: calidad «Sí». La sostenibilidad del crecimiento es «Sí»: proyectamos un 1,9 % anual, muy por debajo del histórico.</w:t>
      </w:r>
    </w:p>
    <w:p>
      <w:pPr>
        <w:spacing w:after="100"/>
      </w:pPr>
      <w:r>
        <w:rPr>
          <w:b/>
        </w:rPr>
        <w:t xml:space="preserve">Finanzas.</w:t>
      </w:r>
      <w:r>
        <w:t xml:space="preserve"> Los ingresos pasaron de 359 M USD en 2020 a 834 M en 2025, pero 277 M de 2025 fueron atrasados; el ARR, la parte que se repite, es de 626 M (+13 %) [3, 4]. La guía de 2026 es de 775-845 M y un BPA GAAP de 7,91-9,67 USD (9,78 por acción económica en nuestro cálculo). Caja neta de ≈ 734 M y flujo operativo de 545 M en 2025.</w:t>
      </w:r>
    </w:p>
    <w:p>
      <w:pPr>
        <w:spacing w:after="100"/>
      </w:pPr>
      <w:r>
        <w:rPr>
          <w:b/>
        </w:rPr>
        <w:t xml:space="preserve">Equipo y gobierno.</w:t>
      </w:r>
      <w:r>
        <w:t xml:space="preserve"> Liren Chen, consejero delegado desde 2021, ha firmado Samsung, Apple, Xiaomi y Amazon y ha llevado el ARR a máximos [3]. Siete de ocho consejeros independientes y presidente independiente; apoyo del 98,1 % a la remuneración en 2026 [15, 16]. Debilidad: ventas de directivos de 27,2 M USD en 12 meses sin compras [18].</w:t>
      </w:r>
    </w:p>
    <w:p>
      <w:pPr>
        <w:spacing w:after="100"/>
      </w:pPr>
      <w:r>
        <w:rPr>
          <w:b/>
        </w:rPr>
        <w:t xml:space="preserve">Valoración.</w:t>
      </w:r>
      <w:r>
        <w:t xml:space="preserve"> El DCF da 145,66 USD (−54,8 %) con un WACC del 11,61 %; con la prima del mercado (4,2 %) 168,05. La regla a 12 meses lleva el PER de 34,8 a 33,7 veces y el bajista al mínimo de cinco años (14,5): ahí está el riesgo. Los comparables (Qualcomm, Nokia, Dolby) cotizan a 13-19 veces.</w:t>
      </w:r>
    </w:p>
    <w:p>
      <w:pPr>
        <w:spacing w:after="100"/>
      </w:pPr>
      <w:r>
        <w:rPr>
          <w:b/>
        </w:rPr>
        <w:t xml:space="preserve">Riesgos y catalizadores.</w:t>
      </w:r>
      <w:r>
        <w:t xml:space="preserve"> El mayor riesgo es el precio: con el múltiplo de 2024 (14,5 veces) la acción perdería un 60 %. Después, las renovaciones de Apple y Samsung, la impugnación del laudo de Samsung, los arbitrajes de Lenovo y Amazon y la regulación FRAND en el Reino Unido y China. El riesgo de IA es medio: códecs con IA y AV1/AV2 pueden restar valor al streaming. Catalizador: resultados del 3T26 el 29-oct-2026. Sentimiento dividido y mejorando.</w:t>
      </w:r>
    </w:p>
    <w:p>
      <w:pPr>
        <w:spacing w:after="100"/>
      </w:pPr>
      <w:r>
        <w:rPr>
          <w:b/>
        </w:rPr>
        <w:t xml:space="preserve">Qué cambiaría la decisión.</w:t>
      </w:r>
      <w:r>
        <w:t xml:space="preserve"> Comprar por debajo de 151,64 USD; Mantener entre 151,64 y 334,77; vender por encima de 334,77 (un 3,8 % sobre el precio). Un laudo de Amazon alto con el ARR por encima de 800 M en 2027 subiría nuestro caso; un ARR plano o una renovación de Apple a la baja, lo contrario.</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298,59 USD</w:t>
      </w:r>
      <w:r>
        <w:t xml:space="preserve"> (rentabilidad -6,5 % (base +7,5 %)) · Valor intrínseco: 151,64 USD (-53,0 % sobre 322,40) · con la prima implícita del mercado: 170,33 (-47,2 %)</w:t>
      </w:r>
    </w:p>
    <w:p>
      <w:pPr>
        <w:spacing w:after="100"/>
      </w:pPr>
      <w:r>
        <w:t xml:space="preserve">InterDigital es una de las pocas empresas que viven de inventar estándares: su cartera de unas 38.000 patentes y solicitudes de móviles, wifi y vídeo [1] la licencian ≈ 85 % del mercado de teléfonos, y desde 2026 Amazon [1, 4]. Cobra cuotas fijas, con ≈ 460 empleados y un margen EBITDA GAAP del 54-65 %, y cada licencia nueva casi no tiene coste: el ROIC exigente es del ≈ 19 % sin contar ningún atrasado.</w:t>
      </w:r>
    </w:p>
    <w:p>
      <w:pPr>
        <w:spacing w:after="100"/>
      </w:pPr>
      <w:r>
        <w:t xml:space="preserve">El precio descuenta mucho más que eso: el DCF inverso pide un 15,3 % de crecimiento anual durante diez años con nuestro margen, frente al 1,9 % de nuestro base y al plan de la empresa (ARR de más de 1.000 M en 2030, ≈ +10 % anual). Cotiza a 34,8 veces el BPA GAAP de los próximos 12 meses, en la mediana de su historia (32,6) pero el doble que Qualcomm o Nokia.</w:t>
      </w:r>
    </w:p>
    <w:p>
      <w:pPr>
        <w:spacing w:after="100"/>
      </w:pPr>
      <w:r>
        <w:t xml:space="preserve">El mercado acierta en que el negocio es mejor que hace cinco años (Samsung con +67 %, Apple hasta 2029, Amazon), pero la mitad de los ingresos depende de dos clientes que renuevan en 2029-2030 y el streaming depende de litigios. A 12 meses, la regla da un base del +7,5 % y una ponderada negativa: hay que creer que el PER se queda en ≈ 34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 × 8,23 = 119,34 · 33,7x × 10,20 = 343,74 · 33,7x × 11,50 = 387,55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462,67 (nuestro base -25,7 %)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 / -69,6 %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11,6 % y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151,64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151,64 y 334,77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334,77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151,64 USD: Comprar (ponderada ≥ 15 %, base ≥ 12 % y valor intrínseco por encima).</w:t>
      </w:r>
    </w:p>
    <w:p>
      <w:pPr>
        <w:pStyle w:val="ListParagraph"/>
        <w:numPr>
          <w:ilvl w:val="0"/>
          <w:numId w:val="2"/>
        </w:numPr>
        <w:spacing w:after="60"/>
      </w:pPr>
      <w:r>
        <w:t xml:space="preserve">Precio por encima de 334,77 USD: Vender (ponderada ≤ −10 %).</w:t>
      </w:r>
    </w:p>
    <w:p>
      <w:pPr>
        <w:pStyle w:val="ListParagraph"/>
        <w:numPr>
          <w:ilvl w:val="0"/>
          <w:numId w:val="2"/>
        </w:numPr>
        <w:spacing w:after="60"/>
      </w:pPr>
      <w:r>
        <w:t xml:space="preserve">ARR por encima de 800 M en 2027 con Amazon y Disney cobrando: revisar el caso base al alza.</w:t>
      </w:r>
    </w:p>
    <w:p>
      <w:pPr>
        <w:pStyle w:val="ListParagraph"/>
        <w:numPr>
          <w:ilvl w:val="0"/>
          <w:numId w:val="2"/>
        </w:numPr>
        <w:spacing w:after="60"/>
      </w:pPr>
      <w:r>
        <w:t xml:space="preserve">Renovación de Apple o Samsung con recorte, o anulación del laudo de Samsung: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ARR llega a más de 1.000 M en 2030 (streaming más de 300 M) y que el PER de 30-40 veces es el normal; los analistas esperan ≈ 463 USD, un 44 % sobre el precio.</w:t>
      </w:r>
    </w:p>
    <w:p>
      <w:pPr>
        <w:keepNext/>
        <w:spacing w:after="100"/>
      </w:pPr>
      <w:r>
        <w:rPr>
          <w:b/>
          <w:bCs/>
        </w:rPr>
        <w:t xml:space="preserve">Lo que creemos nosotros.</w:t>
      </w:r>
    </w:p>
    <w:p>
      <w:pPr>
        <w:spacing w:after="100"/>
      </w:pPr>
      <w:r>
        <w:t xml:space="preserve">Coincidimos en el BPA de 2027 (≈ 11,58 no GAAP frente a 11,27) y discrepamos en lo que vale: el plan de streaming depende de arbitrajes y litigios, y los dos mayores clientes renuevan en 2029-2030.</w:t>
      </w:r>
    </w:p>
    <w:p>
      <w:pPr>
        <w:keepNext/>
        <w:spacing w:after="100"/>
      </w:pPr>
      <w:r>
        <w:rPr>
          <w:b/>
          <w:bCs/>
        </w:rPr>
        <w:t xml:space="preserve">Por qué podemos tener razón.</w:t>
      </w:r>
    </w:p>
    <w:p>
      <w:pPr>
        <w:spacing w:after="100"/>
      </w:pPr>
      <w:r>
        <w:t xml:space="preserve">Entre 2022 y 2024 el mercado pagó 14-16 veces el BPA de InterDigital; el múltiplo actual da por hecho un éxito que aún no está firmado, y los atrasados que inflaron 2024-2025 no se repiten.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22,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Ingresos contratados</w:t>
      </w:r>
      <w:r>
        <w:t xml:space="preserve">: 2.113 M de cuota fija hasta 2030; 93 % de los ingresos de 2025 sin depender de ventas.</w:t>
      </w:r>
    </w:p>
    <w:p>
      <w:pPr>
        <w:pStyle w:val="ListParagraph"/>
        <w:numPr>
          <w:ilvl w:val="0"/>
          <w:numId w:val="2"/>
        </w:numPr>
        <w:spacing w:after="60"/>
      </w:pPr>
      <w:r>
        <w:rPr>
          <w:b/>
        </w:rPr>
        <w:t xml:space="preserve">ARR récord</w:t>
      </w:r>
      <w:r>
        <w:t xml:space="preserve">: 626 M (+13 %) con Xiaomi y Amazon; ≈ 85 % del mercado de móviles licenciado.</w:t>
      </w:r>
    </w:p>
    <w:p>
      <w:pPr>
        <w:pStyle w:val="ListParagraph"/>
        <w:numPr>
          <w:ilvl w:val="0"/>
          <w:numId w:val="2"/>
        </w:numPr>
        <w:spacing w:after="60"/>
      </w:pPr>
      <w:r>
        <w:rPr>
          <w:b/>
        </w:rPr>
        <w:t xml:space="preserve">Poder de precio</w:t>
      </w:r>
      <w:r>
        <w:t xml:space="preserve">: Samsung +67 % por arbitraje; mandatos contra Disney en once países.</w:t>
      </w:r>
    </w:p>
    <w:p>
      <w:pPr>
        <w:pStyle w:val="ListParagraph"/>
        <w:numPr>
          <w:ilvl w:val="0"/>
          <w:numId w:val="2"/>
        </w:numPr>
        <w:spacing w:after="60"/>
      </w:pPr>
      <w:r>
        <w:rPr>
          <w:b/>
        </w:rPr>
        <w:t xml:space="preserve">Calidad</w:t>
      </w:r>
      <w:r>
        <w:t xml:space="preserve">: ROIC exigente ≈ 19 % sin atrasados; caja neta de ≈ 734 M.</w:t>
      </w:r>
    </w:p>
    <w:p>
      <w:pPr>
        <w:pStyle w:val="ListParagraph"/>
        <w:numPr>
          <w:ilvl w:val="0"/>
          <w:numId w:val="2"/>
        </w:numPr>
        <w:spacing w:after="60"/>
      </w:pPr>
      <w:r>
        <w:rPr>
          <w:b/>
        </w:rPr>
        <w:t xml:space="preserve">6G e IA</w:t>
      </w:r>
      <w:r>
        <w:t xml:space="preserve">: investigación en los estándares de 2029-2030 y Deep Render en códecs neuronales.</w:t>
      </w:r>
    </w:p>
    <w:p>
      <w:pPr>
        <w:pStyle w:val="Heading2"/>
      </w:pPr>
      <w:r>
        <w:t xml:space="preserve">En contra</w:t>
      </w:r>
    </w:p>
    <w:p>
      <w:pPr>
        <w:pStyle w:val="ListParagraph"/>
        <w:numPr>
          <w:ilvl w:val="0"/>
          <w:numId w:val="2"/>
        </w:numPr>
        <w:spacing w:after="60"/>
      </w:pPr>
      <w:r>
        <w:rPr>
          <w:b/>
        </w:rPr>
        <w:t xml:space="preserve">Precio</w:t>
      </w:r>
      <w:r>
        <w:t xml:space="preserve">: el DCF vale 145,66 USD (−54,8 %); el precio descuenta un 15,3 % de crecimiento anual.</w:t>
      </w:r>
    </w:p>
    <w:p>
      <w:pPr>
        <w:pStyle w:val="ListParagraph"/>
        <w:numPr>
          <w:ilvl w:val="0"/>
          <w:numId w:val="2"/>
        </w:numPr>
        <w:spacing w:after="60"/>
      </w:pPr>
      <w:r>
        <w:rPr>
          <w:b/>
        </w:rPr>
        <w:t xml:space="preserve">Concentración</w:t>
      </w:r>
      <w:r>
        <w:t xml:space="preserve">: Samsung, Apple y vivo, el 61 % de 2025; Apple renueva en 2029 y Samsung en 2030.</w:t>
      </w:r>
    </w:p>
    <w:p>
      <w:pPr>
        <w:pStyle w:val="ListParagraph"/>
        <w:numPr>
          <w:ilvl w:val="0"/>
          <w:numId w:val="2"/>
        </w:numPr>
        <w:spacing w:after="60"/>
      </w:pPr>
      <w:r>
        <w:rPr>
          <w:b/>
        </w:rPr>
        <w:t xml:space="preserve">Atrasados que no se repiten</w:t>
      </w:r>
      <w:r>
        <w:t xml:space="preserve">: el BPA GAAP baja de 13,38 (2025) a ≈ 9,1-10,2 en 2027-2028.</w:t>
      </w:r>
    </w:p>
    <w:p>
      <w:pPr>
        <w:pStyle w:val="ListParagraph"/>
        <w:numPr>
          <w:ilvl w:val="0"/>
          <w:numId w:val="2"/>
        </w:numPr>
        <w:spacing w:after="60"/>
      </w:pPr>
      <w:r>
        <w:rPr>
          <w:b/>
        </w:rPr>
        <w:t xml:space="preserve">Litigios</w:t>
      </w:r>
      <w:r>
        <w:t xml:space="preserve">: Samsung impugna el laudo de 1.050 M; Lenovo y Amazon en arbitraje; Disney sin pagar.</w:t>
      </w:r>
    </w:p>
    <w:p>
      <w:pPr>
        <w:pStyle w:val="ListParagraph"/>
        <w:numPr>
          <w:ilvl w:val="0"/>
          <w:numId w:val="2"/>
        </w:numPr>
        <w:spacing w:after="60"/>
      </w:pPr>
      <w:r>
        <w:rPr>
          <w:b/>
        </w:rPr>
        <w:t xml:space="preserve">IA y códecs libres</w:t>
      </w:r>
      <w:r>
        <w:t xml:space="preserve">: AV1/AV2 y códecs neuronales pueden restar valor al streaming.</w:t>
      </w:r>
    </w:p>
    <w:p>
      <w:pPr>
        <w:pStyle w:val="Heading2"/>
      </w:pPr>
      <w:r>
        <w:t xml:space="preserve">Qué tiene que pasar para que la tesis funcione</w:t>
      </w:r>
    </w:p>
    <w:p>
      <w:pPr>
        <w:spacing w:after="100"/>
      </w:pPr>
      <w:r>
        <w:t xml:space="preserve">La tesis depende de que el ARR siga creciendo con el streaming (Amazon, Disney) sin que bajen los móviles, y de que las renovaciones de 2029-2030 mantengan el precio. La señal en contra sería un ARR plano dos trimestres, un laudo de Lenovo o Amazon por debajo de lo reconocido, o un precio de Apple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(ingresos recurrentes anualizados)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que se repite; base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contratados de cuota fija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 M (30-jun-2026)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Bajada sin renovaciones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visibilidad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streaming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M a final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que el mercado paga.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operativos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 M en el 2T26 (+27 %)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130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litigios aprietan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tres mayores licenciatarios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y renovaciones.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 / 28,5x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1972, InterDigital nació como empresa de tecnología inalámbrica y se convirtió en una de las pocas casas de investigación «pura» que financian I+D con licencias de patentes esenciales para los estándares celulares (3G, 4G, 5G y ya 6G) y Wi-Fi [1]. En 2018-2019 compró a Technicolor su negocio de licencias y su unidad de investigación de vídeo, que le dio el catálogo de códecs (HEVC, VVC) y de televisión con el que abrió los programas de electrónica de consumo y, en 2026, de streaming [1]. Desde 2021 la dirige Liren Chen, antes jefe mundial de propiedad intelectual de Qualcomm, que ha cerrado las grandes renovaciones (Apple 2022, Samsung por arbitraje en 2025, Xiaomi 2026) y llevado la estrategia a litigar en el Tribunal Unificado de Patentes, Alemania, Brasil e India [1,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la empresa contribuye a los sistemas celulares digitales desde los primeros estándares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licencias de patentes de Technicolor (vídeo y televisores)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unidad de investigación e innovación de Technicolor: nace el área de vídeo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Liren Chen, de Qualcomm, consejero delegado; reestructuración (28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con Apple hasta el 30-sep-2029; convertible de 460 M al 3,5 % con vencimiento en 2027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OPPO y de los televisores de Samsung, arbitraje con Lenovo: 460 M de ingresos atrasados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 de Samsung (1.050 M en ocho años), licencias de vivo, Honor y HP; demandas contra Disney y Amazon; compra de Deep Render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de Xiaomi, televisores de LG, acuerdo con Amazon con precio por arbitraje; entrada en el S&amp;P MidCap 400 [2, 4].</w:t>
            </w:r>
          </w:p>
        </w:tc>
      </w:tr>
    </w:tbl>
    <w:p>
      <w:pPr>
        <w:spacing w:after="160" w:before="0"/>
      </w:pPr>
    </w:p>
    <w:p>
      <w:pPr>
        <w:pStyle w:val="Heading1"/>
      </w:pPr>
      <w:r>
        <w:t xml:space="preserve">2. Modelo de negocio</w:t>
      </w:r>
    </w:p>
    <w:p>
      <w:pPr>
        <w:spacing w:after="100"/>
      </w:pPr>
      <w:r>
        <w:t xml:space="preserve">InterDigital investiga y patenta tecnología inalámbrica (celular 4G, 5G y 6G, Wi-Fi), de vídeo (compresión HEVC y VVC, alto rango dinámico, transporte de vídeo) y de IA aplicada a ambas, la aporta a los estándares y cobra licencias a quien los usa [1]. Clientes: los fabricantes de móviles (8 de los 10 mayores, ≈ 85 % del mercado), de televisores y ordenadores (Samsung, LG, HP), de IoT y coches, y desde 2026 plataformas de vídeo (Amazon) [4]. Tiene ≈ 40.000 patentes y solicitudes, 460 empleados (240 fuera de EE. UU., sobre todo en Francia y Canadá) y sede en Wilmington, Delaware [1, 4].</w:t>
      </w:r>
    </w:p>
    <w:p>
      <w:pPr>
        <w:pStyle w:val="Heading2"/>
      </w:pPr>
      <w:r>
        <w:t xml:space="preserve">Cómo gana dinero</w:t>
      </w:r>
    </w:p>
    <w:p>
      <w:pPr>
        <w:spacing w:after="100"/>
      </w:pPr>
      <w:r>
        <w:t xml:space="preserve">Cobra regalías por licencias de varios años, el 93 % de cuota fija (no dependen de las unidades vendidas) y el resto por unidad [1]. Cuando un cliente firma tarde paga además los años en que usó las patentes sin licencia: son los ingresos «atrasados», que suponen el 29 % de los ingresos de 2020-2025 (1.028 de 3.495 M; estimación propia con las cifras de los 10-K) [1]. El coste es casi fijo: investigación (211 M), licencias y litigios (94 M, la mitad de litigios) y administración (68 M) en 2025 [1], así que cada dólar nuevo de licencia llega casi entero al beneficio (margen EBITDA del 65 % en 2025). La estacionalidad la marcan las firmas y los laudos, no las ventas.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Smartphone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 IoT/Auto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Streaming y nube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Smartphone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 IoT/Auto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Streaming y nube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muy alta: en 2025 tres licenciatarios superaron el 10 % de los ingresos (Samsung 31 %, Apple 16 % y vivo 14 %) y sumaron el 61 % [1]; en 2024 fueron el 79 % [1]. En el 2T26 Amazon fue el 42 % por los atrasados, y Apple y Samsung el 13 % cada uno [2]. El 93 % de los ingresos de 2025 vino de contratos de cuota fija, que no dependen de las ventas del cliente [1]. Plazos: Apple hasta el 30-sep-2029, Samsung (móviles) hasta el 31-dic-2030, Xiaomi cinco años desde enero de 2026 [1]; el acuerdo de televisores de Samsung venció el 31-dic-2025 sin renovar, y cinco contratos que daban 31,7 M al año siguen sin renovar [1]. Poder de precio demostrado en renovaciones: Samsung +67 % por arbitraje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anualizados, ARR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582,4 al cierre de 2025; objetivo de más de 1.000 M en 2030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móviles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417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2030 ≈ 500 M: ya casi alcanzado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streaming y nube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Amazon, con estimación prudente; objetivo 2030 de más de 300 M [4,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atrasados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167,4 M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mercado de móviles licenciada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85 %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de los 10 mayores fabricantes; fuera Transsion (en litigio) y Lenovo en arbitraje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contratados de cuota fija pendientes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 (30-jun-2026)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573 M en 2027, 477 M en 2028, 417 M en 2029 y 281 M en 2030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licencias de patentes de tecnología estándar (celular, Wi-Fi y códecs de vídeo) que pagan los fabricantes de dispositivos y, desde 2026, las plataformas de vídeo. Es un mercado de pocos licenciantes con catálogos grandes: Qualcomm (QTL), Nokia Technologies, Ericsson, Huawei, InterDigital y, en vídeo, Dolby y los consorcios de patentes [1, 11, 12]. No hay estadística oficial: lo medimos como la suma de los ingresos de licencias publicados por los licenciantes cotizados (estimación propia). La empresa usa como mercado alcanzable el de los productos finales: móviles (≈ 465.000 M USD de ventas mayoristas en 2025), electrónica de consumo e IoT (≈ 440.000 M) y vídeo por suscripción y con publicidad (≈ 485.000 M), con datos de Counterpoint y Omdia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9.200 M USD en 2025 (estimación propia: Qualcomm QTL 5.582 M [11], Nokia Technologies 1.501 M EUR ≈ 1.685 M USD [12, 14], Dolby 1.349 M [13], InterDigital 834 M [1]; sin Ericsson ni Huawei, que no publican cifras comparables)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móviles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1.100 M de móviles en 2026 y mercado de ventas mayoristas con TCAC del −1 % en 2025-2030 según Counterpoint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licenciatarios: vídeo por internet y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vídeo bajo demanda de 485.000 M USD con TCAC del 11 %; primer contrato (Amazon) en 2026 [2,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IoT celular y coche conectado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 550 M a ≈ 860 M de dispositivos IoT celulares en 2025-2030; el 85 % del coche 4G ya licenciado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generación (6G)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Estándar previsto para 2029 y despliegue amplio en 2030 según la empresa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Tribunales que fijan tasas FRAND mundiales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Reino Unido (Amazon, Tesla) y el posible reglamento europeo pueden fijar regalías a la baja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licenciantes y cada uno con patentes distintas: un fabricante necesita licencia de todos; compiten por la parte de la «pila» de regalías, no por el cliente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fabricantes (Samsung, Apple y Xiaomi) venden más del 50 % de los móviles y pagan buena parte de las regalías; litigan y arbitran cada renovación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son ingenieros e investigadores (460 empleados en InterDigital) y abogados externos; los costes de litigio sí suben en cada campaña (49 M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Hacer un catálogo esencial lleva décadas de contribuciones a 3GPP y JVET; la empresa tiene más de 100 cargos en organismos de estándares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vídeo, códecs sin regalías (AV1 de la Alliance for Open Media) y códecs neuronales; en celular no hay sustituto del estándar [1].</w:t>
            </w:r>
          </w:p>
        </w:tc>
      </w:tr>
    </w:tbl>
    <w:p>
      <w:pPr>
        <w:spacing w:after="160" w:before="0"/>
      </w:pPr>
    </w:p>
    <w:p>
      <w:pPr>
        <w:pStyle w:val="Heading2"/>
      </w:pPr>
      <w:r>
        <w:t xml:space="preserve">Ciclo</w:t>
      </w:r>
    </w:p>
    <w:p>
      <w:pPr>
        <w:spacing w:after="100"/>
      </w:pPr>
      <w:r>
        <w:t xml:space="preserve">El ciclo de los licenciantes es de contratos, no de demanda: los ingresos dependen de cuándo vencen y se renuevan las licencias de los grandes fabricantes. En 2008-09 y 2020 los contratos de cuota fija protegieron los ingresos; en 2022 la acción cayó un 29 % sin que bajaran los recurrentes (404 M) [1]. Hoy los tres mayores clientes están licenciados hasta 2029-2030 y la generación 5G está madura; el siguiente salto (6G) llega con el estándar de 2029 [10].</w:t>
      </w:r>
    </w:p>
    <w:p>
      <w:pPr>
        <w:pStyle w:val="Heading2"/>
      </w:pPr>
      <w:r>
        <w:t xml:space="preserve">Regulación</w:t>
      </w:r>
    </w:p>
    <w:p>
      <w:pPr>
        <w:spacing w:after="100"/>
      </w:pPr>
      <w:r>
        <w:t xml:space="preserve">Las patentes esenciales se licencian en condiciones FRAND (justas, razonables y no discriminatorias), y los tribunales cada vez fijan la tasa: China lo hizo en 2023 para Nokia, el Reino Unido tramita demandas de Amazon (archivada por el arbitraje) y de Tesla (el Supremo admitió en julio de 2025 su recurso sobre los consorcios) [1, 2]. La Comisión Europea retiró en 2025 su propuesta de reglamento de patentes esenciales (dato del sector, sin comprobar en fuente primaria). El Tribunal Unificado de Patentes europeo (desde 2023) ha dado a InterDigital mandatos que cubren 11 países a la vez contra Disney [2].</w:t>
      </w:r>
    </w:p>
    <w:p>
      <w:pPr>
        <w:pStyle w:val="Heading2"/>
      </w:pPr>
      <w:r>
        <w:t xml:space="preserve">Tendencias y disrupción</w:t>
      </w:r>
    </w:p>
    <w:p>
      <w:pPr>
        <w:spacing w:after="100"/>
      </w:pPr>
      <w:r>
        <w:t xml:space="preserve">Tres cambios: (1) la regalía se desplaza del móvil al vídeo y la nube, donde la empresa empieza a cobrar (Amazon) y litiga (Disney); (2) la IA entra en los códecs de vídeo (redes neuronales que comprimen) y en las redes 6G, y la empresa compró Deep Render y preside grupos de vídeo neuronal en JVET [1, 4]; (3) los tribunales europeos, brasileños e indios conceden mandatos a los titulares de patentes esenciales, lo que acelera los acuerdos (Amazon firmó tras las demandas)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Quinto o sexto licenciante mundial de patentes celulares por ingresos (detrás de Qualcomm, Nokia, Ericsson y Huawei) y uno de los grandes catálogos de vídeo: ≈ 9 % de nuestra suma de ingresos de licencias (834 de ≈ 9.200 M USD; estimación propia) [1, 11,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Qualcomm (QTL)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QCOM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antes de impuestos del segmento de licencias en el ejercicio 2025; licencia por porcentaje del precio del móvil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Nokia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1.501 M EUR en 2025 (−22 %), tasa contratada de 1.400 M EUR; también licencia vídeo [12,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Dolby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DLB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Audio y vídeo (Dolby Vision, consorcios de códecs); ejercicio a septiembre de 2025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medios y semiconductores a operadores y plataformas de vídeo; litiga con Disney y AMD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Ericsson (licencias de patentes)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licenciante celular; no publica el margen de licencias por separado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Huawei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titular de patentes 5G declaradas; licencia a fabricantes y coches (sin cifras auditadas comparables).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estándar es el efecto de red: quien contribuye a 3GPP y JVET cobra de todos los que lo usan; más de 100 cargos en organismos de estándares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fabricante no puede dejar de usar el estándar; solo puede litigar o arbitrar el precio (Samsung pagó +67 % tras arbitraje)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40.000 activos de patentes (19.000 en 2017), siete nuevas al día; tribunales de Alemania, Brasil y el UPC confirman validez e infracción [2,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65 % en 2025 con 460 empleados; similar al 70-72 % de Nokia Technologies y QTL [1,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catálogos con escala; pero InterDigital es pequeña frente a Qualcomm, Nokia, Ericsson y Huawei [3, 4].</w:t>
            </w:r>
          </w:p>
        </w:tc>
      </w:tr>
    </w:tbl>
    <w:p>
      <w:pPr>
        <w:spacing w:after="160" w:before="0"/>
      </w:pPr>
    </w:p>
    <w:p>
      <w:pPr>
        <w:pStyle w:val="Heading2"/>
      </w:pPr>
      <w:r>
        <w:t xml:space="preserve">Amenazas</w:t>
      </w:r>
    </w:p>
    <w:p>
      <w:pPr>
        <w:spacing w:after="100"/>
      </w:pPr>
      <w:r>
        <w:t xml:space="preserve">Lo que puede erosionarlo: (1) tribunales o reguladores que fijen tasas FRAND mundiales a la baja (probabilidad media; Reino Unido y China lo hacen ya) [1]; (2) que las plataformas de vídeo migren a códecs sin regalías (AV1, AV2) o neuronales y dejen de usar HEVC (probabilidad media a 5-10 años) [1]; (3) la vida de las patentes: las de 4G empiezan a caducar y el valor depende de seguir contribuyendo a 5G avanzado y 6G (probabilidad baja si mantiene la I+D de 211 M al año) [1]; (4) la concentración: perder o rebajar a un cliente del 15-30 % en una renovación (Apple 2029, Samsung 2030)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2020-2025: ingresos </w:t>
      </w:r>
      <w:r>
        <w:rPr>
          <w:b/>
          <w:bCs/>
        </w:rPr>
        <w:t xml:space="preserve">18,4 %</w:t>
      </w:r>
      <w:r>
        <w:t xml:space="preserve">, EBITDA </w:t>
      </w:r>
      <w:r>
        <w:rPr>
          <w:b/>
          <w:bCs/>
        </w:rPr>
        <w:t xml:space="preserve">30,3 %</w:t>
      </w:r>
      <w:r>
        <w:t xml:space="preserve">, BPA </w:t>
      </w:r>
      <w:r>
        <w:rPr>
          <w:b/>
          <w:bCs/>
        </w:rPr>
        <w:t xml:space="preserve">52,3 %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359 M USD en 2020 a 834 M en 2025 (TCAC del 18 %), pero con saltos que no son crecimiento: los ingresos atrasados («catch-up», regalías de periodos anteriores a la firma) fueron 22 M en 2020, 74 M en 2021, 54 M en 2022, 141 M en 2023, 460 M en 2024 y 277 M en 2025 [1, 6, 7], y otros 167 M en el primer semestre de 2026 [2]. Los recurrentes fueron 337 M en 2020, 404 M en 2022, 408 M en 2023 y 2024 y 557 M en 2025 [1, 6, 7]: el salto de 2025 es el arbitraje de Samsung (131 M al año desde julio de 2025, +67 %) y las licencias de vivo, Honor y HP [1]. El margen EBITDA publicado subió del 38 % en 2020 al 65 % en 2025 por apalancamiento operativo: los gastos operativos apenas cambian con los ingresos (373 M en 2025 frente a 429 M en 2024, cuando la cuota de ingresos cedida a Sony y Technicolor por el acuerdo de televisores de Samsung sumó 71 M) [1]. En 2026 el margen baja (GAAP: beneficio neto 192 M en el semestre frente a 296 M) por menos atrasados, más costes de litigio y más pagos en acciones [3].</w:t>
      </w:r>
    </w:p>
    <w:p>
      <w:pPr>
        <w:pStyle w:val="Heading2"/>
      </w:pPr>
      <w:r>
        <w:t xml:space="preserve">Ajustes y partidas no recurrentes</w:t>
      </w:r>
    </w:p>
    <w:p>
      <w:pPr>
        <w:spacing w:after="100"/>
      </w:pPr>
      <w:r>
        <w:t xml:space="preserve">La empresa publica un EBITDA ajustado (589 M en 2025) que suma los pagos en acciones (43 M), partidas no recurrentes (7 M) y el resultado financiero, y un BPA no GAAP (15,31 USD en 2025) que excluye además la amortización de patentes compradas a Technicolor (36 M) y que se calcula con acciones «económicas» (30,4 M en 2025) que descuentan la dilución de la convertible cubierta por las opciones compradas [4]. El BPA GAAP diluido (11,80 USD) usa 34,5 M de acciones porque la norma no deja restar la cobertura [1]. Usamos cifras publicadas; en «no_recurrentes_en_ebitda» van los «other operating items» de la conciliación (reestructuración de 28 M en 2021, indemnizaciones y reembolsos netos de costas) [4].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EBITDA ajustado de la empresa (suma los pagos en acciones) y BPA GAAP diluido; «Superior» frente a la guía trimestral de la propia empresa, que solo incluye contratos firmados [3, 5]. En el 2T26 (30-jul-2026) los ingresos fueron 260 M frente a una guía de 139-143 M por el acuerdo con Amazon: 110 M del nuevo programa de streaming y nube, de ellos 104 M atrasados; el ARR (ingresos recurrentes del trimestre × 4) llegó a 626 M (+13 %) y la guía anual subió a 775-845 M [3]. El director financiero dijo que Amazon se contabiliza con una estimación prudente y que el ajuste final del arbitraje (18-24 meses) será «más probablemente» al alza [9]. Los analistas preguntaron por los plazos de Disney (dos mandatos del Tribunal Unificado de Patentes en 11 países), por si otras plataformas esperan al resultado de Amazon y por los costes de litigio; la dirección no dio cifras del acuerdo de Amazon («confidencial») ni dijo qué renovaciones faltan para el 4T [9]. En el 1T26 (30-abr) batió su guía pero mantuvo la anual y dio un 2T de 139-143 M; los gastos de licencia subieron con la cuota cedida del acuerdo de televisores de LG y los litigios, y la acción cayó un 15,9 % ese día [5, 10].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es negativo por los cobros anticipados: los ingresos diferidos (330 M a cierre de 2025) superan a clientes y activos de contrato (90 M) [1, 8]. Los saltos de clientes (188 M en 2024, 193 M a junio de 2026) son facturas de atrasados recién firmadas que se cobran en uno o dos trimestres [2, 9]. La deuda bruta bajó de 608 M en 2023 a 378 M en junio de 2026 por conversiones anticipadas pagadas en efectivo (80 M en el 1T26 y 83 M en el 3T26) [3, 9]. La caja neta, unos 734 M a junio de 2026, es el 9 % de la capitalización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1.308</w:t>
      </w:r>
      <w:r>
        <w:t xml:space="preserve">, conversión </w:t>
      </w:r>
      <w:r>
        <w:rPr>
          <w:b/>
          <w:bCs/>
        </w:rPr>
        <w:t xml:space="preserve">111 %</w:t>
      </w:r>
      <w:r>
        <w:t xml:space="preserve"> del beneficio neto; adquisiciones 0, dividendos 271, recompras 613.</w:t>
      </w:r>
    </w:p>
    <w:p>
      <w:pPr>
        <w:spacing w:after="100"/>
      </w:pPr>
      <w:r>
        <w:t xml:space="preserve">El flujo operativo sigue a los cobros de licencias, no al ingreso contable: 545 M en 2025 frente a 272 M en 2024, porque los atrasados de 2024 (460 M) se cobraron en parte en 2025 y los contratos de cuota fija se cobran por adelantado [1]. El flujo libre de la empresa (operativo − inmovilizado − patentes capitalizadas) fue de 474 M en 2025 [4]. La inversión es pequeña y casi toda de mantenimiento del catálogo: 16 M de inmovilizado y 55 M de costes externos de patentes capitalizados en 2025 (2,0 % y 6,5 % de las ventas) [1]; la I+D (211 M) va a gasto. Uso de la caja 2021-2025: recompras de unos 610 M, dividendos de 227 M y amortización de deuda [1,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el reconocimiento de ingresos exige juicio: en los acuerdos de cuota fija «dinámica» el ingreso se reparte en el plazo, y cuando el precio lo fija un arbitraje (Samsung 2023-2025, Lenovo, Amazon) se reconoce una estimación «prudente» limitada a lo que no tendrá reversión significativa y se ajusta al conocerse el laudo [1, 2]. Eso adelantó 118 M de atrasados de Samsung en 2025 y hará lo mismo con Amazon y Lenovo, en los dos sentidos. Samsung pidió en diciembre de 2025 a la Cámara de Comercio Internacional revisar el laudo de 1.050 M; la empresa presentó objeciones de jurisdicción en julio de 2026 y no provisiona nada [2]. Los pagos en acciones pasaron de 10 M en 2020 a 43 M en 2025 y a 61 M guiados en 2026 (7,5 % de las ventas) [3, 4]: coste real que el no GAAP excluye. Lectura de los indicadores del motor: el Altman alto refleja caja y beneficios acumulados; el Beneish puede saltar por los ingresos atrasados y los saldos de clientes de un año a otro, no por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estimados en arbitrajes abiertos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Amazon y Lenovo se reconocen con una estimación prudente hasta el laudo; el ajuste final irá a resultados de golpe [2,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impugna el laudo de 1.050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 a la CCI de diciembre de 2025; 131 M de ingresos recurrentes al año en juego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 M (2020) a 61 M guiados en 2026; el BPA no GAAP los excluye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GAAP con dilución contable de la convertible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3,7-4,1 M de acciones que la cobertura anula; la dilución económica real son los warrants por encima de 105,43 USD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24 M en 2025 (el 7 % del capital invertido medio); ha subido más de un 5 % en 1 de 5 años: compras pequeñas. ROIC publicado 115,2 %; sin fondo de comercio, 123,4 %.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299,1 % · </w:t>
      </w:r>
      <w:r>
        <w:rPr>
          <w:b/>
          <w:bCs/>
        </w:rPr>
        <w:t xml:space="preserve">WACC</w:t>
      </w:r>
      <w:r>
        <w:t xml:space="preserve">: 11,6 %.</w:t>
      </w:r>
    </w:p>
    <w:p>
      <w:pPr>
        <w:spacing w:after="100"/>
      </w:pPr>
      <w:r>
        <w:t xml:space="preserve">El ROIC del motor (27 % en 2020, 131 % en 2023-2024, 115 % en 2025) no mide la calidad: el capital invertido contable es mínimo (352 M USD en 2025: patentes de 319 M, poco inmovilizado y un circulante negativo de −240 M por los cobros adelantados de las cuotas fijas) porque la investigación, el verdadero activo, se gasta cada año (211 M en 2025) [1]; y el beneficio de 2023-2025 está inflado por los atrasados (141, 460 y 277 M). Medida exigente: resultado operativo de 2026 sin ningún atrasado (ARR de 626 M − 373 M de gastos en caja − 79 M de amortización ≈ 174 M, × (1 − 16,5 %) ≈ 145 M) sobre el capital contable más la investigación de cinco años capitalizada (≈ 140 M al año en caja, ≈ 420 M netos): ≈ 19 %, frente a un WACC del 11,61 %, ≈ +7 puntos [1, 3, 30]. Con los atrasados repartidos (media 2023-2026e) sube por encima del 40 %. Lo mueve el margen (54 % de EBITDA GAAP), no la rotación. Tendencia: el ARR subió de 468 M (4T24) a 626 M (2T26) con los mismos ≈ 460 empleados [4]: los ingresos marginales de cada licencia nueva casi no tienen coste, aunque los gastos de litigios suben con cada programa nuevo (streaming). Crea valor con margen suficiente; el riesgo no es el capital sino la renovación de los contratos.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plazo de 1.112 M USD a 30-jun-2026 (1.243 M a 31-dic-2025) frente a una sola deuda financiera: la convertible al 3,5 % con vencimiento en 2027 (380 M de nominal a 30-jun-2026, de los que 80,3 M ya se pidieron convertir y se liquidan en el 3T26 en efectivo hasta el nominal) [2, 3]. Además, unos 1.900 M de cobros pendientes de contratos de cuota fija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(no consta en el 10-K)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Convertible 2027: conversión a 76,72 USD por acción; la empresa paga en efectivo el nominal y el exceso en acciones o efectivo, y la cobertura comprada (opciones) anula la dilución hasta 105,43 USD [2, 3]. Por encima de 105,43 diluyen los 6,0 M de warrants vendidos, que vencen con entrega neta de acciones entre septiembre de 2027 y abril de 2028: a 322 USD equivalen a unos 4,0 M de acciones nuevas (estimación propia: 6,0 × (322,4 − 105,43) ÷ 322,4), ya incluidas en las acciones no GAAP de la empresa (30,6 M en la guía de 2026) [3]. Ingresos diferidos de 442 M a 30-jun-2026 (cobros anticipados de licencias) [3]. Reparto de ingresos con Technicolor (42,5 % de los cobros de nuevas licencias del programa «Madison») no provisionado por no ser probable [1]. Arrendamientos operativos de 17,6 M (fuera del puente: US GAAP) [1].</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investigación y en el catálogo de patentes, mantener un balance «fortaleza» porque litiga contra empresas muy grandes, compras oportunistas y devolver el exceso de caja [4, 9]. Dividendo trimestral de 0,75 USD desde octubre de 2026 (0,35 en 2021, 0,60 en 2025, 0,70 en el 1S26) y 96 M pendientes del programa de recompras a 30-jun-2026, sin plazo [2]. Más de 600 M recomprados en cinco años y acciones −16 % desde 2020 según la empresa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Deep Render (empresa emergente de compresión de vídeo con IA y sus patentes)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investigación de vídeo; importe no publicado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 de investigación e innovación de Technicolor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programa de vídeo; reparto de ingresos del 42,5 % con Technicolor en el programa «Madison»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licencias de patentes de Technicolor (catálogo de vídeo y televisores)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Abrió el programa de electrónica de consumo: acuerdos de televisores con Samsung (2024) y LG (2026) [1, 6].</w:t>
            </w:r>
          </w:p>
        </w:tc>
      </w:tr>
    </w:tbl>
    <w:p>
      <w:pPr>
        <w:spacing w:after="160" w:before="0"/>
      </w:pPr>
    </w:p>
    <w:p>
      <w:pPr>
        <w:spacing w:after="100"/>
      </w:pPr>
      <w:r>
        <w:t xml:space="preserve">La asignación de capital ha sido buena: con inversiones pequeñas (patentes 30-55 M al año y compras de Technicolor) el beneficio neto pasó de 45 M en 2020 a 407 M en 2025 [1], el capital invertido operativo es muy pequeño (patentes de 319 M y circulante negativo) y las recompras se hicieron sobre todo en 2022-2023 a 50-110 USD por acción, muy por debajo del precio de hoy (340 M en 2023) [1]. Restan dos cosas: la convertible de 2022 dejó 6,0 M de warrants vendidos a 105,43 USD que diluirán unos 4 M de acciones (−15 % sobre 25,8 M) entre 2027 y 2028 [3], y las recompras se han frenado con la acción cara (23 M en el 2T26)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(Liren) Chen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consejero delegado (President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sénior y jefe mundial de propiedad intelectual de Qualcomm (2019-2021). En InterDigital: renovación de Apple (2022), laudo de Samsung (+67 %), Xiaomi, vivo, Honor, HP y Amazon; ARR de ≈ 400 M a 626 M [3, 15]. Su 2,5 % incluye 514.889 opciones ejercitables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J. Brezski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hace más de una década en finanzas; director financiero desde 2021 [15]. Ha gestionado las conversiones anticipadas de la convertible y la política de recompras.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Julia C. Mattis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licencias (Chief Licensing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en septiembre de 2025 a Eeva Hakoranta, que dejó la empresa [1, 15]. Ha cerrado Xiaomi, LG y Amazon.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Rajesh Pankaj</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Viene de Qualcomm; dirige la investigación inalámbrica, de vídeo e IA y la presencia en 3GPP y JVET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Joshua D. Schmidt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las campañas de litigio contra Disney, Amazon y Transsion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 Douglas Hutcheson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junio de 2015; antes consejero delegado de Leap Wireless y presidente ejecutivo de Kymeta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con punto medio de 710 M (subido a 820 M en julio por Samsung)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834,0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trimestre subidos con los acuerdos firmados (solo contratos existentes)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164,7 M, por encima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144-148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194-200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139-143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260,2 M (Amazon)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675-775 M en febrero; 775-845 M desde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465,6 M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de más de 1.000 M (móviles ≈ 500, CE/IoT ≈ 200, streaming 300+)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de 626 M en el 2T26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en lo que controla: ha batido su propia guía trimestral en los últimos cinco trimestres [3], porque la guía solo incluye contratos firmados y deja fuera acuerdos y laudos. La guía anual es un «camino múltiple» sin reparto por cliente, lo que no permite comprobar qué renovaciones faltan [3]. Estabilidad: el consejero delegado, el financiero y el tecnológico llevan desde 2021; la única salida relevante fue la directora de licencias en 2025 (indemnización de 1,48 M en «otros») [15]. No hay plan de sucesión público. Todos los directivos venden con planes 10b5-1 (27,2 M USD en 12 meses, ninguna compra)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 Douglas Hutcheson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(Liren) Chen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Derek K. Aberle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 ex presidente de Qualcomm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Samir Armaly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 ex presidente de propiedad intelectual de Adeia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Joan H. Gillman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Kritzmacher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comisión de auditoría (experto financiero)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D. Markley,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una comisión [15]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F. Rankin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 una comisión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26,78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directivos (12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0,51 M de opciones del consejero delegado; ventas de 27,2 M USD en 12 meses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Chen Lawrence Liren (President and CEO)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BREZSKI RICHARD (Chief Financial Officer)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Pankaj Rajesh (Chief Technology Officer)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Schmidt Joshua D. (CLO &amp; Corp Secretary)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KRITZMACHER JOHN A (Consejero)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Mattis Julia C (Chief Licensing Officer)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Markley John D. Jr. (Consejero)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Gillman Joan H (Consejero) — suma de 12 meses,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7,85 M USD en 2025: 0,75 M de fijo, 1,69 M de variable anual y 5,33 M en acciones y opciones (4,0 M en acciones y 1,33 M en opciones con objetivos) [15]. El variable anual depende sobre todo de los ingresos del año y de objetivos estratégicos; el de largo plazo de 2025 se mide con el EBITDA «pro forma» medio de tres años, después de que los accionistas criticaran el sistema anterior (los cuatro mejores trimestres seguidos) [15]. No mide ROIC ni rentabilidad para el accionista, así que premia firmar licencias y atrasados. Hay cláusula de recuperación por reformulación de cuentas [15]. Voto consultivo favorable del 96,1 % en 2025 y del 98,1 % en 2026 (en contra 3,3 % y 1,5 %) [16, 17]. Ratio de 40 veces el salario mediano (196.550 USD) [15].</w:t>
      </w:r>
    </w:p>
    <w:p>
      <w:pPr>
        <w:pStyle w:val="Heading2"/>
      </w:pPr>
      <w:r>
        <w:t xml:space="preserve">Operaciones vinculadas, estructura de control y defensas</w:t>
      </w:r>
    </w:p>
    <w:p>
      <w:pPr>
        <w:spacing w:after="100"/>
      </w:pPr>
      <w:r>
        <w:t xml:space="preserve">Sin accionista de control: el primero es BlackRock (15,9 %) y el consejo y la dirección tienen el 3,5 % [15]. Una acción, un voto; consejo de ocho miembros elegidos cada año por mayoría (siete independientes), presidente independiente separado del consejero delegado [15]. La junta de 2026 aprobó la exoneración de responsabilidad de los directivos que permite la ley de Pensilvania (93 % a favor de los votos emitidos) [16]. En septiembre de 2025 se exigió a los directivos aceptar arbitraje individual para cobrar la indemnización por despido o cambio de control [19]. No constan operaciones vinculadas relevantes [15].</w:t>
      </w:r>
    </w:p>
    <w:p>
      <w:pPr>
        <w:pStyle w:val="Heading2"/>
      </w:pPr>
      <w:r>
        <w:t xml:space="preserve">Señales de alerta</w:t>
      </w:r>
    </w:p>
    <w:p>
      <w:pPr>
        <w:pStyle w:val="ListParagraph"/>
        <w:numPr>
          <w:ilvl w:val="0"/>
          <w:numId w:val="2"/>
        </w:numPr>
        <w:spacing w:after="60"/>
      </w:pPr>
      <w:r>
        <w:t xml:space="preserve">Ventas continuas de todos los directivos y de seis consejeros con planes 10b5-1: 27,2 M USD en 12 meses (consejero delegado 9,5 M, financiero 6,8 M), sin ninguna compra [18].</w:t>
      </w:r>
    </w:p>
    <w:p>
      <w:pPr>
        <w:pStyle w:val="ListParagraph"/>
        <w:numPr>
          <w:ilvl w:val="0"/>
          <w:numId w:val="2"/>
        </w:numPr>
        <w:spacing w:after="60"/>
      </w:pPr>
      <w:r>
        <w:t xml:space="preserve">Salida de la directora de licencias en 2025 con 1,48 M USD de indemnización [15].</w:t>
      </w:r>
    </w:p>
    <w:p>
      <w:pPr>
        <w:pStyle w:val="ListParagraph"/>
        <w:numPr>
          <w:ilvl w:val="0"/>
          <w:numId w:val="2"/>
        </w:numPr>
        <w:spacing w:after="60"/>
      </w:pPr>
      <w:r>
        <w:t xml:space="preserve">Demanda antimonopolio de Disney en Delaware con declaración de interés del Departamento de Justicia (octubre de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(30-jul-2026): ingresos de 775-845 M USD (antes 675-775), EBITDA ajustado de 469-529 M, BPA GAAP de 7,91-9,67 USD y no GAAP de 10,85-12,81, con 30,6 M de acciones no GAAP; incluye acuerdos y laudos que aún no ha firmado («camino múltiple») [2]. 3T26, solo contratos firmados: ingresos de 154-158 M, EBITDA ajustado de 86-92 M y BPA no GAAP de 1,94-2,13 [2]. Objetivos para 2030 (día del inversor, reiterados): ARR de más de 1.000 M, crecimiento anual de más del 10 % y margen EBITDA ajustado de más del 60 %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(4 analistas; BPA no GAAP)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(4 analistas; BPA no GAAP; rango 7.88-13.69)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 488,00</w:t>
            </w:r>
          </w:p>
        </w:tc>
      </w:tr>
    </w:tbl>
    <w:p>
      <w:pPr>
        <w:spacing w:after="160" w:before="0"/>
      </w:pPr>
    </w:p>
    <w:p>
      <w:pPr>
        <w:pStyle w:val="Heading2"/>
      </w:pPr>
      <w:r>
        <w:t xml:space="preserve">Revisiones de estimaciones</w:t>
      </w:r>
    </w:p>
    <w:p>
      <w:pPr>
        <w:spacing w:after="100"/>
      </w:pPr>
      <w:r>
        <w:t xml:space="preserve">Las estimaciones de BPA no GAAP de 2026 subieron de 9,62 USD hace 90 días a 11,56 tras el 2T26 (Amazon), y las de 2027 están planas (11,24 → 11,27) [21]. El 4T26 se recortó de 3,60 a 2,55 USD en 90 días [21]. Solo hay 3-4 analistas (Roth, William Blair, Jefferies y Argus); Argus bajó el 14-oct su objetivo a 366 USD [25]. Yahoo da un objetivo medio de 463 USD (3 analistas, 425-488) que no incluye el de Argus; el mínimo de 366 es el de Argus. Una sola fuente con estimaciones completas: lo contrastamos con la guía de la empresa.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w:t>
            </w:r>
          </w:p>
        </w:tc>
      </w:tr>
    </w:tbl>
    <w:p>
      <w:pPr>
        <w:spacing w:after="160" w:before="0"/>
      </w:pPr>
    </w:p>
    <w:p>
      <w:pPr>
        <w:spacing w:after="100"/>
      </w:pPr>
      <w:r>
        <w:t xml:space="preserve">La acción multiplicó por seis su precio entre finales de 2022 (49,48 USD) y finales de 2025 (318,38): +124 % en 2023, +81 % en 2024 y +66 % en 2025, frente al +26 %, +25 % y +18 % del S&amp;P 500 [20], al ritmo de las grandes firmas (Apple, Samsung, OPPO, vivo, Honor) y de la subida del ARR. En 2026 va +2,2 % frente al +13,3 % del S&amp;P y el +29,6 % de la tecnología: marcó máximo de 412,60 USD el 30-oct-2025, cayó un 30 % en mayo tras el 1T26 (gastos y guía débil del 2T) y rebotó con Amazon y el 2T26 [20, 26, 27]. Beta mensual de 5 años de 1,49 (1,33 ajustada) frente a 0,98 semanal de 2 años: la acción se mueve por noticias propias más que por el mercado [20]. Posición corta del 13,3 % del capital libre [21].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+22,0 % / -12,6 % / -12,2 %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 / +28,6 %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(30-abr): batió su guía, pero mantuvo la anual, dio un 2T de 139-143 M y los gastos subieron un 57 % (cuota cedida de LG y litigios): −15,9 % ese día y seis sesiones seguidas de caídas (−26 %) hasta el mínimo de 249,14 USD del 29-may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Amazon (11-jun, +12 % ese día) y resultados del 2T26 (30-jul: 260 M frente a una guía de 139-143 M, guía anual +85 M; +16 % en la semana) [24,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oct-2025 a 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Días de −5 % o más: 31-oct-2025 (−8,7 %, tras el 3T25 y una guía del 4T de solo contratos firmados), 17-dic-2025 (−6,6 %, mismo mes en que Samsung impugnó el laudo), 6-ene-2026 (−8,0 %), 10-feb-2026 (−6,8 %, tras una guía 2026 de 675-775 M, por debajo de 2025) y 20-mar-2026 (−7,6 %, mes de la sentencia de interpretación de patentes en el caso de Disney en California). Para el 6-ene y el 20-mar no hemos encontrado una causa concreta [2,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29-oct antes de la apertura; guía del trimestre (solo contratos firmados) de 154-158 M [2,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Argus baja su objetivo a 366 USD; el resto de analistas (Roth, William Blair, Jefferies) mantiene comprar con objetivos de 425-488 USD [21,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del director de tecnología (1.500 acciones a 334 USD) dentro de un plan 10b5-1; en 12 meses los directivos vendieron 27,2 M USD y nadie compró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trimestral sube de 0,70 a 0,75 USD (fecha de registro 14-oct, pago 28-oct)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mandato del Tribunal Unificado de Patentes contra Disney; en septiembre pidió 118 M USD en su caso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mantiene su impugnación ante la CCI del laudo de 1.050 M; la empresa presentó objeciones de jurisdicción en julio. Sin fecha de decisión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Arbitraje con Lenovo: vista en el 4T26, laudo previsiblemente en 2027; ajuste de ingresos al alza o a la baja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Amazon: licencia de servicios y dispositivos con precio por arbitraje en 18-24 meses; se retiran todas las demandas [2,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Tesla gana en el Reino Unido el recurso sobre si los consorcios (Avanci) deben licenciar en FRAND; el caso sigue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Warrants de 6,0 M de acciones a 105,43 USD con entrega neta entre septiembre de 2027 y abril de 2028 (≈ 4 M de acciones a 322 USD); convertible de 300 M que vence en 2027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18,7 % por debajo del máximo de octubre de 2025 y un 28,6 % por encima del mínimo de mayo de 2026, con tendencia alcista (+1,6 % sobre la media de 200 sesiones) y volatilidad del 44 % [20]. Los dos movimientos fuertes tienen causa en resultados y acuerdos de la propia empresa. No hay colocaciones ni ampliaciones anunciadas; la dilución de los warrants (2027-2028) y el vencimiento de la convertible son conocidos y están en las cifras. Los hechos pendientes con efecto posible de más de un 5 % (impugnación de Samsung, laudos de Lenovo y Amazon, Disney) no tienen fecha cercana: veredicto «no cambia». Resultados del 3T26 el 29-oct: no retrasan (regla 11).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GAAP del mismo año la acción cotizó a 42x en 2020 y 41x en 2021 (beneficios bajos), a 14-16x en 2022-2024 (beneficios inflados por atrasados) y a 27x en 2025 [20]. Hoy cotiza a 37,7x el BPA GAAP de los últimos 12 meses y a 28,6x el BPA no GAAP de consenso de 2027 [21]: por encima de su historia reciente y de los comparables (mediana de 17x), porque el mercado descuenta que el ARR llegue a 1.000 M en 2030. Los múltiplos de un licenciante son engañosos año a año: un acuerdo con atrasados mueve el beneficio un 50 %.</w:t>
      </w:r>
    </w:p>
    <w:p>
      <w:pPr>
        <w:pStyle w:val="Heading1"/>
      </w:pPr>
      <w:r>
        <w:t xml:space="preserve">18. Comparables cotizados</w:t>
      </w:r>
    </w:p>
    <w:p>
      <w:pPr>
        <w:pStyle w:val="Confianza"/>
        <w:spacing w:after="100"/>
      </w:pPr>
      <w:r>
        <w:t xml:space="preserve">Confianza: Media</w:t>
      </w:r>
    </w:p>
    <w:p>
      <w:pPr>
        <w:spacing w:after="100"/>
      </w:pPr>
      <w:r>
        <w:t xml:space="preserve">Licenciantes de tecnología y empresas cuyo beneficio sale sobre todo de regalías: Qualcomm (QTL es el 60 % de su resultado de segmentos), Nokia (Technologies es la mayor parte de su beneficio operativo), Dolby, Adeia, Rambus y Universal Display. Fuera: Ericsson (Yahoo no da sus datos en una divisa coherente), Arm (74x, crecimiento del 23-36 % por regalías de centros de datos: distorsiona la mediana) y CEVA (pérdidas). Ninguno es puro como InterDigital salvo Adeia. PER adelantado de Yahoo (BPA ajustado del consenso de cada uno) y crecimiento de ventas de los próximos 12 meses ponderado por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InterDigital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Qualcomm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Nokia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Dolby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Rambus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Universal Display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15,1x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17,0x / 18,4x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4,8x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-54,1 %</w:t>
            </w:r>
          </w:p>
        </w:tc>
      </w:tr>
    </w:tbl>
    <w:p>
      <w:pPr>
        <w:spacing w:after="160" w:before="0"/>
      </w:pPr>
    </w:p>
    <w:p>
      <w:pPr>
        <w:spacing w:after="100"/>
      </w:pPr>
      <w:r>
        <w:t xml:space="preserve">La mediana de los comparables cotiza a 17,0x el BPA ajustado adelantado, y InterDigital a 28,6x el no GAAP de 2027 [21, 28]. La prima de casi 70 % no la explica el crecimiento esperado (consenso de ventas 2027 −5 % frente a +3-20 % de los demás) ni el margen (54 % LTM frente al 60 % de Adeia y el 72 % de QTL), sino la expectativa de nuevos programas (streaming) y de atrasados que el consenso no puede modelar. El EV/EBITDA de 17,9x LTM está en línea con Nokia (18,9x) y por encima de Qualcomm (15,8x) y Adeia (9,2x). Usaríamos el PER, en base comparable: el de los comparables es ajustado (sin pagos en acciones), así que en nuestra base GAAP la mediana sería algo más alta.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tienen dos partes [3, 4]. Recurrentes: ARR de 626 M USD a 30-jun-2026 (+13 % interanual), con Samsung hasta 2030, Apple hasta septiembre de 2029, Xiaomi desde 2026 y Amazon desde el 2T26 [1, 2]. Atrasados: 460 M en 2024, 277 M en 2025 y 167 M en el 1S26, que dependen de firmar o ganar arbitrajes. 2026e (fijo, −3,0 %): centro de la guía (775-845 M). 2027e (−6,0 %, ≈ 760 M, consenso 754 [21]): el ARR sube a ≈ 690 M (Amazon y Disney por arbitraje o acuerdo, IoT) y los atrasados bajan a ≈ 70 M; los ingresos contratados de cuota fija ya cubren 573 M [2]. 2028e-2030e (+6, +5 y +3 %): solo crecimiento recurrente, sin atrasados grandes, hasta ≈ 870 M en 2030; la empresa apunta a más de 1.000 M de ARR en 2030 (móviles ≈ 500, electrónica e IoT ≈ 200, streaming más de 300) y nuestro base no lo da por hecho: el streaming depende de litigios con Disney y de los arbitrajes de Amazon. Después, 3 % hasta 2032 y 2,5 %.</w:t>
      </w:r>
    </w:p>
    <w:p>
      <w:pPr>
        <w:keepNext/>
        <w:spacing w:after="100"/>
      </w:pPr>
      <w:r>
        <w:rPr>
          <w:b/>
          <w:bCs/>
        </w:rPr>
        <w:t xml:space="preserve">Márgenes.</w:t>
      </w:r>
    </w:p>
    <w:p>
      <w:pPr>
        <w:spacing w:after="100"/>
      </w:pPr>
      <w:r>
        <w:t xml:space="preserve">Margen EBITDA GAAP, después de la remuneración en acciones y de los costes de litigio: 54 % en 2026e (guía: beneficio neto de 270-330 M + impuestos 59 + amortización 79 − otros 1 ≈ 437 M sobre 810 [3]), 53 % en 2027e (menos atrasados con los mismos gastos) y subida hasta el 58 % en 2030e. Los gastos son casi fijos (≈ 370 M en caja: investigación, licencias y litigios), así que cada dólar recurrente nuevo deja ≈ 80 céntimos; el 58 % queda por debajo del 64,6 % de 2025 (con 277 M de atrasados) y del objetivo de la empresa (EBITDA ajustado de más del 60 %, que excluye ≈ 7 puntos de remuneración en acciones) [4].</w:t>
      </w:r>
    </w:p>
    <w:p>
      <w:pPr>
        <w:keepNext/>
        <w:spacing w:after="100"/>
      </w:pPr>
      <w:r>
        <w:rPr>
          <w:b/>
          <w:bCs/>
        </w:rPr>
        <w:t xml:space="preserve">Inversión y circulante.</w:t>
      </w:r>
    </w:p>
    <w:p>
      <w:pPr>
        <w:spacing w:after="100"/>
      </w:pPr>
      <w:r>
        <w:t xml:space="preserve">Inversión del 7-8 % de las ventas (inmovilizado y patentes capitalizadas: 54,6 M en 2025; 70,5 M en caja con las patentes compradas [1]) y amortización del 9,8 % en 2026 (79 M guiados) que baja al 8 % a medida que se agotan las patentes de Technicolor; el último año la inversión iguala la amortización. Circulante del −28 % de las ventas en 2026 (ingresos diferidos de 330 M por cobros adelantados), que converge al −24 % porque los contratos nuevos de streaming e IoT se cobran más por trimestre: resta ≈ 10 M al año. Sin compras nuevas: Deep Render (2025) ya está en las cuentas.</w:t>
      </w:r>
    </w:p>
    <w:p>
      <w:pPr>
        <w:keepNext/>
        <w:spacing w:after="100"/>
      </w:pPr>
      <w:r>
        <w:rPr>
          <w:b/>
          <w:bCs/>
        </w:rPr>
        <w:t xml:space="preserve">Coste del capital.</w:t>
      </w:r>
    </w:p>
    <w:p>
      <w:pPr>
        <w:spacing w:after="100"/>
      </w:pPr>
      <w:r>
        <w:t xml:space="preserve">Tasa libre del 5,15 % (bono del Tesoro a 10 años, 19-oct-2026 [22]); beta de 1,15, entre la semanal de dos años (0,98) y la ajustada mensual de cinco (1,33) [20]; prima del 5,5 % y prima adicional de 0,5 puntos por la concentración (tres licenciatarios dieron el 61 % de los ingresos de 2025 [1]) y por depender de laudos y sentencias para cobrar; coste de la deuda del 3,5 % (el cupón del convertible de 2027) con un peso del 4 %. WACC del 11,61 %. Con la prima implícita del mercado (4,2 % [23]) el WACC baja al 10,18 % y el DCF sube a 168,05 USD: la conclusión no depende de la tasa, porque con ninguna razonable el DCF se acerca al precio.</w:t>
      </w:r>
    </w:p>
    <w:p>
      <w:pPr>
        <w:keepNext/>
        <w:spacing w:after="100"/>
      </w:pPr>
      <w:r>
        <w:rPr>
          <w:b/>
          <w:bCs/>
        </w:rPr>
        <w:t xml:space="preserve">Valor terminal.</w:t>
      </w:r>
    </w:p>
    <w:p>
      <w:pPr>
        <w:spacing w:after="100"/>
      </w:pPr>
      <w:r>
        <w:t xml:space="preserve">Crecimiento a perpetuidad del 2,5 %: las patentes caducan a los 20 años y el negocio depende de que cada generación de estándares (5G avanzado, 6G hacia 2030, nuevos códecs) reponga la cartera; no se puede suponer más que la inflación. El múltiplo de salida implícito (8,1 veces el EBITDA) queda por debajo de los 16,7 a los que cotiza hoy; con 12 veces el valor terminal subiría de 4.660 a 6.932 M y el DCF quedaría todavía muy por debajo del precio. El valor terminal pesa un 46 %.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 (reinvierte el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(histórico: 299,1 %)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 frente al 1,9 %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-71 M, con un capex bruto medio del 7,6 % de las ventas). En un negocio de activos ligeros, el crecimiento medio del 1,9 %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+9 % (ARR de 553 a 626 M entre el 2T25 y el 2T26: Xiaomi, Amazon, IoT) y atrasados que restan 12 puntos (de 277 M en 2025 a ≈ 200 M; 167 M ya en el 1S26)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+7 % (Amazon y Disney por arbitraje o acuerdo, IoT) y atrasados que restan 13 puntos (≈ 70 M); 573 M ya contratados de cuota fija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recurrentes: streaming e IoT; Apple y Samsung sin cambio de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+5 %; Apple renueva en septiembre de 2029 sin subida en el caso base.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Recurrentes +3 %; renovación de Samsung a final de año y primeras licencias de 6G (estándar previsto en 2029 [10]).</w:t>
            </w:r>
          </w:p>
        </w:tc>
      </w:tr>
    </w:tbl>
    <w:p>
      <w:pPr>
        <w:spacing w:after="160" w:before="0"/>
      </w:pPr>
    </w:p>
    <w:p>
      <w:pPr>
        <w:spacing w:after="100"/>
      </w:pPr>
      <w:r>
        <w:t xml:space="preserve">El crecimiento proyectado (1,9 % anual medio en 2026e-2035e según el motor; −3,0 % y −6,0 % en los dos primeros años) está muy por debajo del histórico (18,4 % anual de ingresos en 2020-2025 [1]) y del ritmo del ARR (+13 % interanual en el 2T26 [3]), y no necesita capital: el circulante es negativo y la inversión ronda la amortización. El 93 % de los ingresos es de cuota fija, que no depende de cuántos móviles se vendan [1], y 2.113 M ya están contratados hasta 2030 [2]. La cuota del mercado de móviles licenciada (≈ 85 %) se mantiene. El riesgo no es de volumen sino de precio en las renovaciones (Apple 2029, Samsung 2030) y de cobro en el streaming;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 (base: 2,4 %)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88 % justifica el precio (base: 58,0 %)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11,6 %)</w:t>
            </w:r>
          </w:p>
        </w:tc>
      </w:tr>
    </w:tbl>
    <w:p>
      <w:pPr>
        <w:spacing w:after="160" w:before="0"/>
      </w:pPr>
    </w:p>
    <w:p>
      <w:pPr>
        <w:spacing w:after="100"/>
      </w:pPr>
      <w:r>
        <w:t xml:space="preserve">El DCF da 145,66 USD por acción, un 54,8 % por debajo del precio, con un WACC del 11,61 % y un valor terminal que pesa el 46 %. El DCF inverso dice que el precio descuenta un crecimiento del 15,3 % anual con nuestro margen, frente al 2,4 % de nuestro caso base, o una rentabilidad del 6,2 % frente al 11,6 % que pedimos: el mercado paga el objetivo de 1.000 M de ARR en 2030 y más. Con la prima del mercado (4,2 %) vale 168,05 USD (−47,9 %); con un múltiplo de salida de 12 veces el EBITDA, ≈ 200. Ni el alcista (182,66 USD, ingresos cerca del objetivo de 2030 y margen del 61 %) llega a la mitad del precio. La distancia no es de tasa sino de crecimiento.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tribunales del Reino Unido y de China fijan tasas FRAND más bajas (Lenovo, Tesla-Avanci, Oppo-Nokia) y Apple renueva en 2029 por menos; Samsung consigue anular parte del laudo; Disney y Amazon pagan poco y el streaming migra a AV1/AV2 y a códecs neuronales libres de regalías; no hay más atrasados grandes. Crecimiento 4 puntos menor, margen 6 puntos menor (gastos de litigio fijos con menos ingresos), WACC +0,5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626 a ≈ 870 M de ingresos en 2030 con streaming, IoT y renovaciones a precio estable; atrasados que desaparecen desde 2028; margen EBITDA GAAP del 54 % al 58 %.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cumple su plan: Amazon y Disney pagan por arbitraje o acuerdo, entran otras plataformas de vídeo, IoT y coches crecen y Apple y Samsung renuevan con subida: 3 puntos más de crecimiento y 3 de margen (≈ 980 M de ingresos y 61 % en 2030, cerca del objetivo de 1.000 M de ARR).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322,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143,01 USD (-55,6 %).</w:t>
      </w:r>
    </w:p>
    <w:p>
      <w:pPr>
        <w:spacing w:after="100"/>
      </w:pPr>
      <w:r>
        <w:t xml:space="preserve">Los tres escenarios quedan muy por debajo del precio: bajista 98,06 USD (−69,6 %), base 145,66 (−54,8 %) y alcista 182,66 (−43,3 %); el ponderado es de 143,01. El valor terminal pesa menos que en otras empresas (46 %) porque el WACC es alto y los ingresos de los primeros años están en buena parte contratados (2.113 M hasta 2030 [2]). Ninguna combinación razonable de crecimiento y margen justifica el precio en un DCF: solo un crecimiento sostenido de dos dígitos durante diez años.</w:t>
      </w:r>
    </w:p>
    <w:p>
      <w:pPr>
        <w:pStyle w:val="Heading1"/>
      </w:pPr>
      <w:r>
        <w:t xml:space="preserve">22. Suma de partes</w:t>
      </w:r>
    </w:p>
    <w:p>
      <w:pPr>
        <w:pStyle w:val="Confianza"/>
        <w:spacing w:after="100"/>
      </w:pPr>
      <w:r>
        <w:t xml:space="preserve">Confianza: Media</w:t>
      </w:r>
    </w:p>
    <w:p>
      <w:pPr>
        <w:spacing w:after="100"/>
      </w:pPr>
      <w:r>
        <w:t xml:space="preserve">No aplica: los tres programas de licencias (móviles, electrónica de consumo e IoT, y streaming) comparten la misma cartera de patentes, el mismo equipo de investigación y los mismos litigios; no hay partes que se puedan vender por separado ni resultados por segmento publicados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322,4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151,64 USD (-53,0 % sobre 322,40).</w:t>
      </w:r>
    </w:p>
    <w:p>
      <w:pPr>
        <w:spacing w:after="100"/>
      </w:pPr>
      <w:r>
        <w:t xml:space="preserve">Pesos: DCF 45 %, escenarios 40 % y comparables 15 %. El DCF y los escenarios mandan porque una parte grande de los ingresos de los próximos cinco años está contratada a cuota fija (2.113 M [2]) y el resto se puede razonar por licenciatario. Los comparables pesan poco: Qualcomm, Nokia y Dolby licencian pero también fabrican o venden productos con márgenes del 12-27 %; la mediana de su PER (17,0 veces) aplicada al BPA no GAAP del consenso da 192,56 USD. Las transacciones no pesan (Technicolor y Deep Render sin beneficio publicado). El valor objetivo de la síntesis es de 151,64 USD (−53,0 %); el rango del DCF con ± 0,5 puntos (136,72-156,70) y el DCF con la prima del mercado (168,05) quedan lejos del precio. El puente suma la caja neta (1.112,4 M de caja menos 378,2 M del convertible, que se paga en caja); los warrants están en las 30,6 M de acciones.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(34.8x) a mitad de camino hacia abajo, hacia la mediana de 5 años (32.6x)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bl>
    <w:p>
      <w:pPr>
        <w:spacing w:after="160" w:before="0"/>
      </w:pPr>
    </w:p>
    <w:p>
      <w:pPr>
        <w:spacing w:after="100"/>
      </w:pPr>
      <w:r>
        <w:rPr>
          <w:b/>
          <w:bCs/>
        </w:rPr>
        <w:t xml:space="preserve">Objetivo a 12 meses (ponderado):</w:t>
      </w:r>
      <w:r>
        <w:t xml:space="preserve"> 298,59 USD · rentabilidad -6,5 % (base +7,5 %) · señal Mantener.</w:t>
      </w:r>
    </w:p>
    <w:p>
      <w:pPr>
        <w:spacing w:after="100"/>
      </w:pPr>
      <w:r>
        <w:t xml:space="preserve">Para comparar, con la regla v2 (historia al cierre, mismo precio): 14,0x / 16,1x / 20,9x, -46,1 %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está en BPA no GAAP (suma la remuneración en acciones y la amortización de patentes compradas): para compararlo hay que sumar ≈ 2,45 USD a nuestro BPA. Nuestro 2026e (9,78 USD GAAP, ≈ 12,23 no GAAP) queda un 6 % por encima del consenso (11,56) y en la guía no GAAP (10,85-12,81) [3, 21]; el 2027e (9,13 GAAP, ≈ 11,58 no GAAP) coincide con el consenso (11,27, rango 7,88-13,69). No hay consenso de 2028. La distancia con el objetivo medio de los analistas (462,67 USD, 425-488; Argus en 366) está en el múltiplo: ≈ 40 veces el BPA no GAAP de 2027, que solo se explica si se cumple el objetivo de 1.000 M de ARR en 2030; la regla común parte del PER actual (34,8 veces el GAAP de los próximos 12 meses) y lo lleva a 33,7.</w:t>
      </w:r>
    </w:p>
    <w:p>
      <w:pPr>
        <w:keepNext/>
        <w:spacing w:after="100"/>
      </w:pPr>
      <w:r>
        <w:rPr>
          <w:b/>
          <w:bCs/>
        </w:rPr>
        <w:t xml:space="preserve">Del valor intrínseco al objetivo a 12 meses.</w:t>
      </w:r>
    </w:p>
    <w:p>
      <w:pPr>
        <w:spacing w:after="100"/>
      </w:pPr>
      <w:r>
        <w:t xml:space="preserve">El objetivo a 12 meses (298,59 USD, ponderado) da una rentabilidad del −6,5 % con el dividendo, y el base (343,74 USD) un +7,5 %: el PER baja poco (de 34,8 a 33,7 veces, hacia la mediana de cinco años de 32,6) y el BPA crece un 2,1 % anual porque los atrasados desaparecen. El bajista (119,34 USD) es el PER de diciembre de 2024 (14,5 veces) sobre un BPA un 19 % menor, y es lo que hunde la ponderada. El valor intrínseco (151,64 USD) queda un 53,0 % por debajo del precio. Para comprar haría falta un precio de 151,64 USD (−53 %), el valor intrínseco, que es la condición que más aprieta; para vender (ponderada ≤ −10 %), uno por encima de 334,77 USD, un 3,8 % sobre el cierre del 19-oct. Con la regla v2 de control (historia al cierre, mediana de 16,1 veces) la ponderada sería muy negativa: la v3 es la favorable.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(guía de 154-158 M, solo contratos firmados)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del ARR y de si la guía anual (775-845 M) se cumple con nuevos acuerdos o atrasados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del arbitraje con Lenovo (laudo en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ingresos al alza o a la baja y precedente de tasa para fabricantes chinos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Disney: mandatos del Tribunal Unificado de Patentes, Alemania y Brasil; posible acuerdo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gran licenciatario de streaming por acuerdo; atrasados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 del precio de Amazon (arbitraje de 18-24 meses desde junio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valor del programa de streaming (objetivo de más de 300 M de ARR)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la impugnación de Samsung del laudo de 1.050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anulación parcial restaría ingresos ya reconocidos y debilitaría el poder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convertible (300 M tras las conversiones) y entrega de los warrants (sep-2027 a abr-2028)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caja y ≈ 4 M de acciones nuevas a 322 USD (ya en las 30,6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Apple (30-sep-2029) y Samsung (31-dic-2030)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mayores licenciatarios (47 % de los ingresos de 2025); fijan el valor de la cartera de 5G y la entrada de 6G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de la licencia de televisores de Samsung (vencida el 31-dic-2025) y litigio con Transsion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Atrasados posibles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y caducidad: Samsung, Apple y vivo dieron el 61 % de los ingresos de 2025; los ingresos contratados caen de 573 M en 2027 a 281 M en 2030 [1, 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 si Apple o Samsung renuevan con un recorte del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fija sin dependencia de ventas; historial de renovaciones con subida (Samsung +67 % por arbitraje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Arbitraje o demanda al acercarse septiembre de 2029 con Apple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34,8 veces el BPA GAAP de los próximos 12 meses y 15,3 % de crecimiento anual descontado por el DCF inverso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hasta el valor intrínseco; −15 % si el PER vuelve a 28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creciendo al 13 % y objetivo de 1.000 M en 2030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que se estanca por debajo de 650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arbitrajes: impugnación del laudo de Samsung (1.050 M), arbitrajes de Lenovo y Amazon, Disney, Transsion; costes de litigio que suben (+57 % de gastos en el 1T26)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Victorias recientes (mandatos contra Disney en el Tribunal Unificado, Amazon firma); gastos parcialmente recuperables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 de Lenovo por debajo de lo reconocido o anulación parcial del de Samsung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FRAND: tribunales del Reino Unido y de China fijando tasas globales y licencias provisionales; reglamento europeo de patentes esenciales (retirado en 2025, puede volver)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también de vídeo y Wi-Fi, fuera del marco celular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Sentencias de tasa en Lenovo (Reino Unido) o Tesla-Avanci por debajo de lo esperado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y deuda: warrants de 6,0 M de acciones a 105,43 USD (≈ 4 M netas) y convertible de 300 M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las 30,6 M de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1.112 M;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emisión convertible con más dilución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el tipo efectivo del FDII sube del 13 % al 16 % en 2026 y Francia discute el crédito de investigación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en el 18 % proyectado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francesa por encima de lo provisionado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27,2 M USD en 12 meses, todas en planes 10b5-1, ninguna compra [18]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programados; la retribución variable va en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fuera de plan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códecs neuronales y AV1/AV2 libres de regalías en el streaming; búsqueda de antecedentes con IA para invalidar patentes; 6G definido con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a −15 % (programa de streaming)</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Deep Render (códec neuronal) y participación en los estándares de vídeo e IA del 3GPP y MPEG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Netflix, Amazon o YouTube anunciando códecs propios con IA fuera de los estándares licenciables</w:t>
            </w:r>
          </w:p>
        </w:tc>
      </w:tr>
    </w:tbl>
    <w:p>
      <w:pPr>
        <w:spacing w:after="160" w:before="0"/>
      </w:pPr>
    </w:p>
    <w:p>
      <w:pPr>
        <w:pStyle w:val="Heading2"/>
      </w:pPr>
      <w:r>
        <w:t xml:space="preserve">Pre-mortem</w:t>
      </w:r>
    </w:p>
    <w:p>
      <w:pPr>
        <w:spacing w:after="100"/>
      </w:pPr>
      <w:r>
        <w:t xml:space="preserve">Octubre de 2028: la acción ha perdido un 45 %. El ARR se paró en ≈ 680 M: el laudo de Amazon fijó un precio bajo, Disney litigó país por país sin pagar y otras plataformas pasaron a AV1/AV2 y a códecs propios con IA. El arbitraje de Lenovo terminó con una tasa por debajo de la reconocida y los tribunales británicos usaron ese precedente para otros fabricantes. Samsung logró anular una parte del laudo de 1.050 M. Sin atrasados, los ingresos bajaron a ≈ 700 M y el BPA GAAP a ≈ 8 USD; los gastos de litigio, fijos, apretaron el margen. Al acercarse la renovación de Apple de 2029, el mercado dejó de pagar 34 veces y volvió a 15-20, el rango de 2022-2024. La señal temprana: un laudo de Amazon por debajo de 100 M al año y un ARR plano dos trimestres seguidos.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a +5 % a 3-5 años</w:t>
      </w:r>
    </w:p>
    <w:p>
      <w:pPr>
        <w:spacing w:after="100"/>
      </w:pPr>
      <w:r>
        <w:t xml:space="preserve">Donde la IA amenaza: el programa de streaming (objetivo de más de 300 M de ARR en 2030, ≈ 30 % del plan) se apoya en patentes de vídeo de códecs estándar (HEVC, VVC); si las plataformas pasan a AV1/AV2 (libres de regalías, de la alianza AOMedia de Amazon, Google y Netflix) o a códecs neuronales propios fuera de los estándares, el programa vale menos. La búsqueda de antecedentes con IA abarata invalidar patentes en litigio. En móviles (60-70 % de los ingresos), la IA no cambia nada a corto plazo: las licencias son de cuota fija y el 5G seguirá en los teléfonos; el 6G (estándar en 2029 [10]) incorporará IA en la interfaz de radio, donde InterDigital investiga y patenta. Donde ayuda: compró Deep Render (códec neuronal, 2025) para estar dentro de los futuros estándares de vídeo con IA, y más dispositivos conectados con IA amplían IoT. Señal: anuncios de códecs propios con IA de las grandes plataformas fuera de MPEG/ITU.</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tocan las cifras son de gobierno y de conducta: (1) la licencia en condiciones FRAND, que tribunales y reguladores vigilan (Disney la acusa de monopolio en Delaware y el Departamento de Justicia presentó en octubre de 2025 una declaración de interés en ese caso) [2]; (2) la retribución en acciones (61 M en 2026) y las ventas de directivos; (3) la plantilla de investigación (460 empleados, 240 fuera de EE. UU., con comités de empresa en Francia) [1]. El impacto ambiental es irrelevante para la valoración.</w:t>
      </w:r>
    </w:p>
    <w:p>
      <w:pPr>
        <w:pStyle w:val="Heading2"/>
      </w:pPr>
      <w:r>
        <w:t xml:space="preserve">Controversias</w:t>
      </w:r>
    </w:p>
    <w:p>
      <w:pPr>
        <w:spacing w:after="100"/>
      </w:pPr>
      <w:r>
        <w:t xml:space="preserve">Demanda antimonopolio de Disney en Delaware (agosto de 2025) con declaración de interés del Departamento de Justicia (octubre de 2025) [2]; acusaciones de Disney y Amazon de licenciar fuera de FRAND (la de Amazon, retirada con el arbitraje) [2]. No constan sanciones de reguladores contra la empresa en los tres últimos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empiezan a negociar con Apple (vence el 30-sep-2029) y qué parte de los 2.113 M contratados depende de Apple y Samsung?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47 % de los ingresos de 2025 y la caída del contratado de 573 M (2027) a 281 M (2030) es el riesgo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estado está la impugnación del laudo de 1.050 M y qué parte está cobrada?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anulación parcial restaría ingresos reconocidos y precedente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ARR atribuyen a Amazon hasta el laudo y qué horquilla de precio defienden en el arbitraje?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streaming es ≈ 30 % del objetivo de 2030 y el mercado lo paga ya.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de 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gastos de licencias de 2026 son litigios de Disney, Transsion y Amazon, y cuánto se recupera?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gastos subieron un 27 % en el 2T26; un margen del 54 % depende de que bajen.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códecs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patentes de Deep Render y de vídeo con IA están en los borradores de los nuevos estándares (H.267, códecs neuronales de MPEG)?</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una amenaza o una nueva fuente de licencias.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pagarán el convertible de 2027 y cubrirán los warrants: recompras, nueva deuda o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warrants añaden ≈ 4 M de acciones a 322 USD.</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alcista tras Amazon («Disney next») y el 2T26; en mayo, dudas de particulares sobre si la caída se debía a los atrasados del año anterior y compras «hacia 270»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reconocen el negocio pero discuten el precio: «todavía no en zona de compra», «la prima deja poco margen de error», frente a «un motor de licencias más predecible»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 Yahoo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«infravalorada un 28 %» y de «valorada con justicia», y uno de «bombas de relojería» entre tecnológicas caras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Trefis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caída del 31 % se pregunta si es momento de comprar y la atribuye a gastos y guía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Streaming como nuevo motor (Amazon, Disney)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pero sin precio: Amazon se contabiliza con una estimación prudente (≈ 60 M de ARR) y el laudo tarda 18-24 meses; Disney litiga. El objetivo de 300 M en 2030 exige 4-5 plataformas más [27,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coincide: 34x nuestro BPA de los próximos 12 meses y valor intrínseco muy por debajo del precio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Caídas por los ingresos atrasados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lo entienden a medias: el beneficio de 2024-2025 lleva 460 y 277 M de atrasados que no se repiten igual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27,2 M USD en 12 meses, todos con planes 10b5-1; sin compras [24].</w:t>
            </w:r>
          </w:p>
        </w:tc>
      </w:tr>
    </w:tbl>
    <w:p>
      <w:pPr>
        <w:spacing w:after="160" w:before="0"/>
      </w:pPr>
    </w:p>
    <w:p>
      <w:pPr>
        <w:spacing w:after="100"/>
      </w:pPr>
      <w:r>
        <w:t xml:space="preserve">El sentimiento de los particulares es positivo tras Amazon y el 2T26, y el de los autores de análisis está dividido por el precio. No hay euforia ni capitulación: la acción está a 18,7 % de su máximo. Lo útil es que nadie en los foros discute la concentración ni la impugnación del laudo de Samsung, dos riesgos que el informe pesa más que el mercado.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30 (19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 Explicación: El 10,0 % de 2023 se debe a la reversión de una provisión por créditos fiscales y a la deducción por rentas de intangibles vendidos al extranjero (FDII), según el 10-K de 2024 [6]; en 2024 subió al 16,5 %. No se proyecta: el DCF usa el 16,5 % en 2026 (guía) y el 18 % después, porque el tipo efectivo del FDII sube del 13 % al 16 % desde 2026 y Francia discute parte del crédito fiscal de investigación [6].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-28,8 % real: genera una variación de circulante de 14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9.865, publicada 8.320: revisa acciones y precio. Explicación: La publicada (8.320 M USD) usa las 25,8 M de acciones en circulación; la calculada (9.865 M) usa las 30,6 M de acciones económicas de la guía no GAAP, que suman ≈ 4,0 M de acciones de los warrants a 105,43 USD (6,0 M × (1 − 105,43 / 322,40), con entrega neta entre septiembre de 2027 y abril de 2028) y las acciones restringidas [2]. Es la dilución que de verdad viene, y por eso valoramos por acción con 30,6 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Qualcomm, Nokia y Dolby: dan cada uno su cifra, no una serie del mercado; 2) búsqueda de estudios de mercado de licencias de patentes esenciales (IPlytics, LexisNexis): de pago; 3) suma propia año a año: faltan Ericsson y Huawei y los años antiguos de Nokia sin comprobar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InterDigital: Technicolor (143 M) y Deep Render sin EBITDA publicado; 2) Xperi-TiVo (2020) y compras de catálogos de patentes: sin múltiplo sobre beneficios comparable; 3) prensa: solo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notas de ingresos, clientes, patentes, deuda convertible, litigios, retribución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https://www.sec.gov/Archives/edgar/data/1405495/000140549526000011/idcc-20251231.htm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ingresos contratados, concentración, litigios, Amazon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https://www.sec.gov/Archives/edgar/data/1405495/000140549526000066/idcc-20260630.htm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Announces Financial Results for Second Quarter 2026 (nota de resultados y conciliación no 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https://www.sec.gov/Archives/edgar/data/1405495/000140549526000065/ex991q263026pressrelease.htm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suplementario del 2T26 (conciliación 2020-2025, ARR por programa, objetivos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https://www.sec.gov/Archives/edgar/data/1405495/000140549526000065/supplementalmaterialsq22.htm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1T26, 4T25, 3T25 y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https://www.sec.gov/Archives/edgar/data/1405495/000140549526000034/ex991q133126pressrelease.htm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(ingresos recurrentes y atrasados de 2023-2024, patentes, clientes)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https://www.sec.gov/Archives/edgar/data/1405495/000140549525000011/idcc-20241231.htm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(ingresos recurrentes y no recurrentes 2020-2022, patentes capitalizadas)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https://www.sec.gov/Archives/edgar/data/1405495/000140549523000011/idcc-20221231.htm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InterDigital (inversiones a corto plazo, pasivos de contrato,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https://data.sec.gov/api/xbrl/companyfacts/CIK0001405495.json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2T26 (Amazon, Disney, arbitrajes, costes de litigio, conversiones)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https://s25.q4cdn.com/626766191/files/doc_earnings/2026/q2/transcript/Transcript-Q2-26.pdf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del 1T26 (Xiaomi, renovaciones, gastos de licencia, 6G)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https://s25.q4cdn.com/626766191/files/doc_earnings/2026/q1/transcript/Transcript-Q1-26.pdf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Qualcomm Form 10-K del ejercicio 2025 (segmento QTL: ingresos de licencias y margen)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Qualcomm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https://www.sec.gov/Archives/edgar/data/804328/000080432825000085/qcom-20250928.htm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Nokia Form 20-F 2025 (Nokia Technologies: ventas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Nokia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https://www.sec.gov/Archives/edgar/data/924613/000162828026015034/nok-20251231.htm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Dolby Laboratories, Adeia y Rambus: XBRL de la SEC (ingresos y resultado operativo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https://data.sec.gov/api/xbrl/companyfacts/CIK0001308547.json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(19-oct-2026: 1,1225 USD por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comités, retribución,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https://www.sec.gov/Archives/edgar/data/1405495/000140549526000043/idcc-20260430.htm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https://www.sec.gov/Archives/edgar/data/1405495/000140549526000055/idcc-20260610.htm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https://www.sec.gov/Archives/edgar/data/1405495/000114036125022647/ef20050595_8k.htm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presentados entre el 20-oct-2025 y el 20-oct-2026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https://www.sec.gov/cgi-bin/browse-edgar?action=getcompany&amp;CIK=0001405495&amp;type=4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del 4-sep-2025 (cambios en la política de indemnizaciones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https://www.sec.gov/Archives/edgar/data/1405495/000140549525000054/idcc-20250904.htm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IDCC, SPY y XLK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https://finance.yahoo.com/quote/IDCC/history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IDCC y datos de los comparables (20-oct-2026, cierre del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https://finance.yahoo.com/quote/IDCC/analysis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diaria de tipos del Tesoro de EE. UU. (bono a 10 años del 19-oct-2026: 5,15 %)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noticias de IDCC (dividendo, ventas de directivos, Disney, fechas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https://www.marketbeat.com/stocks/NASDAQ/IDCC/news/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InterDigital fija el 29-oct-2026 para los resultados del 3T26; Argus baja su objetivo a 366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 (resumen de comunicados)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https://www.ad-hoc-news.de/boerse/news/nebenwerte/argus-lowers-target-to-usd-366-00-for-interdigital-stock/70349120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 «6-Day Sell-Off Sends InterDigital Stock Down -26%» y «InterDigital Stock Down 31%»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https://www.trefis.com/stock/idcc/articles/600305/interdigital-stock-down-31time-to-buy/2026-05-23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noticias de IDCC (Amazon 11-jun-2026, guía del 2T26,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https://seekingalpha.com/api/sa/combined/IDCC.xml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Qualcomm, Nokia, Dolby, Adeia, Rambus y Universal Display: datos de mercado y consenso (Yahoo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https://finance.yahoo.com/quote/QCOM/key-statistics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$IDCC (30 mensajes de abril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https://api.stocktwits.com/api/2/streams/symbol/IDCC.json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Proyección propia de ingresos recurrentes y atrasados de InterDigital (ARR del 2T26, guía de 2026, objetivos de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sobre A3, A4 y D9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informes/interdigital-2026-10-20/notas/supuestos.mjs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85,5 %</w:t>
      </w:r>
      <w:r>
        <w:t xml:space="preserve"> · Secciones con menos del 60 % de campos cubiertos: </w:t>
      </w:r>
      <w:r>
        <w:rPr>
          <w:b/>
          <w:bCs/>
        </w:rPr>
        <w:t xml:space="preserve">transacciones</w:t>
      </w:r>
      <w:r>
        <w:t xml:space="preserve"> · Generado el 20 oct 2026.</w:t>
      </w:r>
    </w:p>
    <w:p>
      <w:pPr>
        <w:pStyle w:val="Nota"/>
        <w:spacing w:after="100"/>
      </w:pPr>
      <w:r>
        <w:t xml:space="preserve">Cifras en millones de USD, ejercicio a 31 de diciembre. El último ejercicio real es 2025 y el último trimestre publicado el 2T26 (30-jun-2026); el 3T26 se publica el 29-oct-2026. Precio: cierre del 19-oct-2026 (322,40 USD); la sesión del 20-oct no había abierto al hacer el análisis (Nueva York abre a las 13:30 UTC) y la decisión se comprueba con el precio del día en las pruebas de robustez. El BPA de la regla a 12 meses y su historia están en base GAAP por acción ECONÓMICA (beneficio neto GAAP ÷ las acciones diluidas no GAAP de la empresa, 30,6 M, que cuentan los warrants y no el convertible cubierto); el consenso está en BPA no GAAP (suma la remuneración en acciones y la amortización de patentes compradas, ≈ +2,45 USD por acción) y solo se usa de contraste. Los ingresos mezclan recurrentes (ARR de 626 M a 30-jun-2026) y atrasados (cobros de años pasados al firmar o ganar un arbitraje: 460 M en 2024, 277 M en 2025, 167 M en el 1S26), que inflan años concretos: la historia del PER excluye 2018, 2022 y 2023 por ese motivo. La guía de 2026 incluye acuerdos aún no firmados. Calificaciones de S&amp;P y Moody's y de ESG sin comprobar. Precio de una acción en EUR: ≈ 287 EUR (1,1225 USD por EUR, 19-oct [14]), un 1,0 %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InterDigital, Inc. (IDCC)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322,40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(249,14 – 412,60)</c:v>
                </c:pt>
                <c:pt idx="1">
                  <c:v>Precio objetivo de los analistas (366,00 – 488,00)</c:v>
                </c:pt>
                <c:pt idx="2">
                  <c:v>Comparables: PER NTM (161,13 – 208,70)</c:v>
                </c:pt>
                <c:pt idx="3">
                  <c:v>DCF (WACC y g ± 0,5) (136,72 – 156,70)</c:v>
                </c:pt>
                <c:pt idx="4">
                  <c:v>Escenarios (bajista – alcista) (98,06 – 182,66)</c:v>
                </c:pt>
                <c:pt idx="5">
                  <c:v>DCF con la prima implícita del mercado (4,2 %)</c:v>
                </c:pt>
                <c:pt idx="6">
                  <c:v>Precio actual (322,40)</c:v>
                </c:pt>
              </c:strCache>
            </c:strRef>
          </c:cat>
          <c:val>
            <c:numRef>
              <c:f>Hoja1!$B$2:$B$8</c:f>
              <c:numCache>
                <c:formatCode>#,##0</c:formatCode>
                <c:ptCount val="7"/>
                <c:pt idx="0">
                  <c:v>249.14</c:v>
                </c:pt>
                <c:pt idx="1">
                  <c:v>366</c:v>
                </c:pt>
                <c:pt idx="2">
                  <c:v>161.13</c:v>
                </c:pt>
                <c:pt idx="3">
                  <c:v>136.72</c:v>
                </c:pt>
                <c:pt idx="4">
                  <c:v>98.06</c:v>
                </c:pt>
                <c:pt idx="5">
                  <c:v>159.35</c:v>
                </c:pt>
                <c:pt idx="6">
                  <c:v>320.79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(249,14 – 412,60)</c:v>
                </c:pt>
                <c:pt idx="1">
                  <c:v>Precio objetivo de los analistas (366,00 – 488,00)</c:v>
                </c:pt>
                <c:pt idx="2">
                  <c:v>Comparables: PER NTM (161,13 – 208,70)</c:v>
                </c:pt>
                <c:pt idx="3">
                  <c:v>DCF (WACC y g ± 0,5) (136,72 – 156,70)</c:v>
                </c:pt>
                <c:pt idx="4">
                  <c:v>Escenarios (bajista – alcista) (98,06 – 182,66)</c:v>
                </c:pt>
                <c:pt idx="5">
                  <c:v>DCF con la prima implícita del mercado (4,2 %)</c:v>
                </c:pt>
                <c:pt idx="6">
                  <c:v>Precio actual (322,40)</c:v>
                </c:pt>
              </c:strCache>
            </c:strRef>
          </c:cat>
          <c:val>
            <c:numRef>
              <c:f>Hoja1!$C$2:$C$8</c:f>
              <c:numCache>
                <c:formatCode>#,##0</c:formatCode>
                <c:ptCount val="7"/>
                <c:pt idx="0">
                  <c:v>163.46000000000004</c:v>
                </c:pt>
                <c:pt idx="1">
                  <c:v>122</c:v>
                </c:pt>
                <c:pt idx="2">
                  <c:v>47.56999999999999</c:v>
                </c:pt>
                <c:pt idx="3">
                  <c:v>19.97999999999999</c:v>
                </c:pt>
                <c:pt idx="4">
                  <c:v>84.6</c:v>
                </c:pt>
                <c:pt idx="5">
                  <c:v>18.620000000000005</c:v>
                </c:pt>
                <c:pt idx="6">
                  <c:v>3.2199999999999704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Smartphone</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597.5</c:v>
                </c:pt>
                <c:pt idx="1">
                  <c:v>678.9</c:v>
                </c:pt>
              </c:numCache>
            </c:numRef>
          </c:val>
        </c:ser>
        <c:ser>
          <c:idx val="1"/>
          <c:order val="1"/>
          <c:tx>
            <c:strRef>
              <c:f>Hoja1!$C$1</c:f>
              <c:strCache>
                <c:ptCount val="1"/>
                <c:pt idx="0">
                  <c:v>CE, IoT/Auto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268.7</c:v>
                </c:pt>
                <c:pt idx="1">
                  <c:v>154.6</c:v>
                </c:pt>
              </c:numCache>
            </c:numRef>
          </c:val>
        </c:ser>
        <c:ser>
          <c:idx val="2"/>
          <c:order val="2"/>
          <c:tx>
            <c:strRef>
              <c:f>Hoja1!$D$1</c:f>
              <c:strCache>
                <c:ptCount val="1"/>
                <c:pt idx="0">
                  <c:v>Streaming y nube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0</c:v>
                </c:pt>
                <c:pt idx="1">
                  <c:v>0</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2.3</c:v>
                </c:pt>
                <c:pt idx="1">
                  <c:v>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Smartphone</c:v>
                </c:pt>
                <c:pt idx="1">
                  <c:v>CE, IoT/Auto</c:v>
                </c:pt>
                <c:pt idx="2">
                  <c:v>Streaming y nube</c:v>
                </c:pt>
                <c:pt idx="3">
                  <c:v>Otros</c:v>
                </c:pt>
              </c:strCache>
            </c:strRef>
          </c:cat>
          <c:val>
            <c:numRef>
              <c:f>Hoja1!$B$2:$B$5</c:f>
              <c:numCache>
                <c:formatCode>General</c:formatCode>
                <c:ptCount val="4"/>
                <c:pt idx="0">
                  <c:v>81.4</c:v>
                </c:pt>
                <c:pt idx="1">
                  <c:v>18.5</c:v>
                </c:pt>
                <c:pt idx="2">
                  <c:v>0</c:v>
                </c:pt>
                <c:pt idx="3">
                  <c:v>0.1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China</c:v>
                </c:pt>
                <c:pt idx="1">
                  <c:v>Corea del Sur</c:v>
                </c:pt>
                <c:pt idx="2">
                  <c:v>Estados Unidos</c:v>
                </c:pt>
                <c:pt idx="3">
                  <c:v>Taiwán</c:v>
                </c:pt>
                <c:pt idx="4">
                  <c:v>Japón</c:v>
                </c:pt>
                <c:pt idx="5">
                  <c:v>Europa</c:v>
                </c:pt>
              </c:strCache>
            </c:strRef>
          </c:cat>
          <c:val>
            <c:numRef>
              <c:f>Hoja1!$B$2:$B$7</c:f>
              <c:numCache>
                <c:formatCode>0"%"</c:formatCode>
                <c:ptCount val="6"/>
                <c:pt idx="0">
                  <c:v>37.1</c:v>
                </c:pt>
                <c:pt idx="1">
                  <c:v>31.5</c:v>
                </c:pt>
                <c:pt idx="2">
                  <c:v>28.7</c:v>
                </c:pt>
                <c:pt idx="3">
                  <c:v>1.5</c:v>
                </c:pt>
                <c:pt idx="4">
                  <c:v>0.9</c:v>
                </c:pt>
                <c:pt idx="5">
                  <c:v>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5</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InterDigital</c:v>
                </c:pt>
                <c:pt idx="1">
                  <c:v>Qualcomm (QTL)</c:v>
                </c:pt>
                <c:pt idx="2">
                  <c:v>Nokia Technologies</c:v>
                </c:pt>
                <c:pt idx="3">
                  <c:v>Dolby Laboratories</c:v>
                </c:pt>
                <c:pt idx="4">
                  <c:v>Adeia</c:v>
                </c:pt>
                <c:pt idx="5">
                  <c:v>Ericsson (licencias de patentes)</c:v>
                </c:pt>
                <c:pt idx="6">
                  <c:v>Huawei</c:v>
                </c:pt>
              </c:strCache>
            </c:strRef>
          </c:cat>
          <c:val>
            <c:numRef>
              <c:f>Hoja1!$B$2:$B$8</c:f>
              <c:numCache>
                <c:formatCode>0.0"%"</c:formatCode>
                <c:ptCount val="7"/>
                <c:pt idx="0">
                  <c:v>56.1</c:v>
                </c:pt>
                <c:pt idx="1">
                  <c:v>72</c:v>
                </c:pt>
                <c:pt idx="2">
                  <c:v>70.6</c:v>
                </c:pt>
                <c:pt idx="3">
                  <c:v>19.6</c:v>
                </c:pt>
                <c:pt idx="4">
                  <c:v>39.5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4</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359</c:v>
                </c:pt>
                <c:pt idx="1">
                  <c:v>425.4</c:v>
                </c:pt>
                <c:pt idx="2">
                  <c:v>457.8</c:v>
                </c:pt>
                <c:pt idx="3">
                  <c:v>549.6</c:v>
                </c:pt>
                <c:pt idx="4">
                  <c:v>868.5</c:v>
                </c:pt>
                <c:pt idx="5">
                  <c:v>834</c:v>
                </c:pt>
                <c:pt idx="6">
                  <c:v>809</c:v>
                </c:pt>
                <c:pt idx="7">
                  <c:v>760</c:v>
                </c:pt>
                <c:pt idx="8">
                  <c:v>806</c:v>
                </c:pt>
                <c:pt idx="9">
                  <c:v>846</c:v>
                </c:pt>
                <c:pt idx="10">
                  <c:v>872</c:v>
                </c:pt>
                <c:pt idx="11">
                  <c:v>898</c:v>
                </c:pt>
                <c:pt idx="12">
                  <c:v>925</c:v>
                </c:pt>
                <c:pt idx="13">
                  <c:v>948</c:v>
                </c:pt>
                <c:pt idx="14">
                  <c:v>972</c:v>
                </c:pt>
                <c:pt idx="15">
                  <c:v>996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145.2</c:v>
                </c:pt>
                <c:pt idx="1">
                  <c:v>179.4</c:v>
                </c:pt>
                <c:pt idx="2">
                  <c:v>232.1</c:v>
                </c:pt>
                <c:pt idx="3">
                  <c:v>309.4</c:v>
                </c:pt>
                <c:pt idx="4">
                  <c:v>505.4</c:v>
                </c:pt>
                <c:pt idx="5">
                  <c:v>545.4</c:v>
                </c:pt>
                <c:pt idx="6">
                  <c:v>437</c:v>
                </c:pt>
                <c:pt idx="7">
                  <c:v>403</c:v>
                </c:pt>
                <c:pt idx="8">
                  <c:v>443</c:v>
                </c:pt>
                <c:pt idx="9">
                  <c:v>482</c:v>
                </c:pt>
                <c:pt idx="10">
                  <c:v>506</c:v>
                </c:pt>
                <c:pt idx="11">
                  <c:v>521</c:v>
                </c:pt>
                <c:pt idx="12">
                  <c:v>536</c:v>
                </c:pt>
                <c:pt idx="13">
                  <c:v>550</c:v>
                </c:pt>
                <c:pt idx="14">
                  <c:v>564</c:v>
                </c:pt>
                <c:pt idx="15">
                  <c:v>578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40.4</c:v>
                </c:pt>
                <c:pt idx="1">
                  <c:v>42.2</c:v>
                </c:pt>
                <c:pt idx="2">
                  <c:v>50.7</c:v>
                </c:pt>
                <c:pt idx="3">
                  <c:v>56.3</c:v>
                </c:pt>
                <c:pt idx="4">
                  <c:v>58.2</c:v>
                </c:pt>
                <c:pt idx="5">
                  <c:v>65.4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17.9</c:v>
                </c:pt>
                <c:pt idx="1">
                  <c:v>23.8</c:v>
                </c:pt>
                <c:pt idx="2">
                  <c:v>33.5</c:v>
                </c:pt>
                <c:pt idx="3">
                  <c:v>42.1</c:v>
                </c:pt>
                <c:pt idx="4">
                  <c:v>50.1</c:v>
                </c:pt>
                <c:pt idx="5">
                  <c:v>56.1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12.5</c:v>
                </c:pt>
                <c:pt idx="1">
                  <c:v>13</c:v>
                </c:pt>
                <c:pt idx="2">
                  <c:v>20.5</c:v>
                </c:pt>
                <c:pt idx="3">
                  <c:v>39</c:v>
                </c:pt>
                <c:pt idx="4">
                  <c:v>41.3</c:v>
                </c:pt>
                <c:pt idx="5">
                  <c:v>48.8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3">
                  <c:v>34.5</c:v>
                </c:pt>
                <c:pt idx="4">
                  <c:v>28</c:v>
                </c:pt>
                <c:pt idx="5">
                  <c:v>-37.4</c:v>
                </c:pt>
                <c:pt idx="6">
                  <c:v>-2.4</c:v>
                </c:pt>
                <c:pt idx="7">
                  <c:v>-13.4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16</c:v>
                </c:pt>
                <c:pt idx="1">
                  <c:v>27</c:v>
                </c:pt>
                <c:pt idx="2">
                  <c:v>42</c:v>
                </c:pt>
                <c:pt idx="3">
                  <c:v>78</c:v>
                </c:pt>
                <c:pt idx="4">
                  <c:v>79</c:v>
                </c:pt>
                <c:pt idx="5">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121.1</c:v>
                </c:pt>
                <c:pt idx="1">
                  <c:v>92.10000000000001</c:v>
                </c:pt>
                <c:pt idx="2">
                  <c:v>243.2</c:v>
                </c:pt>
                <c:pt idx="3">
                  <c:v>169</c:v>
                </c:pt>
                <c:pt idx="4">
                  <c:v>208.5</c:v>
                </c:pt>
                <c:pt idx="5">
                  <c:v>474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44.8</c:v>
                </c:pt>
                <c:pt idx="1">
                  <c:v>55.3</c:v>
                </c:pt>
                <c:pt idx="2">
                  <c:v>93.7</c:v>
                </c:pt>
                <c:pt idx="3">
                  <c:v>214.1</c:v>
                </c:pt>
                <c:pt idx="4">
                  <c:v>358.6</c:v>
                </c:pt>
                <c:pt idx="5">
                  <c:v>406.6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27</c:v>
                </c:pt>
                <c:pt idx="1">
                  <c:v>31.4</c:v>
                </c:pt>
                <c:pt idx="2">
                  <c:v>65</c:v>
                </c:pt>
                <c:pt idx="3">
                  <c:v>130.7</c:v>
                </c:pt>
                <c:pt idx="4">
                  <c:v>131.4</c:v>
                </c:pt>
                <c:pt idx="5">
                  <c:v>115.2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11.6</c:v>
                </c:pt>
                <c:pt idx="1">
                  <c:v>11.6</c:v>
                </c:pt>
                <c:pt idx="2">
                  <c:v>11.6</c:v>
                </c:pt>
                <c:pt idx="3">
                  <c:v>11.6</c:v>
                </c:pt>
                <c:pt idx="4">
                  <c:v>11.6</c:v>
                </c:pt>
                <c:pt idx="5">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5.8</c:v>
                </c:pt>
                <c:pt idx="1">
                  <c:v>7.3</c:v>
                </c:pt>
                <c:pt idx="2">
                  <c:v>12.7</c:v>
                </c:pt>
                <c:pt idx="3">
                  <c:v>32.8</c:v>
                </c:pt>
                <c:pt idx="4">
                  <c:v>49.9</c:v>
                </c:pt>
                <c:pt idx="5">
                  <c:v>41.5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-3.85</c:v>
                </c:pt>
                <c:pt idx="1">
                  <c:v>-2.89</c:v>
                </c:pt>
                <c:pt idx="2">
                  <c:v>-2.56</c:v>
                </c:pt>
                <c:pt idx="3">
                  <c:v>-1.29</c:v>
                </c:pt>
                <c:pt idx="4">
                  <c:v>-0.96</c:v>
                </c:pt>
                <c:pt idx="5">
                  <c:v>-1.41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2027</c:v>
                </c:pt>
              </c:strCache>
            </c:strRef>
          </c:cat>
          <c:val>
            <c:numRef>
              <c:f>Hoja1!$B$2</c:f>
              <c:numCache>
                <c:formatCode>#,##0</c:formatCode>
                <c:ptCount val="1"/>
                <c:pt idx="0">
                  <c:v>380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43.1</c:v>
                </c:pt>
                <c:pt idx="1">
                  <c:v>43.1</c:v>
                </c:pt>
                <c:pt idx="2">
                  <c:v>42.3</c:v>
                </c:pt>
                <c:pt idx="3">
                  <c:v>39.5</c:v>
                </c:pt>
                <c:pt idx="4">
                  <c:v>41.8</c:v>
                </c:pt>
                <c:pt idx="5">
                  <c:v>60.7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0.3</c:v>
                </c:pt>
                <c:pt idx="1">
                  <c:v>30</c:v>
                </c:pt>
                <c:pt idx="2">
                  <c:v>74.4</c:v>
                </c:pt>
                <c:pt idx="3">
                  <c:v>339.7</c:v>
                </c:pt>
                <c:pt idx="4">
                  <c:v>66.7</c:v>
                </c:pt>
                <c:pt idx="5">
                  <c:v>102.3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T. Rowe Price Associates</c:v>
                </c:pt>
                <c:pt idx="2">
                  <c:v>Consejo y directivos (12 personas)</c:v>
                </c:pt>
              </c:strCache>
            </c:strRef>
          </c:cat>
          <c:val>
            <c:numRef>
              <c:f>Hoja1!$B$2:$B$4</c:f>
              <c:numCache>
                <c:formatCode>0.0"%"</c:formatCode>
                <c:ptCount val="3"/>
                <c:pt idx="0">
                  <c:v>15.9</c:v>
                </c:pt>
                <c:pt idx="1">
                  <c:v>8.6</c:v>
                </c:pt>
                <c:pt idx="2">
                  <c:v>3.5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89.2</c:v>
                </c:pt>
                <c:pt idx="1">
                  <c:v>-15.3</c:v>
                </c:pt>
                <c:pt idx="2">
                  <c:v>-11.2</c:v>
                </c:pt>
                <c:pt idx="3">
                  <c:v>-16.1</c:v>
                </c:pt>
                <c:pt idx="4">
                  <c:v>14.3</c:v>
                </c:pt>
                <c:pt idx="5">
                  <c:v>20.5</c:v>
                </c:pt>
                <c:pt idx="6">
                  <c:v>-29.3</c:v>
                </c:pt>
                <c:pt idx="7">
                  <c:v>123.7</c:v>
                </c:pt>
                <c:pt idx="8">
                  <c:v>81.1</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9.3</c:v>
                </c:pt>
                <c:pt idx="1">
                  <c:v>9.6</c:v>
                </c:pt>
                <c:pt idx="2">
                  <c:v>4</c:v>
                </c:pt>
                <c:pt idx="3">
                  <c:v>8.6</c:v>
                </c:pt>
                <c:pt idx="4">
                  <c:v>10.4</c:v>
                </c:pt>
                <c:pt idx="5">
                  <c:v>18.7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9.5</c:v>
                </c:pt>
                <c:pt idx="1">
                  <c:v>9.5</c:v>
                </c:pt>
                <c:pt idx="2">
                  <c:v>9.5</c:v>
                </c:pt>
                <c:pt idx="3">
                  <c:v>9.5</c:v>
                </c:pt>
                <c:pt idx="4">
                  <c:v>9.5</c:v>
                </c:pt>
                <c:pt idx="5">
                  <c:v>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308</c:v>
                </c:pt>
                <c:pt idx="1">
                  <c:v>269</c:v>
                </c:pt>
                <c:pt idx="2">
                  <c:v>324</c:v>
                </c:pt>
                <c:pt idx="3">
                  <c:v>347</c:v>
                </c:pt>
                <c:pt idx="4">
                  <c:v>359</c:v>
                </c:pt>
                <c:pt idx="5">
                  <c:v>374</c:v>
                </c:pt>
                <c:pt idx="6">
                  <c:v>386</c:v>
                </c:pt>
                <c:pt idx="7">
                  <c:v>394</c:v>
                </c:pt>
                <c:pt idx="8">
                  <c:v>404</c:v>
                </c:pt>
                <c:pt idx="9">
                  <c:v>414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2026</c:v>
                </c:pt>
                <c:pt idx="1">
                  <c:v>1697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322,40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98.06</c:v>
                </c:pt>
                <c:pt idx="1">
                  <c:v>145.66</c:v>
                </c:pt>
                <c:pt idx="2">
                  <c:v>182.66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322,40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(249,14 – 412,60)</c:v>
                </c:pt>
                <c:pt idx="1">
                  <c:v>Precio objetivo de los analistas (366,00 – 488,00)</c:v>
                </c:pt>
                <c:pt idx="2">
                  <c:v>Comparables: PER NTM (161,13 – 208,70)</c:v>
                </c:pt>
                <c:pt idx="3">
                  <c:v>DCF (WACC y g ± 0,5) (136,72 – 156,70)</c:v>
                </c:pt>
                <c:pt idx="4">
                  <c:v>Escenarios (bajista – alcista) (98,06 – 182,66)</c:v>
                </c:pt>
                <c:pt idx="5">
                  <c:v>DCF con la prima implícita del mercado (4,2 %)</c:v>
                </c:pt>
                <c:pt idx="6">
                  <c:v>Precio actual (322,40)</c:v>
                </c:pt>
              </c:strCache>
            </c:strRef>
          </c:cat>
          <c:val>
            <c:numRef>
              <c:f>Hoja1!$B$2:$B$8</c:f>
              <c:numCache>
                <c:formatCode>#,##0</c:formatCode>
                <c:ptCount val="7"/>
                <c:pt idx="0">
                  <c:v>249.14</c:v>
                </c:pt>
                <c:pt idx="1">
                  <c:v>366</c:v>
                </c:pt>
                <c:pt idx="2">
                  <c:v>161.13</c:v>
                </c:pt>
                <c:pt idx="3">
                  <c:v>136.72</c:v>
                </c:pt>
                <c:pt idx="4">
                  <c:v>98.06</c:v>
                </c:pt>
                <c:pt idx="5">
                  <c:v>159.35</c:v>
                </c:pt>
                <c:pt idx="6">
                  <c:v>320.79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(249,14 – 412,60)</c:v>
                </c:pt>
                <c:pt idx="1">
                  <c:v>Precio objetivo de los analistas (366,00 – 488,00)</c:v>
                </c:pt>
                <c:pt idx="2">
                  <c:v>Comparables: PER NTM (161,13 – 208,70)</c:v>
                </c:pt>
                <c:pt idx="3">
                  <c:v>DCF (WACC y g ± 0,5) (136,72 – 156,70)</c:v>
                </c:pt>
                <c:pt idx="4">
                  <c:v>Escenarios (bajista – alcista) (98,06 – 182,66)</c:v>
                </c:pt>
                <c:pt idx="5">
                  <c:v>DCF con la prima implícita del mercado (4,2 %)</c:v>
                </c:pt>
                <c:pt idx="6">
                  <c:v>Precio actual (322,40)</c:v>
                </c:pt>
              </c:strCache>
            </c:strRef>
          </c:cat>
          <c:val>
            <c:numRef>
              <c:f>Hoja1!$C$2:$C$8</c:f>
              <c:numCache>
                <c:formatCode>#,##0</c:formatCode>
                <c:ptCount val="7"/>
                <c:pt idx="0">
                  <c:v>163.46000000000004</c:v>
                </c:pt>
                <c:pt idx="1">
                  <c:v>122</c:v>
                </c:pt>
                <c:pt idx="2">
                  <c:v>47.56999999999999</c:v>
                </c:pt>
                <c:pt idx="3">
                  <c:v>19.97999999999999</c:v>
                </c:pt>
                <c:pt idx="4">
                  <c:v>84.6</c:v>
                </c:pt>
                <c:pt idx="5">
                  <c:v>18.620000000000005</c:v>
                </c:pt>
                <c:pt idx="6">
                  <c:v>3.2199999999999704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