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620685cf359edaa6949b1e5ffbae379c024b5a"/>
    <w:p>
      <w:pPr>
        <w:pStyle w:val="Heading1"/>
      </w:pPr>
      <w:r>
        <w:t xml:space="preserve">ALK-Abelló (ALK-B, Copenhague): análisis growth, 14-oct-2026</w:t>
      </w:r>
    </w:p>
    <w:p>
      <w:pPr>
        <w:pStyle w:val="FirstParagraph"/>
      </w:pPr>
      <w:r>
        <w:rPr>
          <w:bCs/>
          <w:b/>
        </w:rPr>
        <w:t xml:space="preserve">Señal: Mantener</w:t>
      </w:r>
      <w:r>
        <w:t xml:space="preserve"> </w:t>
      </w:r>
      <w:r>
        <w:t xml:space="preserve">· Puntuación 58,3/100 · Señales de cambio de tendencia 2/8 · Método vigente v11</w:t>
      </w:r>
      <w:r>
        <w:t xml:space="preserve"> </w:t>
      </w:r>
      <w:r>
        <w:t xml:space="preserve">Precio 227,20 DKK (cierre del 13-oct) · Objetivo 12 m 240,2 DKK (ponderada +6,4 %, base +8,3 %, bajista −39,6 %, alcista +48,5 %) · Compra hasta 230,2 DKK (solo si llega a Comprar)</w:t>
      </w:r>
      <w:r>
        <w:t xml:space="preserve"> </w:t>
      </w:r>
      <w:r>
        <w:t xml:space="preserve">Referencia v9: ponderada +9,1 %, base +12,0 %, bajista −39,6 %, Mantener.</w:t>
      </w:r>
      <w:r>
        <w:t xml:space="preserve"> </w:t>
      </w:r>
      <w:r>
        <w:t xml:space="preserve">Precio actual: 226,00 DKK a las 14:59 UTC del 14-oct (cierre de la sesión). Con el objetivo fijo, la rentabilidad es +6,3 %.</w:t>
      </w:r>
      <w:r>
        <w:t xml:space="preserve"> </w:t>
      </w:r>
      <w:r>
        <w:t xml:space="preserve">Peso orientativo: no entra.</w:t>
      </w:r>
    </w:p>
    <w:p>
      <w:pPr>
        <w:pStyle w:val="BodyText"/>
      </w:pPr>
      <w:r>
        <w:rPr>
          <w:bCs/>
          <w:b/>
        </w:rPr>
        <w:t xml:space="preserve">Resumen en llano.</w:t>
      </w:r>
      <w:r>
        <w:t xml:space="preserve"> </w:t>
      </w:r>
      <w:r>
        <w:t xml:space="preserve">ALK es el líder mundial de las vacunas contra la alergia, sobre todo en comprimidos que se toman en casa. Crece al 18 % y gana dinero de verdad: margen EBIT del 27 % y caja neta. Por eso se valora por EV/EBITDA y no por ventas. El precio no es caro para su historia (20,7 veces el EBITDA de los próximos 12 meses, igual que su mediana de 3 años) y la rentabilidad esperada es modesta, del 6,4 %. Se queda en Mantener por 1,7 puntos de puntuación: le faltan señales de cambio de tendencia y su crecimiento en coronas está justo en los umbrales. El riesgo principal es Alemania: es una cuarta parte de las ventas y en 2027 sube el descuento obligatorio del 7 % al 15,5 %.</w:t>
      </w:r>
    </w:p>
    <w:bookmarkStart w:id="20" w:name="la-tesis-en-cinco-líneas"/>
    <w:p>
      <w:pPr>
        <w:pStyle w:val="Heading2"/>
      </w:pPr>
      <w:r>
        <w:t xml:space="preserve">1. La tesis en cinco líneas</w:t>
      </w:r>
    </w:p>
    <w:p>
      <w:pPr>
        <w:numPr>
          <w:ilvl w:val="0"/>
          <w:numId w:val="1001"/>
        </w:numPr>
        <w:pStyle w:val="Compact"/>
      </w:pPr>
      <w:r>
        <w:t xml:space="preserve">ALK tiene cerca del 50 % del mercado mundial de inmunoterapia de la alergia (AIT), que vale unos 13.000 M DKK y crece algo menos del 10 % al año [6]. ALK crece al doble porque gana cuota con los comprimidos.</w:t>
      </w:r>
    </w:p>
    <w:p>
      <w:pPr>
        <w:numPr>
          <w:ilvl w:val="0"/>
          <w:numId w:val="1001"/>
        </w:numPr>
        <w:pStyle w:val="Compact"/>
      </w:pPr>
      <w:r>
        <w:t xml:space="preserve">El motor de hoy son los comprimidos para niños (ácaros y árboles), aprobados en 36 y 20 países. Los comprimidos crecieron un 22 % en el 2T26 y un 27 % en Europa [1].</w:t>
      </w:r>
    </w:p>
    <w:p>
      <w:pPr>
        <w:numPr>
          <w:ilvl w:val="0"/>
          <w:numId w:val="1001"/>
        </w:numPr>
        <w:pStyle w:val="Compact"/>
      </w:pPr>
      <w:r>
        <w:t xml:space="preserve">Tiene otras opciones de crecimiento: neffy, la adrenalina en espray nasal, lanzada en 10 mercados; el comprimido de cacahuete, que empieza la fase 3 a finales de 2026; y China, donde los resultados de la fase 3 del comprimido de ácaros llegan en el 4T26 [1].</w:t>
      </w:r>
    </w:p>
    <w:p>
      <w:pPr>
        <w:numPr>
          <w:ilvl w:val="0"/>
          <w:numId w:val="1001"/>
        </w:numPr>
        <w:pStyle w:val="Compact"/>
      </w:pPr>
      <w:r>
        <w:t xml:space="preserve">Ha subido la guía de 2026 tres veces, del 11-15 % al 16-17 %, y la de margen EBIT del 25 % al 27 % [4].</w:t>
      </w:r>
    </w:p>
    <w:p>
      <w:pPr>
        <w:numPr>
          <w:ilvl w:val="0"/>
          <w:numId w:val="1001"/>
        </w:numPr>
        <w:pStyle w:val="Compact"/>
      </w:pPr>
      <w:r>
        <w:t xml:space="preserve">En contra: la ley alemana recorta el crecimiento de 2027 y la empresa dice que reinvertirá el margen que pase del 25 %. El mercado ya paga 20,7 veces el EBITDA de los próximos 12 meses.</w:t>
      </w:r>
    </w:p>
    <w:bookmarkEnd w:id="20"/>
    <w:bookmarkStart w:id="21" w:name="negocio-y-tecnología"/>
    <w:p>
      <w:pPr>
        <w:pStyle w:val="Heading2"/>
      </w:pPr>
      <w:r>
        <w:t xml:space="preserve">2. Negocio y tecnología</w:t>
      </w:r>
    </w:p>
    <w:p>
      <w:pPr>
        <w:pStyle w:val="FirstParagraph"/>
      </w:pPr>
      <w:r>
        <w:t xml:space="preserve">ALK, con sede en Hørsholm (Dinamarca), fabrica extractos de alérgenos y vende tres líneas [1]:</w:t>
      </w:r>
      <w:r>
        <w:t xml:space="preserve"> </w:t>
      </w:r>
      <w:r>
        <w:t xml:space="preserve">-</w:t>
      </w:r>
      <w:r>
        <w:t xml:space="preserve"> </w:t>
      </w:r>
      <w:r>
        <w:rPr>
          <w:bCs/>
          <w:b/>
        </w:rPr>
        <w:t xml:space="preserve">Comprimidos sublinguales (SLIT)</w:t>
      </w:r>
      <w:r>
        <w:t xml:space="preserve">, el 56 % de las ventas del 2T26: ACARIZAX/ODACTRA (ácaros), GRAZAX/GRASTEK (gramíneas), ITULAZAX/ITULATEK (árboles), RAGWIZAX (ambrosía) y CEDARCURE (cedro japonés, que vende su socio Torii, hoy parte de Shionogi). Son medicamentos registrados con ensayos de fase 3, que modifican la enfermedad y no solo los síntomas. El paciente se trata tres años, así que cada cohorte de pacientes nuevos deja ventas repetidas.</w:t>
      </w:r>
      <w:r>
        <w:t xml:space="preserve"> </w:t>
      </w:r>
      <w:r>
        <w:t xml:space="preserve">-</w:t>
      </w:r>
      <w:r>
        <w:t xml:space="preserve"> </w:t>
      </w:r>
      <w:r>
        <w:rPr>
          <w:bCs/>
          <w:b/>
        </w:rPr>
        <w:t xml:space="preserve">Inyecciones (SCIT) y gotas</w:t>
      </w:r>
      <w:r>
        <w:t xml:space="preserve">, el 29 %: negocio antiguo que crece en un dígito, más rápido en China gracias al socio GenSci.</w:t>
      </w:r>
      <w:r>
        <w:t xml:space="preserve"> </w:t>
      </w:r>
      <w:r>
        <w:t xml:space="preserve">-</w:t>
      </w:r>
      <w:r>
        <w:t xml:space="preserve"> </w:t>
      </w:r>
      <w:r>
        <w:rPr>
          <w:bCs/>
          <w:b/>
        </w:rPr>
        <w:t xml:space="preserve">Anafilaxia y otros</w:t>
      </w:r>
      <w:r>
        <w:t xml:space="preserve">, el 15 %: el autoinyector Jext y neffy/EURneffy (adrenalina nasal sin aguja, con licencia de ARS Pharma para Europa, Canadá y otros mercados), más pruebas de diagnóstico y productos de laboratorio.</w:t>
      </w:r>
    </w:p>
    <w:p>
      <w:pPr>
        <w:pStyle w:val="BodyText"/>
      </w:pPr>
      <w:r>
        <w:t xml:space="preserve">Qué tiene de nuevo: un catálogo de comprimidos registrados que nadie más tiene a esta escala. Los fabrica con la tecnología Zydis de Catalent, con acuerdo ampliado en 2026 [10], y está entrando en la alergia alimentaria (cacahuete, fase 2 con éxito) [2]. No es tecnología disruptiva: el producto existe desde 2006. Lo que cambia es el uso en niños y la entrada en mercados nuevos.</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Trimestre (M DKK)</w:t>
            </w:r>
          </w:p>
        </w:tc>
        <w:tc>
          <w:tcPr/>
          <w:p>
            <w:pPr>
              <w:pStyle w:val="Compact"/>
              <w:jc w:val="left"/>
            </w:pPr>
            <w:r>
              <w:t xml:space="preserve">Ventas</w:t>
            </w:r>
          </w:p>
        </w:tc>
        <w:tc>
          <w:tcPr/>
          <w:p>
            <w:pPr>
              <w:pStyle w:val="Compact"/>
              <w:jc w:val="left"/>
            </w:pPr>
            <w:r>
              <w:t xml:space="preserve">Crecimiento en moneda local</w:t>
            </w:r>
          </w:p>
        </w:tc>
        <w:tc>
          <w:tcPr/>
          <w:p>
            <w:pPr>
              <w:pStyle w:val="Compact"/>
              <w:jc w:val="left"/>
            </w:pPr>
            <w:r>
              <w:t xml:space="preserve">Margen EBIT</w:t>
            </w:r>
          </w:p>
        </w:tc>
      </w:tr>
      <w:tr>
        <w:tc>
          <w:tcPr/>
          <w:p>
            <w:pPr>
              <w:pStyle w:val="Compact"/>
              <w:jc w:val="left"/>
            </w:pPr>
            <w:r>
              <w:t xml:space="preserve">2T25</w:t>
            </w:r>
          </w:p>
        </w:tc>
        <w:tc>
          <w:tcPr/>
          <w:p>
            <w:pPr>
              <w:pStyle w:val="Compact"/>
              <w:jc w:val="left"/>
            </w:pPr>
            <w:r>
              <w:t xml:space="preserve">1.527</w:t>
            </w:r>
          </w:p>
        </w:tc>
        <w:tc>
          <w:tcPr/>
          <w:p>
            <w:pPr>
              <w:pStyle w:val="Compact"/>
              <w:jc w:val="left"/>
            </w:pPr>
            <w:r>
              <w:t xml:space="preserve">+12 %</w:t>
            </w:r>
          </w:p>
        </w:tc>
        <w:tc>
          <w:tcPr/>
          <w:p>
            <w:pPr>
              <w:pStyle w:val="Compact"/>
              <w:jc w:val="left"/>
            </w:pPr>
            <w:r>
              <w:t xml:space="preserve">25 %</w:t>
            </w:r>
          </w:p>
        </w:tc>
      </w:tr>
      <w:tr>
        <w:tc>
          <w:tcPr/>
          <w:p>
            <w:pPr>
              <w:pStyle w:val="Compact"/>
              <w:jc w:val="left"/>
            </w:pPr>
            <w:r>
              <w:t xml:space="preserve">3T25</w:t>
            </w:r>
          </w:p>
        </w:tc>
        <w:tc>
          <w:tcPr/>
          <w:p>
            <w:pPr>
              <w:pStyle w:val="Compact"/>
              <w:jc w:val="left"/>
            </w:pPr>
            <w:r>
              <w:t xml:space="preserve">1.530</w:t>
            </w:r>
          </w:p>
        </w:tc>
        <w:tc>
          <w:tcPr/>
          <w:p>
            <w:pPr>
              <w:pStyle w:val="Compact"/>
              <w:jc w:val="left"/>
            </w:pPr>
            <w:r>
              <w:t xml:space="preserve">+18 %</w:t>
            </w:r>
          </w:p>
        </w:tc>
        <w:tc>
          <w:tcPr/>
          <w:p>
            <w:pPr>
              <w:pStyle w:val="Compact"/>
              <w:jc w:val="left"/>
            </w:pPr>
            <w:r>
              <w:t xml:space="preserve">28 %</w:t>
            </w:r>
          </w:p>
        </w:tc>
      </w:tr>
      <w:tr>
        <w:tc>
          <w:tcPr/>
          <w:p>
            <w:pPr>
              <w:pStyle w:val="Compact"/>
              <w:jc w:val="left"/>
            </w:pPr>
            <w:r>
              <w:t xml:space="preserve">4T25</w:t>
            </w:r>
          </w:p>
        </w:tc>
        <w:tc>
          <w:tcPr/>
          <w:p>
            <w:pPr>
              <w:pStyle w:val="Compact"/>
              <w:jc w:val="left"/>
            </w:pPr>
            <w:r>
              <w:t xml:space="preserve">1.733</w:t>
            </w:r>
          </w:p>
        </w:tc>
        <w:tc>
          <w:tcPr/>
          <w:p>
            <w:pPr>
              <w:pStyle w:val="Compact"/>
              <w:jc w:val="left"/>
            </w:pPr>
            <w:r>
              <w:t xml:space="preserve">+17 %</w:t>
            </w:r>
          </w:p>
        </w:tc>
        <w:tc>
          <w:tcPr/>
          <w:p>
            <w:pPr>
              <w:pStyle w:val="Compact"/>
              <w:jc w:val="left"/>
            </w:pPr>
            <w:r>
              <w:t xml:space="preserve">22 %</w:t>
            </w:r>
          </w:p>
        </w:tc>
      </w:tr>
      <w:tr>
        <w:tc>
          <w:tcPr/>
          <w:p>
            <w:pPr>
              <w:pStyle w:val="Compact"/>
              <w:jc w:val="left"/>
            </w:pPr>
            <w:r>
              <w:t xml:space="preserve">1T26</w:t>
            </w:r>
          </w:p>
        </w:tc>
        <w:tc>
          <w:tcPr/>
          <w:p>
            <w:pPr>
              <w:pStyle w:val="Compact"/>
              <w:jc w:val="left"/>
            </w:pPr>
            <w:r>
              <w:t xml:space="preserve">1.771</w:t>
            </w:r>
          </w:p>
        </w:tc>
        <w:tc>
          <w:tcPr/>
          <w:p>
            <w:pPr>
              <w:pStyle w:val="Compact"/>
              <w:jc w:val="left"/>
            </w:pPr>
            <w:r>
              <w:t xml:space="preserve">+18 %</w:t>
            </w:r>
          </w:p>
        </w:tc>
        <w:tc>
          <w:tcPr/>
          <w:p>
            <w:pPr>
              <w:pStyle w:val="Compact"/>
              <w:jc w:val="left"/>
            </w:pPr>
            <w:r>
              <w:t xml:space="preserve">32 %</w:t>
            </w:r>
          </w:p>
        </w:tc>
      </w:tr>
      <w:tr>
        <w:tc>
          <w:tcPr/>
          <w:p>
            <w:pPr>
              <w:pStyle w:val="Compact"/>
              <w:jc w:val="left"/>
            </w:pPr>
            <w:r>
              <w:t xml:space="preserve">2T26</w:t>
            </w:r>
          </w:p>
        </w:tc>
        <w:tc>
          <w:tcPr/>
          <w:p>
            <w:pPr>
              <w:pStyle w:val="Compact"/>
              <w:jc w:val="left"/>
            </w:pPr>
            <w:r>
              <w:t xml:space="preserve">1.795</w:t>
            </w:r>
          </w:p>
        </w:tc>
        <w:tc>
          <w:tcPr/>
          <w:p>
            <w:pPr>
              <w:pStyle w:val="Compact"/>
              <w:jc w:val="left"/>
            </w:pPr>
            <w:r>
              <w:t xml:space="preserve">+18 %</w:t>
            </w:r>
          </w:p>
        </w:tc>
        <w:tc>
          <w:tcPr/>
          <w:p>
            <w:pPr>
              <w:pStyle w:val="Compact"/>
              <w:jc w:val="left"/>
            </w:pPr>
            <w:r>
              <w:t xml:space="preserve">25 %</w:t>
            </w:r>
          </w:p>
        </w:tc>
      </w:tr>
    </w:tbl>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Año (M DKK)</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12 m a jun-26</w:t>
            </w:r>
          </w:p>
        </w:tc>
      </w:tr>
      <w:tr>
        <w:tc>
          <w:tcPr/>
          <w:p>
            <w:pPr>
              <w:pStyle w:val="Compact"/>
              <w:jc w:val="left"/>
            </w:pPr>
            <w:r>
              <w:t xml:space="preserve">Ventas</w:t>
            </w:r>
          </w:p>
        </w:tc>
        <w:tc>
          <w:tcPr/>
          <w:p>
            <w:pPr>
              <w:pStyle w:val="Compact"/>
              <w:jc w:val="left"/>
            </w:pPr>
            <w:r>
              <w:t xml:space="preserve">3.916</w:t>
            </w:r>
          </w:p>
        </w:tc>
        <w:tc>
          <w:tcPr/>
          <w:p>
            <w:pPr>
              <w:pStyle w:val="Compact"/>
              <w:jc w:val="left"/>
            </w:pPr>
            <w:r>
              <w:t xml:space="preserve">4.511</w:t>
            </w:r>
          </w:p>
        </w:tc>
        <w:tc>
          <w:tcPr/>
          <w:p>
            <w:pPr>
              <w:pStyle w:val="Compact"/>
              <w:jc w:val="left"/>
            </w:pPr>
            <w:r>
              <w:t xml:space="preserve">4.824</w:t>
            </w:r>
          </w:p>
        </w:tc>
        <w:tc>
          <w:tcPr/>
          <w:p>
            <w:pPr>
              <w:pStyle w:val="Compact"/>
              <w:jc w:val="left"/>
            </w:pPr>
            <w:r>
              <w:t xml:space="preserve">5.537</w:t>
            </w:r>
          </w:p>
        </w:tc>
        <w:tc>
          <w:tcPr/>
          <w:p>
            <w:pPr>
              <w:pStyle w:val="Compact"/>
              <w:jc w:val="left"/>
            </w:pPr>
            <w:r>
              <w:t xml:space="preserve">6.312</w:t>
            </w:r>
          </w:p>
        </w:tc>
        <w:tc>
          <w:tcPr/>
          <w:p>
            <w:pPr>
              <w:pStyle w:val="Compact"/>
              <w:jc w:val="left"/>
            </w:pPr>
            <w:r>
              <w:t xml:space="preserve">6.829</w:t>
            </w:r>
          </w:p>
        </w:tc>
      </w:tr>
      <w:tr>
        <w:tc>
          <w:tcPr/>
          <w:p>
            <w:pPr>
              <w:pStyle w:val="Compact"/>
              <w:jc w:val="left"/>
            </w:pPr>
            <w:r>
              <w:t xml:space="preserve">Margen EBIT</w:t>
            </w:r>
          </w:p>
        </w:tc>
        <w:tc>
          <w:tcPr/>
          <w:p>
            <w:pPr>
              <w:pStyle w:val="Compact"/>
              <w:jc w:val="left"/>
            </w:pPr>
            <w:r>
              <w:t xml:space="preserve">7,5 %</w:t>
            </w:r>
          </w:p>
        </w:tc>
        <w:tc>
          <w:tcPr/>
          <w:p>
            <w:pPr>
              <w:pStyle w:val="Compact"/>
              <w:jc w:val="left"/>
            </w:pPr>
            <w:r>
              <w:t xml:space="preserve">10,4 %</w:t>
            </w:r>
          </w:p>
        </w:tc>
        <w:tc>
          <w:tcPr/>
          <w:p>
            <w:pPr>
              <w:pStyle w:val="Compact"/>
              <w:jc w:val="left"/>
            </w:pPr>
            <w:r>
              <w:t xml:space="preserve">13,8 %</w:t>
            </w:r>
          </w:p>
        </w:tc>
        <w:tc>
          <w:tcPr/>
          <w:p>
            <w:pPr>
              <w:pStyle w:val="Compact"/>
              <w:jc w:val="left"/>
            </w:pPr>
            <w:r>
              <w:t xml:space="preserve">19,7 %</w:t>
            </w:r>
          </w:p>
        </w:tc>
        <w:tc>
          <w:tcPr/>
          <w:p>
            <w:pPr>
              <w:pStyle w:val="Compact"/>
              <w:jc w:val="left"/>
            </w:pPr>
            <w:r>
              <w:t xml:space="preserve">26,2 %</w:t>
            </w:r>
          </w:p>
        </w:tc>
        <w:tc>
          <w:tcPr/>
          <w:p>
            <w:pPr>
              <w:pStyle w:val="Compact"/>
              <w:jc w:val="left"/>
            </w:pPr>
            <w:r>
              <w:t xml:space="preserve">26,7 %</w:t>
            </w:r>
          </w:p>
        </w:tc>
      </w:tr>
    </w:tbl>
    <w:p>
      <w:pPr>
        <w:pStyle w:val="BodyText"/>
      </w:pPr>
      <w:r>
        <w:t xml:space="preserve">Fuentes: [1][6].</w:t>
      </w:r>
    </w:p>
    <w:p>
      <w:pPr>
        <w:numPr>
          <w:ilvl w:val="0"/>
          <w:numId w:val="1002"/>
        </w:numPr>
        <w:pStyle w:val="Compact"/>
      </w:pPr>
      <w:r>
        <w:t xml:space="preserve">Ventas de 12 meses: 6.829 M, un 16,5 % más en coronas (17,8 % en moneda local). El crecimiento anual compuesto a dos años es del 14,8 % en coronas. El último trimestre creció un 18 %. La aceleración es de +1,8 puntos frente a la media de los cuatro anteriores.</w:t>
      </w:r>
    </w:p>
    <w:p>
      <w:pPr>
        <w:numPr>
          <w:ilvl w:val="0"/>
          <w:numId w:val="1002"/>
        </w:numPr>
        <w:pStyle w:val="Compact"/>
      </w:pPr>
      <w:r>
        <w:rPr>
          <w:bCs/>
          <w:b/>
        </w:rPr>
        <w:t xml:space="preserve">Guía</w:t>
      </w:r>
      <w:r>
        <w:t xml:space="preserve">: el 8-oct subió las ventas de 2026 a +16-17 % en moneda local y el margen EBIT a ~27 % [4]. Eso implica un 2S26 del +16 %. El año pasado batió su primera guía en 4 puntos (guiaba 9-13 % y creció un 15 %) [5]. La guía no recorta la proyección: el crecimiento de partida mecánico es del 16 % y la guía más su exceso habitual da 20 %.</w:t>
      </w:r>
    </w:p>
    <w:p>
      <w:pPr>
        <w:numPr>
          <w:ilvl w:val="0"/>
          <w:numId w:val="1002"/>
        </w:numPr>
        <w:pStyle w:val="Compact"/>
      </w:pPr>
      <w:r>
        <w:rPr>
          <w:bCs/>
          <w:b/>
        </w:rPr>
        <w:t xml:space="preserve">Ambición a 2028</w:t>
      </w:r>
      <w:r>
        <w:t xml:space="preserve">: crecer al menos un 10 % al año de media entre 2023 y 2028 (lleva un 15 %) y margen EBIT de ~25 %, reinvirtiendo lo que lo supere [6]. En la conferencia del 2T la dirección dijo que sigue apuntando a «más del 10 %» en los próximos años [3].</w:t>
      </w:r>
    </w:p>
    <w:p>
      <w:pPr>
        <w:numPr>
          <w:ilvl w:val="0"/>
          <w:numId w:val="1002"/>
        </w:numPr>
        <w:pStyle w:val="Compact"/>
      </w:pPr>
      <w:r>
        <w:rPr>
          <w:bCs/>
          <w:b/>
        </w:rPr>
        <w:t xml:space="preserve">2027</w:t>
      </w:r>
      <w:r>
        <w:t xml:space="preserve">: el consenso espera solo un +11,9 %, por el descuento alemán. Para 2028 espera +13,8 % [7].</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 en 2028: unos 19.500 M DKK</w:t>
      </w:r>
      <w:r>
        <w:t xml:space="preserve"> </w:t>
      </w:r>
      <w:r>
        <w:t xml:space="preserve">(estimación propia [15]). Son la AIT mundial (13.000 M en 2025, creciendo ~8 % al año), la anafilaxia europea (1.600 M, +17 %) y Canadá (500 M) [6]. ALK ya vende el 35 % de eso, así que el bloque de penetración puntúa bajo. No cuenta la alergia alimentaria, que aún no tiene producto aprobado.</w:t>
      </w:r>
    </w:p>
    <w:p>
      <w:pPr>
        <w:numPr>
          <w:ilvl w:val="0"/>
          <w:numId w:val="1003"/>
        </w:numPr>
        <w:pStyle w:val="Compact"/>
      </w:pPr>
      <w:r>
        <w:rPr>
          <w:bCs/>
          <w:b/>
        </w:rPr>
        <w:t xml:space="preserve">Cuota</w:t>
      </w:r>
      <w:r>
        <w:t xml:space="preserve">: cerca del 50 % de la AIT mundial y líder en Alemania, el mayor mercado. En anafilaxia tiene menos del 5 % mundial, pero cerca del 50 % de su mercado en Alemania tras lanzar neffy [3][6].</w:t>
      </w:r>
    </w:p>
    <w:p>
      <w:pPr>
        <w:numPr>
          <w:ilvl w:val="0"/>
          <w:numId w:val="1003"/>
        </w:numPr>
        <w:pStyle w:val="Compact"/>
      </w:pPr>
      <w:r>
        <w:rPr>
          <w:bCs/>
          <w:b/>
        </w:rPr>
        <w:t xml:space="preserve">Rivales</w:t>
      </w:r>
      <w:r>
        <w:t xml:space="preserve">: Stallergenes Greer (no cotiza), HAL Allergy, Allergy Therapeutics y Leti en AIT. En adrenalina, Viatris (EpiPen) y genéricos. En alergia alimentaria, Xolair (Roche/Novartis) y el parche de DBV. Frente a los extractos sin registrar, ALK gana porque sus comprimidos tienen ensayos de fase 3 y reembolso. Los reguladores europeos empujan a pasar de productos sin registrar a registrados, lo que le favorece [3].</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 (3 meses)</w:t>
            </w:r>
          </w:p>
        </w:tc>
        <w:tc>
          <w:tcPr/>
          <w:p>
            <w:pPr>
              <w:pStyle w:val="Compact"/>
              <w:jc w:val="left"/>
            </w:pPr>
            <w:r>
              <w:t xml:space="preserve">No</w:t>
            </w:r>
          </w:p>
        </w:tc>
        <w:tc>
          <w:tcPr/>
          <w:p>
            <w:pPr>
              <w:pStyle w:val="Compact"/>
              <w:jc w:val="left"/>
            </w:pPr>
            <w:r>
              <w:t xml:space="preserve">Mixto: subió la guía dos veces y Nordea pasó a Comprar, pero 2027 baja por Alemania y el precio objetivo medio no sube (297,5 DKK hace tres meses, 291-294 hoy)</w:t>
            </w:r>
          </w:p>
        </w:tc>
        <w:tc>
          <w:tcPr/>
          <w:p>
            <w:pPr>
              <w:pStyle w:val="Compact"/>
              <w:jc w:val="left"/>
            </w:pPr>
            <w:r>
              <w:t xml:space="preserve">[4][7][10][11]</w:t>
            </w:r>
          </w:p>
        </w:tc>
      </w:tr>
      <w:tr>
        <w:tc>
          <w:tcPr/>
          <w:p>
            <w:pPr>
              <w:pStyle w:val="Compact"/>
              <w:jc w:val="left"/>
            </w:pPr>
            <w:r>
              <w:t xml:space="preserve">2. Precio sobre la media de 200 y la media al alza</w:t>
            </w:r>
          </w:p>
        </w:tc>
        <w:tc>
          <w:tcPr/>
          <w:p>
            <w:pPr>
              <w:pStyle w:val="Compact"/>
              <w:jc w:val="left"/>
            </w:pPr>
            <w:r>
              <w:t xml:space="preserve">No</w:t>
            </w:r>
          </w:p>
        </w:tc>
        <w:tc>
          <w:tcPr/>
          <w:p>
            <w:pPr>
              <w:pStyle w:val="Compact"/>
              <w:jc w:val="left"/>
            </w:pPr>
            <w:r>
              <w:t xml:space="preserve">227,20 frente a 225,7, pero la media baja (227,8 hace un mes)</w:t>
            </w:r>
          </w:p>
        </w:tc>
        <w:tc>
          <w:tcPr/>
          <w:p>
            <w:pPr>
              <w:pStyle w:val="Compact"/>
              <w:jc w:val="left"/>
            </w:pPr>
            <w:r>
              <w:t xml:space="preserve">[8]</w:t>
            </w:r>
          </w:p>
        </w:tc>
      </w:tr>
      <w:tr>
        <w:tc>
          <w:tcPr/>
          <w:p>
            <w:pPr>
              <w:pStyle w:val="Compact"/>
              <w:jc w:val="left"/>
            </w:pPr>
            <w:r>
              <w:t xml:space="preserve">3. Fuerza relativa a 6 meses</w:t>
            </w:r>
          </w:p>
        </w:tc>
        <w:tc>
          <w:tcPr/>
          <w:p>
            <w:pPr>
              <w:pStyle w:val="Compact"/>
              <w:jc w:val="left"/>
            </w:pPr>
            <w:r>
              <w:t xml:space="preserve">Sí</w:t>
            </w:r>
          </w:p>
        </w:tc>
        <w:tc>
          <w:tcPr/>
          <w:p>
            <w:pPr>
              <w:pStyle w:val="Compact"/>
              <w:jc w:val="left"/>
            </w:pPr>
            <w:r>
              <w:t xml:space="preserve">+5,6 % frente al +5,5 % del OMX Copenhagen 25: gana por muy poco</w:t>
            </w:r>
          </w:p>
        </w:tc>
        <w:tc>
          <w:tcPr/>
          <w:p>
            <w:pPr>
              <w:pStyle w:val="Compact"/>
              <w:jc w:val="left"/>
            </w:pPr>
            <w:r>
              <w:t xml:space="preserve">[8]</w:t>
            </w:r>
          </w:p>
        </w:tc>
      </w:tr>
      <w:tr>
        <w:tc>
          <w:tcPr/>
          <w:p>
            <w:pPr>
              <w:pStyle w:val="Compact"/>
              <w:jc w:val="left"/>
            </w:pPr>
            <w:r>
              <w:t xml:space="preserve">4. Múltiplo +20 % desde su mínimo de 12 meses</w:t>
            </w:r>
          </w:p>
        </w:tc>
        <w:tc>
          <w:tcPr/>
          <w:p>
            <w:pPr>
              <w:pStyle w:val="Compact"/>
              <w:jc w:val="left"/>
            </w:pPr>
            <w:r>
              <w:t xml:space="preserve">No</w:t>
            </w:r>
          </w:p>
        </w:tc>
        <w:tc>
          <w:tcPr/>
          <w:p>
            <w:pPr>
              <w:pStyle w:val="Compact"/>
              <w:jc w:val="left"/>
            </w:pPr>
            <w:r>
              <w:t xml:space="preserve">EV/ventas +18 % desde el mínimo del 15-sep (en EV/EBITDA, +19 %)</w:t>
            </w:r>
          </w:p>
        </w:tc>
        <w:tc>
          <w:tcPr/>
          <w:p>
            <w:pPr>
              <w:pStyle w:val="Compact"/>
              <w:jc w:val="left"/>
            </w:pPr>
            <w:r>
              <w:t xml:space="preserve">[7][8]</w:t>
            </w:r>
          </w:p>
        </w:tc>
      </w:tr>
      <w:tr>
        <w:tc>
          <w:tcPr/>
          <w:p>
            <w:pPr>
              <w:pStyle w:val="Compact"/>
              <w:jc w:val="left"/>
            </w:pPr>
            <w:r>
              <w:t xml:space="preserve">5. Inflexión operativa</w:t>
            </w:r>
          </w:p>
        </w:tc>
        <w:tc>
          <w:tcPr/>
          <w:p>
            <w:pPr>
              <w:pStyle w:val="Compact"/>
              <w:jc w:val="left"/>
            </w:pPr>
            <w:r>
              <w:t xml:space="preserve">No</w:t>
            </w:r>
          </w:p>
        </w:tc>
        <w:tc>
          <w:tcPr/>
          <w:p>
            <w:pPr>
              <w:pStyle w:val="Compact"/>
              <w:jc w:val="left"/>
            </w:pPr>
            <w:r>
              <w:t xml:space="preserve">El margen EBIT de 12 meses mejora 3,6 puntos, menos de 5. La gran mejora ya pasó (2021-2025)</w:t>
            </w:r>
          </w:p>
        </w:tc>
        <w:tc>
          <w:tcPr/>
          <w:p>
            <w:pPr>
              <w:pStyle w:val="Compact"/>
              <w:jc w:val="left"/>
            </w:pPr>
            <w:r>
              <w:t xml:space="preserve">[1][6]</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Caída del 29 % de junio a septiembre. Giro en prensa solo desde el 8-oct y foros con poca conversación</w:t>
            </w:r>
          </w:p>
        </w:tc>
        <w:tc>
          <w:tcPr/>
          <w:p>
            <w:pPr>
              <w:pStyle w:val="Compact"/>
              <w:jc w:val="left"/>
            </w:pPr>
            <w:r>
              <w:t xml:space="preserve">[10][13]</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Solo asignaciones de incentivos. La Fundación Lundbeck mantiene el 40,3 %</w:t>
            </w:r>
          </w:p>
        </w:tc>
        <w:tc>
          <w:tcPr/>
          <w:p>
            <w:pPr>
              <w:pStyle w:val="Compact"/>
              <w:jc w:val="left"/>
            </w:pPr>
            <w:r>
              <w:t xml:space="preserve">[6][14]</w:t>
            </w:r>
          </w:p>
        </w:tc>
      </w:tr>
      <w:tr>
        <w:tc>
          <w:tcPr/>
          <w:p>
            <w:pPr>
              <w:pStyle w:val="Compact"/>
              <w:jc w:val="left"/>
            </w:pPr>
            <w:r>
              <w:t xml:space="preserve">8. Catalizador nuevo en 6 meses</w:t>
            </w:r>
          </w:p>
        </w:tc>
        <w:tc>
          <w:tcPr/>
          <w:p>
            <w:pPr>
              <w:pStyle w:val="Compact"/>
              <w:jc w:val="left"/>
            </w:pPr>
            <w:r>
              <w:t xml:space="preserve">Sí</w:t>
            </w:r>
          </w:p>
        </w:tc>
        <w:tc>
          <w:tcPr/>
          <w:p>
            <w:pPr>
              <w:pStyle w:val="Compact"/>
              <w:jc w:val="left"/>
            </w:pPr>
            <w:r>
              <w:t xml:space="preserve">3T el 17-nov, fase 3 en China (4T26), inicio de la fase 3 del cacahuete y neffy para niños</w:t>
            </w:r>
          </w:p>
        </w:tc>
        <w:tc>
          <w:tcPr/>
          <w:p>
            <w:pPr>
              <w:pStyle w:val="Compact"/>
              <w:jc w:val="left"/>
            </w:pPr>
            <w:r>
              <w:t xml:space="preserve">[1]</w:t>
            </w:r>
          </w:p>
        </w:tc>
      </w:tr>
    </w:tbl>
    <w:p>
      <w:pPr>
        <w:pStyle w:val="BodyText"/>
      </w:pPr>
      <w:r>
        <w:rPr>
          <w:bCs/>
          <w:b/>
        </w:rPr>
        <w:t xml:space="preserve">Euforia: no.</w:t>
      </w:r>
      <w:r>
        <w:t xml:space="preserve"> </w:t>
      </w:r>
      <w:r>
        <w:t xml:space="preserve">Sube un 7 % en 12 meses y un 5,6 % en 6 meses.</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w:t>
      </w:r>
      <w:r>
        <w:t xml:space="preserve"> </w:t>
      </w:r>
      <w:r>
        <w:t xml:space="preserve">del 68 % en 12 meses (67 % en 2025, 61 % en 2021). Mejora por volumen, eficiencia y más comprimidos propios [1][6].</w:t>
      </w:r>
    </w:p>
    <w:p>
      <w:pPr>
        <w:numPr>
          <w:ilvl w:val="0"/>
          <w:numId w:val="1004"/>
        </w:numPr>
        <w:pStyle w:val="Compact"/>
      </w:pPr>
      <w:r>
        <w:rPr>
          <w:bCs/>
          <w:b/>
        </w:rPr>
        <w:t xml:space="preserve">Margen EBITDA</w:t>
      </w:r>
      <w:r>
        <w:t xml:space="preserve"> </w:t>
      </w:r>
      <w:r>
        <w:t xml:space="preserve">del 31,9 % en 12 meses (2.177 M). El EBITDA de los próximos 12 meses de consenso es de 2.377 M, un 30,7 % de las ventas [7].</w:t>
      </w:r>
    </w:p>
    <w:p>
      <w:pPr>
        <w:numPr>
          <w:ilvl w:val="0"/>
          <w:numId w:val="1004"/>
        </w:numPr>
        <w:pStyle w:val="Compact"/>
      </w:pPr>
      <w:r>
        <w:rPr>
          <w:bCs/>
          <w:b/>
        </w:rPr>
        <w:t xml:space="preserve">Flujo de caja libre</w:t>
      </w:r>
      <w:r>
        <w:t xml:space="preserve"> </w:t>
      </w:r>
      <w:r>
        <w:t xml:space="preserve">de 1.775 M en 12 meses. Sin el cobro único de 244 M de GenSci son 1.531 M, un 22,4 % de las ventas. Para 2026 guía algo más de 1.000 M por la inversión de ~400 M en capacidad [1][6].</w:t>
      </w:r>
    </w:p>
    <w:p>
      <w:pPr>
        <w:numPr>
          <w:ilvl w:val="0"/>
          <w:numId w:val="1004"/>
        </w:numPr>
        <w:pStyle w:val="Compact"/>
      </w:pPr>
      <w:r>
        <w:rPr>
          <w:bCs/>
          <w:b/>
        </w:rPr>
        <w:t xml:space="preserve">Regla del 40</w:t>
      </w:r>
      <w:r>
        <w:t xml:space="preserve">: 16,5 + 22,4 = 38,9. Buena para una farmacéutica rentable, pero no llega a 40.</w:t>
      </w:r>
    </w:p>
    <w:p>
      <w:pPr>
        <w:numPr>
          <w:ilvl w:val="0"/>
          <w:numId w:val="1004"/>
        </w:numPr>
        <w:pStyle w:val="Compact"/>
      </w:pPr>
      <w:r>
        <w:rPr>
          <w:bCs/>
          <w:b/>
        </w:rPr>
        <w:t xml:space="preserve">Apalancamiento operativo</w:t>
      </w:r>
      <w:r>
        <w:t xml:space="preserve">: los costes de capacidad crecen un 22 % por neffy, los lanzamientos infantiles y la I+D del cacahuete. La empresa reinvierte la escala, y por eso el margen del 2T26 se queda en el 25 %.</w:t>
      </w:r>
    </w:p>
    <w:bookmarkEnd w:id="25"/>
    <w:bookmarkStart w:id="26" w:name="caja-deuda-y-dilución"/>
    <w:p>
      <w:pPr>
        <w:pStyle w:val="Heading2"/>
      </w:pPr>
      <w:r>
        <w:t xml:space="preserve">7. Caja, deuda y dilución</w:t>
      </w:r>
    </w:p>
    <w:p>
      <w:pPr>
        <w:numPr>
          <w:ilvl w:val="0"/>
          <w:numId w:val="1005"/>
        </w:numPr>
        <w:pStyle w:val="Compact"/>
      </w:pPr>
      <w:r>
        <w:t xml:space="preserve">Caja de 1.736 M frente a 422 M de deuda (hipotecas y arrendamientos): caja neta de 1.314 M, deuda neta / EBITDA de −0,6 [1].</w:t>
      </w:r>
    </w:p>
    <w:p>
      <w:pPr>
        <w:numPr>
          <w:ilvl w:val="0"/>
          <w:numId w:val="1005"/>
        </w:numPr>
        <w:pStyle w:val="Compact"/>
      </w:pPr>
      <w:r>
        <w:t xml:space="preserve">No necesita financiarse. Pagó 355 M de dividendo en 2026 (30 % del beneficio) y su orden de uso de la caja es crecimiento, compras y licencias, y después dividendos y recompras [6].</w:t>
      </w:r>
    </w:p>
    <w:p>
      <w:pPr>
        <w:numPr>
          <w:ilvl w:val="0"/>
          <w:numId w:val="1005"/>
        </w:numPr>
        <w:pStyle w:val="Compact"/>
      </w:pPr>
      <w:r>
        <w:rPr>
          <w:bCs/>
          <w:b/>
        </w:rPr>
        <w:t xml:space="preserve">Dilución prácticamente nula</w:t>
      </w:r>
      <w:r>
        <w:t xml:space="preserve">: 222,8 M de acciones desde hace años. Los pagos en acciones son 45 M, el 0,7 % de las ventas [6].</w:t>
      </w:r>
    </w:p>
    <w:bookmarkEnd w:id="26"/>
    <w:bookmarkStart w:id="27" w:name="dirección-y-ejecución"/>
    <w:p>
      <w:pPr>
        <w:pStyle w:val="Heading2"/>
      </w:pPr>
      <w:r>
        <w:t xml:space="preserve">8. Dirección y ejecución</w:t>
      </w:r>
    </w:p>
    <w:p>
      <w:pPr>
        <w:numPr>
          <w:ilvl w:val="0"/>
          <w:numId w:val="1006"/>
        </w:numPr>
        <w:pStyle w:val="Compact"/>
      </w:pPr>
      <w:r>
        <w:t xml:space="preserve">El consejero delegado es Peter Halling y el director financiero, Claus Steensen Sølje. La accionista de control es la Fundación Lundbeck, con el 40,3 % del capital y el 67,2 % de los votos: es estable y de largo plazo, pero la OPA es casi imposible sin ella [6].</w:t>
      </w:r>
    </w:p>
    <w:p>
      <w:pPr>
        <w:numPr>
          <w:ilvl w:val="0"/>
          <w:numId w:val="1006"/>
        </w:numPr>
        <w:pStyle w:val="Compact"/>
      </w:pPr>
      <w:r>
        <w:rPr>
          <w:bCs/>
          <w:b/>
        </w:rPr>
        <w:t xml:space="preserve">Historial: 5 de 5.</w:t>
      </w:r>
      <w:r>
        <w:t xml:space="preserve"> </w:t>
      </w:r>
      <w:r>
        <w:t xml:space="preserve">Cumplió el objetivo «25 en 25» (margen EBIT del 25 % en 2025, partiendo del 4 % en 2020), batió la guía de 2025 en 4 puntos y ha subido la de 2026 tres veces [4][5][6].</w:t>
      </w:r>
    </w:p>
    <w:p>
      <w:pPr>
        <w:numPr>
          <w:ilvl w:val="0"/>
          <w:numId w:val="1006"/>
        </w:numPr>
        <w:pStyle w:val="Compact"/>
      </w:pPr>
      <w:r>
        <w:rPr>
          <w:bCs/>
          <w:b/>
        </w:rPr>
        <w:t xml:space="preserve">Dirección: 4 de 5.</w:t>
      </w:r>
      <w:r>
        <w:t xml:space="preserve"> </w:t>
      </w:r>
      <w:r>
        <w:t xml:space="preserve">Asignación de capital prudente (caja neta, dividendo, licencias pequeñas como neffy). Los directivos no han comprado acciones en mercado.</w:t>
      </w:r>
    </w:p>
    <w:bookmarkEnd w:id="27"/>
    <w:bookmarkStart w:id="28" w:name="valoración"/>
    <w:p>
      <w:pPr>
        <w:pStyle w:val="Heading2"/>
      </w:pPr>
      <w:r>
        <w:t xml:space="preserve">9. Valoración</w:t>
      </w:r>
    </w:p>
    <w:p>
      <w:pPr>
        <w:pStyle w:val="FirstParagraph"/>
      </w:pPr>
      <w:r>
        <w:rPr>
          <w:bCs/>
          <w:b/>
        </w:rPr>
        <w:t xml:space="preserve">Por qué EV/EBITDA:</w:t>
      </w:r>
      <w:r>
        <w:t xml:space="preserve"> </w:t>
      </w:r>
      <w:r>
        <w:t xml:space="preserve">ALK es rentable de forma estable, con margen EBIT por encima del 20 % desde 2024 y flujo de caja positivo. El múltiplo de ventas pasaría por alto que su margen ya está en la meseta que la empresa se ha fijado. El motor proyecta ventas, les aplica el margen EBITDA de hoy (30,7 %) y valora ese EBITDA.</w:t>
      </w:r>
    </w:p>
    <w:p>
      <w:pPr>
        <w:numPr>
          <w:ilvl w:val="0"/>
          <w:numId w:val="1007"/>
        </w:numPr>
        <w:pStyle w:val="Compact"/>
      </w:pPr>
      <w:r>
        <w:t xml:space="preserve">Valor de empresa: 227,20 × 222,2 M acciones + 422 − 1.736 = 49.170 M DKK.</w:t>
      </w:r>
      <w:r>
        <w:t xml:space="preserve"> </w:t>
      </w:r>
      <w:r>
        <w:rPr>
          <w:bCs/>
          <w:b/>
        </w:rPr>
        <w:t xml:space="preserve">EV/EBITDA de los 12 meses siguientes: 20,7x</w:t>
      </w:r>
      <w:r>
        <w:t xml:space="preserve">, igual que su mediana de 3 años (20,0x; mínimo 15,5x). Es mucho más que los comparables, con mediana de 12,4x (Galderma 22,9x, Straumann 15,7x, Coloplast 13,3x, Rovi 12,4x, UCB 11,8x, Recordati 11,5x, Ipsen 5,9x) [9]. EV/beneficio bruto: 9,3x, muy por debajo del tope de 35.</w:t>
      </w:r>
    </w:p>
    <w:p>
      <w:pPr>
        <w:numPr>
          <w:ilvl w:val="0"/>
          <w:numId w:val="1007"/>
        </w:numPr>
        <w:pStyle w:val="Compact"/>
      </w:pPr>
      <w:r>
        <w:rPr>
          <w:bCs/>
          <w:b/>
        </w:rPr>
        <w:t xml:space="preserve">Ventas del ejercicio objetivo (12 meses a junio de 2028).</w:t>
      </w:r>
      <w:r>
        <w:t xml:space="preserve"> </w:t>
      </w:r>
      <w:r>
        <w:t xml:space="preserve">El consenso es de 8.735 M. Las del informe son 8.050 M en el bajista (crecer un 8,6 % al año, con el golpe alemán y neffy lento), 8.700 M en el base (cerca del consenso) y 9.250 M en el alcista (China y niños por encima). La proyección mecánica da 7.879, 9.003 y 9.473 M. La v11 toma la menor en cada escenario.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(M DKK)</w:t>
            </w:r>
          </w:p>
        </w:tc>
        <w:tc>
          <w:tcPr/>
          <w:p>
            <w:pPr>
              <w:pStyle w:val="Compact"/>
              <w:jc w:val="left"/>
            </w:pPr>
            <w:r>
              <w:t xml:space="preserve">Múltiplo EV/EBITDA</w:t>
            </w:r>
          </w:p>
        </w:tc>
        <w:tc>
          <w:tcPr/>
          <w:p>
            <w:pPr>
              <w:pStyle w:val="Compact"/>
              <w:jc w:val="left"/>
            </w:pPr>
            <w:r>
              <w:t xml:space="preserve">Precio (DKK)</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7.879</w:t>
            </w:r>
          </w:p>
        </w:tc>
        <w:tc>
          <w:tcPr/>
          <w:p>
            <w:pPr>
              <w:pStyle w:val="Compact"/>
              <w:jc w:val="left"/>
            </w:pPr>
            <w:r>
              <w:t xml:space="preserve">11,9x</w:t>
            </w:r>
          </w:p>
        </w:tc>
        <w:tc>
          <w:tcPr/>
          <w:p>
            <w:pPr>
              <w:pStyle w:val="Compact"/>
              <w:jc w:val="left"/>
            </w:pPr>
            <w:r>
              <w:t xml:space="preserve">135,6</w:t>
            </w:r>
          </w:p>
        </w:tc>
        <w:tc>
          <w:tcPr/>
          <w:p>
            <w:pPr>
              <w:pStyle w:val="Compact"/>
              <w:jc w:val="left"/>
            </w:pPr>
            <w:r>
              <w:t xml:space="preserve">−39,6 %</w:t>
            </w:r>
          </w:p>
        </w:tc>
      </w:tr>
      <w:tr>
        <w:tc>
          <w:tcPr/>
          <w:p>
            <w:pPr>
              <w:pStyle w:val="Compact"/>
              <w:jc w:val="left"/>
            </w:pPr>
            <w:r>
              <w:t xml:space="preserve">Base (50 %)</w:t>
            </w:r>
          </w:p>
        </w:tc>
        <w:tc>
          <w:tcPr/>
          <w:p>
            <w:pPr>
              <w:pStyle w:val="Compact"/>
              <w:jc w:val="left"/>
            </w:pPr>
            <w:r>
              <w:t xml:space="preserve">8.700</w:t>
            </w:r>
          </w:p>
        </w:tc>
        <w:tc>
          <w:tcPr/>
          <w:p>
            <w:pPr>
              <w:pStyle w:val="Compact"/>
              <w:jc w:val="left"/>
            </w:pPr>
            <w:r>
              <w:t xml:space="preserve">19,9x</w:t>
            </w:r>
          </w:p>
        </w:tc>
        <w:tc>
          <w:tcPr/>
          <w:p>
            <w:pPr>
              <w:pStyle w:val="Compact"/>
              <w:jc w:val="left"/>
            </w:pPr>
            <w:r>
              <w:t xml:space="preserve">244,6</w:t>
            </w:r>
          </w:p>
        </w:tc>
        <w:tc>
          <w:tcPr/>
          <w:p>
            <w:pPr>
              <w:pStyle w:val="Compact"/>
              <w:jc w:val="left"/>
            </w:pPr>
            <w:r>
              <w:t xml:space="preserve">+8,3 %</w:t>
            </w:r>
          </w:p>
        </w:tc>
      </w:tr>
      <w:tr>
        <w:tc>
          <w:tcPr/>
          <w:p>
            <w:pPr>
              <w:pStyle w:val="Compact"/>
              <w:jc w:val="left"/>
            </w:pPr>
            <w:r>
              <w:t xml:space="preserve">Alcista (25 %)</w:t>
            </w:r>
          </w:p>
        </w:tc>
        <w:tc>
          <w:tcPr/>
          <w:p>
            <w:pPr>
              <w:pStyle w:val="Compact"/>
              <w:jc w:val="left"/>
            </w:pPr>
            <w:r>
              <w:t xml:space="preserve">9.250</w:t>
            </w:r>
          </w:p>
        </w:tc>
        <w:tc>
          <w:tcPr/>
          <w:p>
            <w:pPr>
              <w:pStyle w:val="Compact"/>
              <w:jc w:val="left"/>
            </w:pPr>
            <w:r>
              <w:t xml:space="preserve">25,9x</w:t>
            </w:r>
          </w:p>
        </w:tc>
        <w:tc>
          <w:tcPr/>
          <w:p>
            <w:pPr>
              <w:pStyle w:val="Compact"/>
              <w:jc w:val="left"/>
            </w:pPr>
            <w:r>
              <w:t xml:space="preserve">335,8</w:t>
            </w:r>
          </w:p>
        </w:tc>
        <w:tc>
          <w:tcPr/>
          <w:p>
            <w:pPr>
              <w:pStyle w:val="Compact"/>
              <w:jc w:val="left"/>
            </w:pPr>
            <w:r>
              <w:t xml:space="preserve">+48,5 %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240,2</w:t>
            </w:r>
          </w:p>
        </w:tc>
        <w:tc>
          <w:tcPr/>
          <w:p>
            <w:pPr>
              <w:pStyle w:val="Compact"/>
              <w:jc w:val="left"/>
            </w:pPr>
            <w:r>
              <w:rPr>
                <w:bCs/>
                <w:b/>
              </w:rPr>
              <w:t xml:space="preserve">+6,4 %</w:t>
            </w:r>
          </w:p>
        </w:tc>
      </w:tr>
    </w:tbl>
    <w:p>
      <w:pPr>
        <w:numPr>
          <w:ilvl w:val="0"/>
          <w:numId w:val="1008"/>
        </w:numPr>
        <w:pStyle w:val="Compact"/>
      </w:pPr>
      <w:r>
        <w:t xml:space="preserve">La v9 (referencia) usa las ventas mecánicas sin el tope del analista: base 9.003 M, ponderada +9,1 % y base +12,0 %.</w:t>
      </w:r>
    </w:p>
    <w:p>
      <w:pPr>
        <w:numPr>
          <w:ilvl w:val="0"/>
          <w:numId w:val="1008"/>
        </w:numPr>
        <w:pStyle w:val="Compact"/>
      </w:pPr>
      <w:r>
        <w:rPr>
          <w:bCs/>
          <w:b/>
        </w:rPr>
        <w:t xml:space="preserve">Consenso</w:t>
      </w:r>
      <w:r>
        <w:t xml:space="preserve">: precio objetivo medio de 291 DKK (5 analistas, todos Comprar o equivalente) [7][11]. Es un 21 % más que nuestro objetivo, porque supone que el múltiplo se mantiene y el margen sube.</w:t>
      </w:r>
    </w:p>
    <w:p>
      <w:pPr>
        <w:numPr>
          <w:ilvl w:val="0"/>
          <w:numId w:val="1008"/>
        </w:numPr>
        <w:pStyle w:val="Compact"/>
      </w:pPr>
      <w:r>
        <w:rPr>
          <w:bCs/>
          <w:b/>
        </w:rPr>
        <w:t xml:space="preserve">DCF inverso</w:t>
      </w:r>
      <w:r>
        <w:t xml:space="preserve">: con un flujo de caja libre de partida de 1.250 M, un coste de capital del 8 % y un 2,5 % de crecimiento final, el precio descuenta que el flujo de caja crezca un 12 % al año durante 10 años. Es exigente pero coherente con su historia (15 % al año en 2023-2025).</w:t>
      </w:r>
    </w:p>
    <w:p>
      <w:pPr>
        <w:numPr>
          <w:ilvl w:val="0"/>
          <w:numId w:val="1008"/>
        </w:numPr>
        <w:pStyle w:val="Compact"/>
      </w:pPr>
      <w:r>
        <w:rPr>
          <w:bCs/>
          <w:b/>
        </w:rPr>
        <w:t xml:space="preserve">Por qué no es Comprar</w:t>
      </w:r>
      <w:r>
        <w:t xml:space="preserve">: la valoración sí pasa los filtros (ponderada ≥ 5 %, base ≥ 0, bajista mejor que −50 %, EV/beneficio bruto 9,3x). Lo que falla es la puntuación: 58,3, cuando hace falta 60.</w:t>
      </w:r>
    </w:p>
    <w:bookmarkEnd w:id="28"/>
    <w:bookmarkStart w:id="29" w:name="foros-y-sentimiento"/>
    <w:p>
      <w:pPr>
        <w:pStyle w:val="Heading2"/>
      </w:pPr>
      <w:r>
        <w:t xml:space="preserve">10. Foros y sentimiento</w:t>
      </w:r>
    </w:p>
    <w:p>
      <w:pPr>
        <w:numPr>
          <w:ilvl w:val="0"/>
          <w:numId w:val="1009"/>
        </w:numPr>
        <w:pStyle w:val="Compact"/>
      </w:pPr>
      <w:r>
        <w:rPr>
          <w:bCs/>
          <w:b/>
        </w:rPr>
        <w:t xml:space="preserve">Analistas</w:t>
      </w:r>
      <w:r>
        <w:t xml:space="preserve">: todos en Comprar o equivalente (Saxo: 6 Comprar y 1 Mantener). Nordea subió a Comprar el 8-oct con objetivo 280 DKK, pensando en que vuelva a crecer con fuerza desde 2028 y reparta mucha caja [10][11].</w:t>
      </w:r>
    </w:p>
    <w:p>
      <w:pPr>
        <w:numPr>
          <w:ilvl w:val="0"/>
          <w:numId w:val="1009"/>
        </w:numPr>
        <w:pStyle w:val="Compact"/>
      </w:pPr>
      <w:r>
        <w:rPr>
          <w:bCs/>
          <w:b/>
        </w:rPr>
        <w:t xml:space="preserve">Prensa</w:t>
      </w:r>
      <w:r>
        <w:t xml:space="preserve">: la acción cayó un 6 % el día del 2T26 (20-ago) por el gasto comercial y por no subir la parte alta de la guía. Del máximo de junio (270,40) al mínimo de septiembre (192,30) perdió un 29 %. Con la subida de guía del 8-oct recuperó un 5 % [3][8][10].</w:t>
      </w:r>
    </w:p>
    <w:p>
      <w:pPr>
        <w:numPr>
          <w:ilvl w:val="0"/>
          <w:numId w:val="1009"/>
        </w:numPr>
        <w:pStyle w:val="Compact"/>
      </w:pPr>
      <w:r>
        <w:rPr>
          <w:bCs/>
          <w:b/>
        </w:rPr>
        <w:t xml:space="preserve">Foros</w:t>
      </w:r>
      <w:r>
        <w:t xml:space="preserve">: poca conversación. En getquin la llaman «priced for perfection» y advierten de que depende de pocas terapias. No hay hilos relevantes en Reddit, Rankia ni Investing.com ES [13]. No hay euforia: es una farmacéutica de Copenhague poco seguida fuera de Escandinavia.</w:t>
      </w:r>
    </w:p>
    <w:p>
      <w:pPr>
        <w:numPr>
          <w:ilvl w:val="0"/>
          <w:numId w:val="1009"/>
        </w:numPr>
        <w:pStyle w:val="Compact"/>
      </w:pPr>
      <w:r>
        <w:rPr>
          <w:bCs/>
          <w:b/>
        </w:rPr>
        <w:t xml:space="preserve">Contraste con los datos</w:t>
      </w:r>
      <w:r>
        <w:t xml:space="preserve">: el negocio va mejor que el sentimiento (guía subida tres veces), pero el mercado descuenta ya un 2027 flojo.</w:t>
      </w:r>
    </w:p>
    <w:bookmarkEnd w:id="29"/>
    <w:bookmarkStart w:id="30" w:name="riesgos-y-qué-rompería-la-tesis"/>
    <w:p>
      <w:pPr>
        <w:pStyle w:val="Heading2"/>
      </w:pPr>
      <w:r>
        <w:t xml:space="preserve">11. Riesgos y qué rompería la tesis</w:t>
      </w:r>
    </w:p>
    <w:p>
      <w:pPr>
        <w:pStyle w:val="FirstParagraph"/>
      </w:pPr>
      <w:r>
        <w:rPr>
          <w:bCs/>
          <w:b/>
        </w:rPr>
        <w:t xml:space="preserve">Riesgos principales</w:t>
      </w:r>
      <w:r>
        <w:t xml:space="preserve"> </w:t>
      </w:r>
      <w:r>
        <w:t xml:space="preserve">-</w:t>
      </w:r>
      <w:r>
        <w:t xml:space="preserve"> </w:t>
      </w:r>
      <w:r>
        <w:rPr>
          <w:bCs/>
          <w:b/>
        </w:rPr>
        <w:t xml:space="preserve">Alemania</w:t>
      </w:r>
      <w:r>
        <w:t xml:space="preserve">: es el 25 % de las ventas, y el descuento obligatorio pasa del 7 % al 15,5 % el 1-ene-2027. Sin exenciones, son unos 2 puntos menos de crecimiento del grupo en 2027. Las mitigaciones (exenciones por ensayos en Alemania, negociación con aseguradoras) siguen abiertas [1][3].</w:t>
      </w:r>
      <w:r>
        <w:t xml:space="preserve"> </w:t>
      </w:r>
      <w:r>
        <w:t xml:space="preserve">-</w:t>
      </w:r>
      <w:r>
        <w:t xml:space="preserve"> </w:t>
      </w:r>
      <w:r>
        <w:rPr>
          <w:bCs/>
          <w:b/>
        </w:rPr>
        <w:t xml:space="preserve">Reinversión</w:t>
      </w:r>
      <w:r>
        <w:t xml:space="preserve">: la empresa dice que reinvertirá lo que pase del 25 % de margen EBIT. Si lo cumple, el EBITDA crece menos que las ventas. El motor ya aplica el margen de hoy, y el objetivo de la empresa (~30 % de EBITDA) es algo menor.</w:t>
      </w:r>
      <w:r>
        <w:t xml:space="preserve"> </w:t>
      </w:r>
      <w:r>
        <w:t xml:space="preserve">-</w:t>
      </w:r>
      <w:r>
        <w:t xml:space="preserve"> </w:t>
      </w:r>
      <w:r>
        <w:rPr>
          <w:bCs/>
          <w:b/>
        </w:rPr>
        <w:t xml:space="preserve">Concentración</w:t>
      </w:r>
      <w:r>
        <w:t xml:space="preserve">: los comprimidos son el 56 % de las ventas, aunque repartidos en cinco moléculas. Japón y China dependen de socios (Shionogi, GenSci) y sus envíos van a saltos.</w:t>
      </w:r>
      <w:r>
        <w:t xml:space="preserve"> </w:t>
      </w:r>
      <w:r>
        <w:t xml:space="preserve">-</w:t>
      </w:r>
      <w:r>
        <w:t xml:space="preserve"> </w:t>
      </w:r>
      <w:r>
        <w:rPr>
          <w:bCs/>
          <w:b/>
        </w:rPr>
        <w:t xml:space="preserve">neffy</w:t>
      </w:r>
      <w:r>
        <w:t xml:space="preserve"> </w:t>
      </w:r>
      <w:r>
        <w:t xml:space="preserve">va despacio: la contribución aún es modesta y el reembolso, lento (Reino Unido más allá de 2026) [1].</w:t>
      </w:r>
      <w:r>
        <w:t xml:space="preserve"> </w:t>
      </w:r>
      <w:r>
        <w:t xml:space="preserve">-</w:t>
      </w:r>
      <w:r>
        <w:t xml:space="preserve"> </w:t>
      </w:r>
      <w:r>
        <w:rPr>
          <w:bCs/>
          <w:b/>
        </w:rPr>
        <w:t xml:space="preserve">Cacahuete y alergia alimentaria</w:t>
      </w:r>
      <w:r>
        <w:t xml:space="preserve">: la fase 3 puede fallar o retrasarse, y Xolair ya está aprobado para alergia alimentaria.</w:t>
      </w:r>
      <w:r>
        <w:t xml:space="preserve"> </w:t>
      </w:r>
      <w:r>
        <w:t xml:space="preserve">-</w:t>
      </w:r>
      <w:r>
        <w:t xml:space="preserve"> </w:t>
      </w:r>
      <w:r>
        <w:rPr>
          <w:bCs/>
          <w:b/>
        </w:rPr>
        <w:t xml:space="preserve">Múltiplo</w:t>
      </w:r>
      <w:r>
        <w:t xml:space="preserve">: 20,7x de EBITDA frente a 12,4x de los comparables. En el bajista (11,9x) la acción perdería un 40 %.</w:t>
      </w:r>
      <w:r>
        <w:t xml:space="preserve"> </w:t>
      </w:r>
      <w:r>
        <w:t xml:space="preserve">-</w:t>
      </w:r>
      <w:r>
        <w:t xml:space="preserve"> </w:t>
      </w:r>
      <w:r>
        <w:rPr>
          <w:bCs/>
          <w:b/>
        </w:rPr>
        <w:t xml:space="preserve">Riesgo de IA: bajo</w:t>
      </w:r>
      <w:r>
        <w:t xml:space="preserve">, por tres razones. (1) Vende un medicamento biológico físico, registrado y fabricado con extractos de alérgenos: la IA no lo sustituye. (2) La barrera es regulatoria y clínica (fase 3, reembolso, años de seguimiento), no de software. (3) La IA puede ayudar a diagnosticar más alergias y a que la competencia descubra fármacos antes (anticuerpos contra la IgE), pero eso tarda años y ALK también la usa (proyectos de IA abiertos en 2026) [6].</w:t>
      </w:r>
    </w:p>
    <w:p>
      <w:pPr>
        <w:pStyle w:val="BodyText"/>
      </w:pPr>
      <w:r>
        <w:rPr>
          <w:bCs/>
          <w:b/>
        </w:rPr>
        <w:t xml:space="preserve">Alertas de robustez (</w:t>
      </w:r>
      <w:r>
        <w:rPr>
          <w:rStyle w:val="VerbatimChar"/>
          <w:bCs/>
          <w:b/>
        </w:rPr>
        <w:t xml:space="preserve">calc.alertas</w:t>
      </w:r>
      <w:r>
        <w:rPr>
          <w:bCs/>
          <w:b/>
        </w:rPr>
        <w:t xml:space="preserve">)</w:t>
      </w:r>
      <w:r>
        <w:t xml:space="preserve">: la v11 no da ninguna. No hay proyección mecánica muy por encima de la del analista (base 9.003 frente a 8.700, 1,03 veces). El múltiplo no dobla su mediana. Hay guía anual y el exceso es de 4 puntos. Los pagos en acciones son el 0,7 % de las ventas. Las ventas del analista están en la misma unidad. No hay concentración de clientes conocida. Ninguna debilita la señal.</w:t>
      </w:r>
    </w:p>
    <w:p>
      <w:pPr>
        <w:pStyle w:val="BodyText"/>
      </w:pPr>
      <w:r>
        <w:rPr>
          <w:bCs/>
          <w:b/>
        </w:rPr>
        <w:t xml:space="preserve">Prueba de robustez</w:t>
      </w:r>
      <w:r>
        <w:t xml:space="preserve"> </w:t>
      </w:r>
      <w:r>
        <w:t xml:space="preserve">(</w:t>
      </w:r>
      <w:r>
        <w:rPr>
          <w:rStyle w:val="VerbatimChar"/>
        </w:rPr>
        <w:t xml:space="preserve">herramientas/robustez-growth.mjs --precios</w:t>
      </w:r>
      <w:r>
        <w:t xml:space="preserve">): veredicto</w:t>
      </w:r>
      <w:r>
        <w:t xml:space="preserve"> </w:t>
      </w:r>
      <w:r>
        <w:rPr>
          <w:bCs/>
          <w:b/>
        </w:rPr>
        <w:t xml:space="preserve">SÓLIDA, señal robusta Mantener</w:t>
      </w:r>
      <w:r>
        <w:t xml:space="preserve">. Todas las variantes dan Mantener: v7 (+9,1 %), ventas del analista (+6,7 %), probabilidades 25/50/25 (+6,4 %) y 35/50/15 (−2,4 %). Su único aviso (G2) dice que el objetivo se mueve con el precio, como en todas las valoradas por EBITDA. Por eso, al revisar el precio se deja fijo el objetivo de 240,2 DKK y el límite es el del informe, 230,2 DKK.</w:t>
      </w:r>
    </w:p>
    <w:p>
      <w:pPr>
        <w:pStyle w:val="BodyText"/>
      </w:pPr>
      <w:r>
        <w:rPr>
          <w:bCs/>
          <w:b/>
        </w:rPr>
        <w:t xml:space="preserve">Fragilidad propia (no la mide la prueba)</w:t>
      </w:r>
      <w:r>
        <w:t xml:space="preserve">: la señal está en la frontera de la puntuación. Con el crecimiento en moneda local (17,8 % a 12 meses y ~16 % a dos años, en vez de 16,5 % y 14,8 % en coronas) la puntuación sube a 61 y sale Comprar (baja). Con la señal de revisiones en «sí», también (60,8). Si se pierde la de fuerza relativa, que gana por 0,1 puntos, baja a 55,8. Se deja Mantener porque las cuentas se publican en coronas y así se ha medido al resto.</w:t>
      </w:r>
    </w:p>
    <w:p>
      <w:pPr>
        <w:pStyle w:val="BodyText"/>
      </w:pPr>
      <w:r>
        <w:rPr>
          <w:bCs/>
          <w:b/>
        </w:rPr>
        <w:t xml:space="preserve">Señales de venta concretas</w:t>
      </w:r>
      <w:r>
        <w:t xml:space="preserve">: dos trimestres seguidos con los comprimidos por debajo del 10 %; un recorte de la guía; que la fase 3 de China falle y aparezca otro competidor en Alemania; o que el margen EBIT baje del 22 % sin una inversión que lo explique.</w:t>
      </w:r>
    </w:p>
    <w:bookmarkEnd w:id="30"/>
    <w:bookmarkStart w:id="31" w:name="catalizadores-con-fecha"/>
    <w:p>
      <w:pPr>
        <w:pStyle w:val="Heading2"/>
      </w:pPr>
      <w:r>
        <w:t xml:space="preserve">12. Catalizadores con fecha</w:t>
      </w:r>
    </w:p>
    <w:p>
      <w:pPr>
        <w:numPr>
          <w:ilvl w:val="0"/>
          <w:numId w:val="1010"/>
        </w:numPr>
        <w:pStyle w:val="Compact"/>
      </w:pPr>
      <w:r>
        <w:rPr>
          <w:bCs/>
          <w:b/>
        </w:rPr>
        <w:t xml:space="preserve">17-nov-2026</w:t>
      </w:r>
      <w:r>
        <w:t xml:space="preserve">: resultados del 3T26 (periodo de silencio desde el 20-oct). Confirmarán el +16-17 %.</w:t>
      </w:r>
    </w:p>
    <w:p>
      <w:pPr>
        <w:numPr>
          <w:ilvl w:val="0"/>
          <w:numId w:val="1010"/>
        </w:numPr>
        <w:pStyle w:val="Compact"/>
      </w:pPr>
      <w:r>
        <w:rPr>
          <w:bCs/>
          <w:b/>
        </w:rPr>
        <w:t xml:space="preserve">4T26</w:t>
      </w:r>
      <w:r>
        <w:t xml:space="preserve">: resultados de la fase 3 del ACARIZAX en China (registro en 2027, posible lanzamiento en 2028 con GenSci).</w:t>
      </w:r>
    </w:p>
    <w:p>
      <w:pPr>
        <w:numPr>
          <w:ilvl w:val="0"/>
          <w:numId w:val="1010"/>
        </w:numPr>
        <w:pStyle w:val="Compact"/>
      </w:pPr>
      <w:r>
        <w:rPr>
          <w:bCs/>
          <w:b/>
        </w:rPr>
        <w:t xml:space="preserve">Finales de 2026</w:t>
      </w:r>
      <w:r>
        <w:t xml:space="preserve">: inicio de la fase 3 del comprimido de cacahuete, cuando se cierre el diseño con la FDA y la EMA.</w:t>
      </w:r>
    </w:p>
    <w:p>
      <w:pPr>
        <w:numPr>
          <w:ilvl w:val="0"/>
          <w:numId w:val="1010"/>
        </w:numPr>
        <w:pStyle w:val="Compact"/>
      </w:pPr>
      <w:r>
        <w:rPr>
          <w:bCs/>
          <w:b/>
        </w:rPr>
        <w:t xml:space="preserve">2026-2027</w:t>
      </w:r>
      <w:r>
        <w:t xml:space="preserve">: lanzamientos de neffy 1 mg para niños. Datos de la fase 2b de neffy en urticaria en el 1T27.</w:t>
      </w:r>
    </w:p>
    <w:p>
      <w:pPr>
        <w:numPr>
          <w:ilvl w:val="0"/>
          <w:numId w:val="1010"/>
        </w:numPr>
        <w:pStyle w:val="Compact"/>
      </w:pPr>
      <w:r>
        <w:rPr>
          <w:bCs/>
          <w:b/>
        </w:rPr>
        <w:t xml:space="preserve">1-ene-2027</w:t>
      </w:r>
      <w:r>
        <w:t xml:space="preserve">: entra en vigor el descuento alemán del 15,5 %. Guía de 2027 con las cuentas anuales (febrero de 2027).</w:t>
      </w:r>
    </w:p>
    <w:p>
      <w:pPr>
        <w:numPr>
          <w:ilvl w:val="0"/>
          <w:numId w:val="1010"/>
        </w:numPr>
        <w:pStyle w:val="Compact"/>
      </w:pPr>
      <w:r>
        <w:rPr>
          <w:bCs/>
          <w:b/>
        </w:rPr>
        <w:t xml:space="preserve">2027</w:t>
      </w:r>
      <w:r>
        <w:t xml:space="preserve">: fin de la fase 3 de GRAZAX en Japón.</w:t>
      </w:r>
    </w:p>
    <w:bookmarkEnd w:id="31"/>
    <w:bookmarkStart w:id="32" w:name="encaje-en-cartera"/>
    <w:p>
      <w:pPr>
        <w:pStyle w:val="Heading2"/>
      </w:pPr>
      <w:r>
        <w:t xml:space="preserve">13. Encaje en cartera</w:t>
      </w:r>
    </w:p>
    <w:p>
      <w:pPr>
        <w:numPr>
          <w:ilvl w:val="0"/>
          <w:numId w:val="1011"/>
        </w:numPr>
        <w:pStyle w:val="Compact"/>
      </w:pPr>
      <w:r>
        <w:rPr>
          <w:bCs/>
          <w:b/>
        </w:rPr>
        <w:t xml:space="preserve">Bolsillo growth lleno</w:t>
      </w:r>
      <w:r>
        <w:t xml:space="preserve"> </w:t>
      </w:r>
      <w:r>
        <w:t xml:space="preserve">(~20 %): Nu +19 %, Axon +36 %, Shopify +18 %, Snowflake +13 % y Samsara +15 %, al precio actual con la v11. La liquidez libre es casi nula, así que solo cabe sustituir.</w:t>
      </w:r>
    </w:p>
    <w:p>
      <w:pPr>
        <w:numPr>
          <w:ilvl w:val="0"/>
          <w:numId w:val="1011"/>
        </w:numPr>
        <w:pStyle w:val="Compact"/>
      </w:pPr>
      <w:r>
        <w:rPr>
          <w:bCs/>
          <w:b/>
        </w:rPr>
        <w:t xml:space="preserve">ALK sale Mantener</w:t>
      </w:r>
      <w:r>
        <w:t xml:space="preserve">: no sustituye a nadie y no entra en la lista de suplentes, que solo recoge señales Comprar. Aunque pasara a Comprar (baja) con los resultados del 17-nov, su rentabilidad (+6,4 %, o +6,3 % al precio actual) es menos de la mitad que la de la peor posición del bolsillo (Snowflake, +13 %). No tendría ni margen ni convicción para sustituir. Quedaría última, detrás de Natera, en la orden nueva de suplentes: MongoDB, Toast, Zscaler, dLocal, Dexcom, argenx, Datadog, Saab, Natera.</w:t>
      </w:r>
    </w:p>
    <w:p>
      <w:pPr>
        <w:numPr>
          <w:ilvl w:val="0"/>
          <w:numId w:val="1011"/>
        </w:numPr>
        <w:pStyle w:val="Compact"/>
      </w:pPr>
      <w:r>
        <w:rPr>
          <w:bCs/>
          <w:b/>
        </w:rPr>
        <w:t xml:space="preserve">Diversificación</w:t>
      </w:r>
      <w:r>
        <w:t xml:space="preserve">: aportaría salud europea defensiva y caja neta, y no depende de la IA. Alphabet se vende mañana y no cuenta como exposición a IA de la cartera, así que ALK no la compensaría ni la duplicaría. Ya hay salud growth entre los suplentes (Dexcom, argenx, Natera). Las preferencias de</w:t>
      </w:r>
      <w:r>
        <w:t xml:space="preserve"> </w:t>
      </w:r>
      <w:r>
        <w:rPr>
          <w:rStyle w:val="VerbatimChar"/>
        </w:rPr>
        <w:t xml:space="preserve">MEMORIA.md</w:t>
      </w:r>
      <w:r>
        <w:t xml:space="preserve"> </w:t>
      </w:r>
      <w:r>
        <w:t xml:space="preserve">(sin juego ni minoristas) no la excluyen.</w:t>
      </w:r>
    </w:p>
    <w:p>
      <w:pPr>
        <w:numPr>
          <w:ilvl w:val="0"/>
          <w:numId w:val="1011"/>
        </w:numPr>
        <w:pStyle w:val="Compact"/>
      </w:pPr>
      <w:r>
        <w:rPr>
          <w:bCs/>
          <w:b/>
        </w:rPr>
        <w:t xml:space="preserve">Qué cambiaría el encaje</w:t>
      </w:r>
      <w:r>
        <w:t xml:space="preserve">: el 17-nov, ventas del 3T con un +17 % o más y una guía que deje 2027 en dos dígitos pese a Alemania. Con eso se reharía el informe y, si llega a Comprar, se compararía con el último suplente. Tendría que bajar hacia 200 DKK para ofrecer una rentabilidad comparable a las del bolsillo.</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10,0</w:t>
            </w:r>
          </w:p>
        </w:tc>
        <w:tc>
          <w:tcPr/>
          <w:p>
            <w:pPr>
              <w:pStyle w:val="Compact"/>
              <w:jc w:val="left"/>
            </w:pPr>
            <w:r>
              <w:t xml:space="preserve">25</w:t>
            </w:r>
          </w:p>
        </w:tc>
        <w:tc>
          <w:tcPr/>
          <w:p>
            <w:pPr>
              <w:pStyle w:val="Compact"/>
              <w:jc w:val="left"/>
            </w:pPr>
            <w:r>
              <w:t xml:space="preserve">Ventas 12 m +16,5 % (2), crecimiento a 2 años +14,8 % (1), aceleración +1,8 puntos (3)</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del 35 % (1), tecnología 4, posición 5</w:t>
            </w:r>
          </w:p>
        </w:tc>
      </w:tr>
      <w:tr>
        <w:tc>
          <w:tcPr/>
          <w:p>
            <w:pPr>
              <w:pStyle w:val="Compact"/>
              <w:jc w:val="left"/>
            </w:pPr>
            <w:r>
              <w:t xml:space="preserve">C. Cambio de tendencia</w:t>
            </w:r>
          </w:p>
        </w:tc>
        <w:tc>
          <w:tcPr/>
          <w:p>
            <w:pPr>
              <w:pStyle w:val="Compact"/>
              <w:jc w:val="left"/>
            </w:pPr>
            <w:r>
              <w:t xml:space="preserve">5,0</w:t>
            </w:r>
          </w:p>
        </w:tc>
        <w:tc>
          <w:tcPr/>
          <w:p>
            <w:pPr>
              <w:pStyle w:val="Compact"/>
              <w:jc w:val="left"/>
            </w:pPr>
            <w:r>
              <w:t xml:space="preserve">20</w:t>
            </w:r>
          </w:p>
        </w:tc>
        <w:tc>
          <w:tcPr/>
          <w:p>
            <w:pPr>
              <w:pStyle w:val="Compact"/>
              <w:jc w:val="left"/>
            </w:pPr>
            <w:r>
              <w:t xml:space="preserve">2 de 8 señales</w:t>
            </w:r>
          </w:p>
        </w:tc>
      </w:tr>
      <w:tr>
        <w:tc>
          <w:tcPr/>
          <w:p>
            <w:pPr>
              <w:pStyle w:val="Compact"/>
              <w:jc w:val="left"/>
            </w:pPr>
            <w:r>
              <w:t xml:space="preserve">D. Economía unitaria</w:t>
            </w:r>
          </w:p>
        </w:tc>
        <w:tc>
          <w:tcPr/>
          <w:p>
            <w:pPr>
              <w:pStyle w:val="Compact"/>
              <w:jc w:val="left"/>
            </w:pPr>
            <w:r>
              <w:t xml:space="preserve">11,0</w:t>
            </w:r>
          </w:p>
        </w:tc>
        <w:tc>
          <w:tcPr/>
          <w:p>
            <w:pPr>
              <w:pStyle w:val="Compact"/>
              <w:jc w:val="left"/>
            </w:pPr>
            <w:r>
              <w:t xml:space="preserve">15</w:t>
            </w:r>
          </w:p>
        </w:tc>
        <w:tc>
          <w:tcPr/>
          <w:p>
            <w:pPr>
              <w:pStyle w:val="Compact"/>
              <w:jc w:val="left"/>
            </w:pPr>
            <w:r>
              <w:t xml:space="preserve">Margen bruto del 68 % (4), regla del 40 en 38,9 (2), flujo de caja creciente (5)</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Flujo de caja positivo y dilución del 0,2 %</w:t>
            </w:r>
          </w:p>
        </w:tc>
      </w:tr>
      <w:tr>
        <w:tc>
          <w:tcPr/>
          <w:p>
            <w:pPr>
              <w:pStyle w:val="Compact"/>
              <w:jc w:val="left"/>
            </w:pPr>
            <w:r>
              <w:t xml:space="preserve">F. Ejecución y dirección</w:t>
            </w:r>
          </w:p>
        </w:tc>
        <w:tc>
          <w:tcPr/>
          <w:p>
            <w:pPr>
              <w:pStyle w:val="Compact"/>
              <w:jc w:val="left"/>
            </w:pPr>
            <w:r>
              <w:t xml:space="preserve">9,0</w:t>
            </w:r>
          </w:p>
        </w:tc>
        <w:tc>
          <w:tcPr/>
          <w:p>
            <w:pPr>
              <w:pStyle w:val="Compact"/>
              <w:jc w:val="left"/>
            </w:pPr>
            <w:r>
              <w:t xml:space="preserve">10</w:t>
            </w:r>
          </w:p>
        </w:tc>
        <w:tc>
          <w:tcPr/>
          <w:p>
            <w:pPr>
              <w:pStyle w:val="Compact"/>
              <w:jc w:val="left"/>
            </w:pPr>
            <w:r>
              <w:t xml:space="preserve">Historial 5, dirección 4</w:t>
            </w:r>
          </w:p>
        </w:tc>
      </w:tr>
      <w:tr>
        <w:tc>
          <w:tcPr/>
          <w:p>
            <w:pPr>
              <w:pStyle w:val="Compact"/>
              <w:jc w:val="left"/>
            </w:pPr>
            <w:r>
              <w:rPr>
                <w:bCs/>
                <w:b/>
              </w:rPr>
              <w:t xml:space="preserve">Total</w:t>
            </w:r>
          </w:p>
        </w:tc>
        <w:tc>
          <w:tcPr/>
          <w:p>
            <w:pPr>
              <w:pStyle w:val="Compact"/>
              <w:jc w:val="left"/>
            </w:pPr>
            <w:r>
              <w:rPr>
                <w:bCs/>
                <w:b/>
              </w:rPr>
              <w:t xml:space="preserve">58,3</w:t>
            </w:r>
          </w:p>
        </w:tc>
        <w:tc>
          <w:tcPr/>
          <w:p>
            <w:pPr>
              <w:pStyle w:val="Compact"/>
              <w:jc w:val="left"/>
            </w:pPr>
            <w:r>
              <w:t xml:space="preserve">100</w:t>
            </w:r>
          </w:p>
        </w:tc>
        <w:tc>
          <w:tcPr/>
          <w:p>
            <w:pPr>
              <w:pStyle w:val="Compact"/>
              <w:jc w:val="left"/>
            </w:pPr>
            <w:r>
              <w:t xml:space="preserve">Hacen falta 60 para Comprar</w:t>
            </w:r>
          </w:p>
        </w:tc>
      </w:tr>
    </w:tbl>
    <w:p>
      <w:pPr>
        <w:pStyle w:val="BodyText"/>
      </w:pPr>
      <w:r>
        <w:t xml:space="preserve">Otras versiones (no vigentes): v12 da lo mismo que v11 (no hay compras de empresas que muevan el crecimiento). v14 da una ponderada de +6,3 %, Mantener: el primer producto no pasa del 70 %, no hay decisión regulatoria abierta (la alemana ya es ley) y la dilución prevista es del 0,3 %.</w:t>
      </w:r>
    </w:p>
    <w:bookmarkEnd w:id="33"/>
    <w:bookmarkStart w:id="34" w:name="fuentes"/>
    <w:p>
      <w:pPr>
        <w:pStyle w:val="Heading2"/>
      </w:pPr>
      <w:r>
        <w:t xml:space="preserve">Fuentes</w:t>
      </w:r>
    </w:p>
    <w:p>
      <w:pPr>
        <w:numPr>
          <w:ilvl w:val="0"/>
          <w:numId w:val="1012"/>
        </w:numPr>
        <w:pStyle w:val="Compact"/>
      </w:pPr>
      <w:r>
        <w:t xml:space="preserve">ALK-Abelló, Six-month interim report (Q2) 2026, company release 12/2026 (20-ago-2026), ESEF en filings.xbrl.org (LEI 529900SGCREUZCZ7P020).</w:t>
      </w:r>
    </w:p>
    <w:p>
      <w:pPr>
        <w:numPr>
          <w:ilvl w:val="0"/>
          <w:numId w:val="1012"/>
        </w:numPr>
        <w:pStyle w:val="Compact"/>
      </w:pPr>
      <w:r>
        <w:t xml:space="preserve">ALK-Abelló, Three-month interim report (Q1) 2026 (4-may-2026), ESEF en filings.xbrl.org; resumen de briefglance.com.</w:t>
      </w:r>
    </w:p>
    <w:p>
      <w:pPr>
        <w:numPr>
          <w:ilvl w:val="0"/>
          <w:numId w:val="1012"/>
        </w:numPr>
        <w:pStyle w:val="Compact"/>
      </w:pPr>
      <w:r>
        <w:t xml:space="preserve">Investing.com, «ALK-Abello raises 2026 revenue outlook after Q2 organic sales growth of 18%» (20-ago-2026) y transcripción de la conferencia del 2T26.</w:t>
      </w:r>
    </w:p>
    <w:p>
      <w:pPr>
        <w:numPr>
          <w:ilvl w:val="0"/>
          <w:numId w:val="1012"/>
        </w:numPr>
        <w:pStyle w:val="Compact"/>
      </w:pPr>
      <w:r>
        <w:t xml:space="preserve">ALK-Abelló, «ALK upgrades its full-year outlook on strong tablet sales» (8-oct-2026, información privilegiada; GlobeNewswire vía The Manila Times e ir.alk.net).</w:t>
      </w:r>
    </w:p>
    <w:p>
      <w:pPr>
        <w:numPr>
          <w:ilvl w:val="0"/>
          <w:numId w:val="1012"/>
        </w:numPr>
        <w:pStyle w:val="Compact"/>
      </w:pPr>
      <w:r>
        <w:t xml:space="preserve">ALK-Abelló, Annual Report 2024 (feb-2025), ESEF: primera guía de 2025 (+9-13 %).</w:t>
      </w:r>
    </w:p>
    <w:p>
      <w:pPr>
        <w:numPr>
          <w:ilvl w:val="0"/>
          <w:numId w:val="1012"/>
        </w:numPr>
        <w:pStyle w:val="Compact"/>
      </w:pPr>
      <w:r>
        <w:t xml:space="preserve">ALK-Abelló, Annual Report 2025 (20-feb-2026), ESEF: cifras 2021-2025, trimestres de 2025, ambiciones a 2028, mercado de AIT, accionariado y pagos en acciones; informe del 2T24 (ESEF) para el 1S23 y el 1S24.</w:t>
      </w:r>
    </w:p>
    <w:p>
      <w:pPr>
        <w:numPr>
          <w:ilvl w:val="0"/>
          <w:numId w:val="1012"/>
        </w:numPr>
        <w:pStyle w:val="Compact"/>
      </w:pPr>
      <w:r>
        <w:t xml:space="preserve">MarketScreener, ALK-Abelló A/S, finanzas y estimaciones (consultado el 14-oct-2026): consenso 2026-2028, objetivo medio de 291 DKK y último cierre de 227,20 DKK.</w:t>
      </w:r>
    </w:p>
    <w:p>
      <w:pPr>
        <w:numPr>
          <w:ilvl w:val="0"/>
          <w:numId w:val="1012"/>
        </w:numPr>
        <w:pStyle w:val="Compact"/>
      </w:pPr>
      <w:r>
        <w:t xml:space="preserve">Yahoo Finance chart API, ALK-B.CO y ^OMXC25 (cierres diarios y mensuales); cálculos propios de la media de 200 sesiones, la fuerza relativa y los máximos y mínimos.</w:t>
      </w:r>
    </w:p>
    <w:p>
      <w:pPr>
        <w:numPr>
          <w:ilvl w:val="0"/>
          <w:numId w:val="1012"/>
        </w:numPr>
        <w:pStyle w:val="Compact"/>
      </w:pPr>
      <w:r>
        <w:t xml:space="preserve">Múltiplos: estimación propia de la mediana y el mínimo de EV/EBITDA de 3 años; comparables de los informes value del repositorio (Almirall, Coloplast, Rovi y Demant).</w:t>
      </w:r>
    </w:p>
    <w:p>
      <w:pPr>
        <w:numPr>
          <w:ilvl w:val="0"/>
          <w:numId w:val="1012"/>
        </w:numPr>
        <w:pStyle w:val="Compact"/>
      </w:pPr>
      <w:r>
        <w:t xml:space="preserve">Investing.com, «Why is ALK-Abelló stock surging today?» (8-oct-2026); Webull, «ALK Abelló Stock Gets Outlook Upgrade On Strong Tablet Sales».</w:t>
      </w:r>
    </w:p>
    <w:p>
      <w:pPr>
        <w:numPr>
          <w:ilvl w:val="0"/>
          <w:numId w:val="1012"/>
        </w:numPr>
        <w:pStyle w:val="Compact"/>
      </w:pPr>
      <w:r>
        <w:t xml:space="preserve">Tradedesk.dk, Saxo, npinvestor.dk y Aktiespot: precios objetivo y recomendaciones (2026).</w:t>
      </w:r>
    </w:p>
    <w:p>
      <w:pPr>
        <w:numPr>
          <w:ilvl w:val="0"/>
          <w:numId w:val="1012"/>
        </w:numPr>
        <w:pStyle w:val="Compact"/>
      </w:pPr>
      <w:r>
        <w:t xml:space="preserve">Unge Investorer, «ALK kursmål» (2026).</w:t>
      </w:r>
    </w:p>
    <w:p>
      <w:pPr>
        <w:numPr>
          <w:ilvl w:val="0"/>
          <w:numId w:val="1012"/>
        </w:numPr>
        <w:pStyle w:val="Compact"/>
      </w:pPr>
      <w:r>
        <w:t xml:space="preserve">Foros: getquin y Nordnet; búsquedas sin resultado en Reddit, Rankia e Investing.com ES.</w:t>
      </w:r>
    </w:p>
    <w:p>
      <w:pPr>
        <w:numPr>
          <w:ilvl w:val="0"/>
          <w:numId w:val="1012"/>
        </w:numPr>
        <w:pStyle w:val="Compact"/>
      </w:pPr>
      <w:r>
        <w:t xml:space="preserve">ALK-Abelló, notificaciones de operaciones de directivos (mfn.se, 1-jun-2026 y 21-ago-2026).</w:t>
      </w:r>
    </w:p>
    <w:p>
      <w:pPr>
        <w:numPr>
          <w:ilvl w:val="0"/>
          <w:numId w:val="1012"/>
        </w:numPr>
        <w:pStyle w:val="Compact"/>
      </w:pPr>
      <w:r>
        <w:t xml:space="preserve">Mercado alcanzable 2028: estimación propia con los datos de mercado del Annual Report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2026-10-14T21:41:03Z</dcterms:created>
  <dcterms:modified xsi:type="dcterms:W3CDTF">2026-10-14T21:41:03Z</dcterms:modified>
</cp:coreProperties>
</file>

<file path=docProps/custom.xml><?xml version="1.0" encoding="utf-8"?>
<Properties xmlns="http://schemas.openxmlformats.org/officeDocument/2006/custom-properties" xmlns:vt="http://schemas.openxmlformats.org/officeDocument/2006/docPropsVTypes"/>
</file>