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rgan-agx-análisis-growth-14-oct-2026"/>
    <w:p>
      <w:pPr>
        <w:pStyle w:val="Heading1"/>
      </w:pPr>
      <w:r>
        <w:t xml:space="preserve">Argan (AGX): análisis growth, 14-oct-2026</w:t>
      </w:r>
    </w:p>
    <w:p>
      <w:pPr>
        <w:pStyle w:val="FirstParagraph"/>
      </w:pPr>
      <w:r>
        <w:rPr>
          <w:bCs/>
          <w:b/>
        </w:rPr>
        <w:t xml:space="preserve">Señal (método v11, vigente): Vender / no comprar</w:t>
      </w:r>
      <w:r>
        <w:t xml:space="preserve"> </w:t>
      </w:r>
      <w:r>
        <w:t xml:space="preserve">· Puntuación 62,7/100 · Señales de cambio de tendencia 2/8 · EV/beneficio bruto NTM 15,7x · Euforia: no (+31,7 % en 12 meses)</w:t>
      </w:r>
      <w:r>
        <w:t xml:space="preserve"> </w:t>
      </w:r>
      <w:r>
        <w:t xml:space="preserve">Precio 388,10 USD (cierre del 13-oct) · Objetivo 12 m 303,6 USD (ponderada −21,1 %, base −20,2 %, bajista −61,2 %, alcista +17,4 %) · Compra hasta 291,0 USD</w:t>
      </w:r>
      <w:r>
        <w:t xml:space="preserve"> </w:t>
      </w:r>
      <w:r>
        <w:t xml:space="preserve">Referencia v9: Mantener, sin compra (62,7; ponderada −4,1 %, base −1,7 %, bajista −50,4 %; objetivo 369,7 USD; compra hasta 354,4 USD). La diferencia está solo en las ventas: v9 proyecta 2.145 M en el caso base y v11 usa las del informe, 1.700 M, en línea con el consenso.</w:t>
      </w:r>
      <w:r>
        <w:t xml:space="preserve"> </w:t>
      </w:r>
      <w:r>
        <w:t xml:space="preserve">Peso orientativo: no entra · Por qué: el precio ya cuenta con que el negocio siga creciendo después de 2027, pero la cartera de pedidos lleva dos trimestres bajando y no ha entrado ninguna central nueva desde octubre de 2025.</w:t>
      </w:r>
      <w:r>
        <w:t xml:space="preserve"> </w:t>
      </w:r>
      <w:r>
        <w:rPr>
          <w:bCs/>
          <w:b/>
        </w:rPr>
        <w:t xml:space="preserve">Al precio actual</w:t>
      </w:r>
      <w:r>
        <w:t xml:space="preserve"> </w:t>
      </w:r>
      <w:r>
        <w:t xml:space="preserve">(365,83 USD, cierre del 14-oct a las 20:00 UTC, −5,7 % en el día) y con el objetivo del informe fijo (303,6 USD): ponderada −17,0 %, base −16,1 %, bajista −59,6 %. Sigue en Vender / no comprar; para comprar tendría que bajar a 291,0 USD, un 20 % menos que hoy.</w:t>
      </w:r>
    </w:p>
    <w:p>
      <w:pPr>
        <w:pStyle w:val="BlockText"/>
      </w:pPr>
      <w:r>
        <w:rPr>
          <w:bCs/>
          <w:b/>
        </w:rPr>
        <w:t xml:space="preserve">Calculado con el método v11</w:t>
      </w:r>
      <w:r>
        <w:t xml:space="preserve"> </w:t>
      </w:r>
      <w:r>
        <w:t xml:space="preserve">(</w:t>
      </w:r>
      <w:r>
        <w:rPr>
          <w:rStyle w:val="VerbatimChar"/>
        </w:rPr>
        <w:t xml:space="preserve">verticales/growth/metodo.md</w:t>
      </w:r>
      <w:r>
        <w:t xml:space="preserve">), con v9 al lado. Argan gana dinero de forma estable: tiene beneficio neto en todos los ejercicios de la serie de la SEC (2021-2026) y el FCF lleva tres años positivo. Por eso se valora por</w:t>
      </w:r>
      <w:r>
        <w:t xml:space="preserve"> </w:t>
      </w:r>
      <w:r>
        <w:rPr>
          <w:bCs/>
          <w:b/>
        </w:rPr>
        <w:t xml:space="preserve">EV/EBITDA de los 12 meses siguientes</w:t>
      </w:r>
      <w:r>
        <w:t xml:space="preserve">: 22,0x hoy, con un EBITDA NTM de 230 M en</w:t>
      </w:r>
      <w:r>
        <w:t xml:space="preserve"> </w:t>
      </w:r>
      <w:r>
        <w:rPr>
          <w:rStyle w:val="VerbatimChar"/>
        </w:rPr>
        <w:t xml:space="preserve">ebitda_ntm_m</w:t>
      </w:r>
      <w:r>
        <w:t xml:space="preserve">.</w:t>
      </w:r>
      <w:r>
        <w:t xml:space="preserve"> </w:t>
      </w:r>
      <w:r>
        <w:rPr>
          <w:bCs/>
          <w:b/>
        </w:rPr>
        <w:t xml:space="preserve">La caja no se cuenta dos veces.</w:t>
      </w:r>
      <w:r>
        <w:t xml:space="preserve"> </w:t>
      </w:r>
      <w:r>
        <w:t xml:space="preserve">(1) El EBITDA «ajustado» de la empresa incluye unos 40 M al año de intereses de la caja; aquí se quitan, porque la caja ya se suma aparte en el precio. (2) No se suma toda la caja, que son 1.028 M, sino la</w:t>
      </w:r>
      <w:r>
        <w:t xml:space="preserve"> </w:t>
      </w:r>
      <w:r>
        <w:rPr>
          <w:bCs/>
          <w:b/>
        </w:rPr>
        <w:t xml:space="preserve">liquidez neta, 440 M</w:t>
      </w:r>
      <w:r>
        <w:t xml:space="preserve">: 627 M de la caja son anticipos de clientes que se gastarán al construir las obras. Contando toda la caja, el resultado apenas cambia (ponderada −18,6 %, Vender).</w:t>
      </w:r>
    </w:p>
    <w:bookmarkStart w:id="20" w:name="la-tesis-en-cinco-líneas"/>
    <w:p>
      <w:pPr>
        <w:pStyle w:val="Heading2"/>
      </w:pPr>
      <w:r>
        <w:t xml:space="preserve">1. La tesis en cinco líneas</w:t>
      </w:r>
    </w:p>
    <w:p>
      <w:pPr>
        <w:numPr>
          <w:ilvl w:val="0"/>
          <w:numId w:val="1001"/>
        </w:numPr>
        <w:pStyle w:val="Compact"/>
      </w:pPr>
      <w:r>
        <w:t xml:space="preserve">Argan, a través de su filial Gemma Power Systems, construye «llave en mano» centrales de ciclo combinado de gas en EE. UU. y centrales en Irlanda. Es uno de los pocos contratistas capaces de hacerlo, en un momento de demanda eléctrica récord por los centros de datos, la vuelta de la industria a EE. UU. y la electrificación [1][2].</w:t>
      </w:r>
    </w:p>
    <w:p>
      <w:pPr>
        <w:numPr>
          <w:ilvl w:val="0"/>
          <w:numId w:val="1001"/>
        </w:numPr>
        <w:pStyle w:val="Compact"/>
      </w:pPr>
      <w:r>
        <w:t xml:space="preserve">Crece con fuerza: +61,5 % en el 2T de su ejercicio 2027 (trimestre a julio de 2026), +29 % en 12 meses, margen bruto del 19-21 % y beneficio neto de 53 M en el trimestre. No tiene deuda [1].</w:t>
      </w:r>
    </w:p>
    <w:p>
      <w:pPr>
        <w:numPr>
          <w:ilvl w:val="0"/>
          <w:numId w:val="1001"/>
        </w:numPr>
        <w:pStyle w:val="Compact"/>
      </w:pPr>
      <w:r>
        <w:t xml:space="preserve">Pero el negocio va a saltos. La cartera de pedidos ha bajado de 2.929 a 2.518 M en seis meses, y desde octubre de 2025 no ha entrado ninguna central grande. La dirección habla de «un puñado» de proyectos en los próximos 7 a 15 meses, sin fecha [1][7].</w:t>
      </w:r>
    </w:p>
    <w:p>
      <w:pPr>
        <w:numPr>
          <w:ilvl w:val="0"/>
          <w:numId w:val="1001"/>
        </w:numPr>
        <w:pStyle w:val="Compact"/>
      </w:pPr>
      <w:r>
        <w:t xml:space="preserve">La euforia ya pasó por aquí: de 410 USD en marzo a 798 USD en junio (cerca de 48x EBITDA), y desde entonces −51 %. El consejo vendió mucho cerca del máximo; el presidente, unos 70 M USD. Hoy cotiza a 22x, 1,5 veces su mediana de 3 años.</w:t>
      </w:r>
    </w:p>
    <w:p>
      <w:pPr>
        <w:numPr>
          <w:ilvl w:val="0"/>
          <w:numId w:val="1001"/>
        </w:numPr>
        <w:pStyle w:val="Compact"/>
      </w:pPr>
      <w:r>
        <w:t xml:space="preserve">Conclusión:</w:t>
      </w:r>
      <w:r>
        <w:t xml:space="preserve"> </w:t>
      </w:r>
      <w:r>
        <w:rPr>
          <w:bCs/>
          <w:b/>
        </w:rPr>
        <w:t xml:space="preserve">Vender / no comprar.</w:t>
      </w:r>
      <w:r>
        <w:t xml:space="preserve"> </w:t>
      </w:r>
      <w:r>
        <w:t xml:space="preserve">Con las ventas del consenso para 2028 (unos 1.700 M), el crecimiento se frena del 29 % al 11 % y la regla rebaja el múltiplo; el precio ya cuenta con esa mejora. Sería comprable por debajo de 291 USD, o antes si entran centrales nuevas que suban la cartera.</w:t>
      </w:r>
    </w:p>
    <w:bookmarkEnd w:id="20"/>
    <w:bookmarkStart w:id="21" w:name="negocio-y-tecnología"/>
    <w:p>
      <w:pPr>
        <w:pStyle w:val="Heading2"/>
      </w:pPr>
      <w:r>
        <w:t xml:space="preserve">2. Negocio y tecnología</w:t>
      </w:r>
    </w:p>
    <w:p>
      <w:pPr>
        <w:numPr>
          <w:ilvl w:val="0"/>
          <w:numId w:val="1002"/>
        </w:numPr>
        <w:pStyle w:val="Compact"/>
      </w:pPr>
      <w:r>
        <w:rPr>
          <w:bCs/>
          <w:b/>
        </w:rPr>
        <w:t xml:space="preserve">Qué hace</w:t>
      </w:r>
      <w:r>
        <w:t xml:space="preserve"> </w:t>
      </w:r>
      <w:r>
        <w:t xml:space="preserve">[1][2]: Argan es un holding con tres segmentos.</w:t>
      </w:r>
      <w:r>
        <w:t xml:space="preserve"> </w:t>
      </w:r>
      <w:r>
        <w:rPr>
          <w:bCs/>
          <w:b/>
        </w:rPr>
        <w:t xml:space="preserve">Power</w:t>
      </w:r>
      <w:r>
        <w:t xml:space="preserve">, el 78 % de las ventas del 2T: Gemma Power Systems y Atlantic Projects. Hace la ingeniería, las compras y la construcción (EPC) de centrales de gas, renovables y biocombustible, más su puesta en marcha y mantenimiento.</w:t>
      </w:r>
      <w:r>
        <w:t xml:space="preserve"> </w:t>
      </w:r>
      <w:r>
        <w:rPr>
          <w:bCs/>
          <w:b/>
        </w:rPr>
        <w:t xml:space="preserve">Industrial</w:t>
      </w:r>
      <w:r>
        <w:t xml:space="preserve">, el 20 %: The Roberts Company, construcción y fabricación industrial en el sureste de EE. UU., incluidos depósitos a presión para la refrigeración de centros de datos.</w:t>
      </w:r>
      <w:r>
        <w:t xml:space="preserve"> </w:t>
      </w:r>
      <w:r>
        <w:rPr>
          <w:bCs/>
          <w:b/>
        </w:rPr>
        <w:t xml:space="preserve">Teledata</w:t>
      </w:r>
      <w:r>
        <w:t xml:space="preserve">, el 2 %: SMC, redes de comunicaciones; en julio compró ValCor por 8,3 M.</w:t>
      </w:r>
    </w:p>
    <w:p>
      <w:pPr>
        <w:numPr>
          <w:ilvl w:val="0"/>
          <w:numId w:val="1002"/>
        </w:numPr>
        <w:pStyle w:val="Compact"/>
      </w:pPr>
      <w:r>
        <w:rPr>
          <w:bCs/>
          <w:b/>
        </w:rPr>
        <w:t xml:space="preserve">Cartera de Power</w:t>
      </w:r>
      <w:r>
        <w:t xml:space="preserve"> </w:t>
      </w:r>
      <w:r>
        <w:t xml:space="preserve">[2]: cuatro centrales de gas en EE. UU. que suman más de 4,1 GW: 1,4 GW en Ward County y 860 MW en ERCOT (Texas), 1,2 GW en Sandow Lakes (Texas) y 700 MW sin ubicar. Además, Tarbert (300 MW, biocombustible) y una de 170 MW en Irlanda, y un campo solar de 405 MW que se termina este trimestre. Todas se acaban entre 2027 y 2029. El 48 % de los 2.500 M pendientes se facturará en 12 meses.</w:t>
      </w:r>
    </w:p>
    <w:p>
      <w:pPr>
        <w:numPr>
          <w:ilvl w:val="0"/>
          <w:numId w:val="1002"/>
        </w:numPr>
        <w:pStyle w:val="Compact"/>
      </w:pPr>
      <w:r>
        <w:rPr>
          <w:bCs/>
          <w:b/>
        </w:rPr>
        <w:t xml:space="preserve">Qué tiene de nuevo</w:t>
      </w:r>
      <w:r>
        <w:t xml:space="preserve">: no es tecnología propia. Lo que vende es</w:t>
      </w:r>
      <w:r>
        <w:t xml:space="preserve"> </w:t>
      </w:r>
      <w:r>
        <w:rPr>
          <w:bCs/>
          <w:b/>
        </w:rPr>
        <w:t xml:space="preserve">saber construir centrales grandes a tiempo y dentro de presupuesto</w:t>
      </w:r>
      <w:r>
        <w:t xml:space="preserve">, con equipos experimentados y un balance que le permite dar avales sin deuda. Su ventaja es la escasez: en EE. UU. pocos contratistas saben hacer un ciclo combinado (Kiewit, Bechtel, Zachry, Burns &amp; McDonnell y algunos más; de memoria) y la demanda supera a la capacidad del sector [2][7].</w:t>
      </w:r>
    </w:p>
    <w:p>
      <w:pPr>
        <w:numPr>
          <w:ilvl w:val="0"/>
          <w:numId w:val="1002"/>
        </w:numPr>
        <w:pStyle w:val="Compact"/>
      </w:pPr>
      <w:r>
        <w:rPr>
          <w:bCs/>
          <w:b/>
        </w:rPr>
        <w:t xml:space="preserve">Puntuación</w:t>
      </w:r>
      <w:r>
        <w:t xml:space="preserve">: tecnología</w:t>
      </w:r>
      <w:r>
        <w:t xml:space="preserve"> </w:t>
      </w:r>
      <w:r>
        <w:rPr>
          <w:bCs/>
          <w:b/>
        </w:rPr>
        <w:t xml:space="preserve">3/5</w:t>
      </w:r>
      <w:r>
        <w:t xml:space="preserve">, porque es experiencia y no algo que nadie pueda copiar. Posición</w:t>
      </w:r>
      <w:r>
        <w:t xml:space="preserve"> </w:t>
      </w:r>
      <w:r>
        <w:rPr>
          <w:bCs/>
          <w:b/>
        </w:rPr>
        <w:t xml:space="preserve">3/5</w:t>
      </w:r>
      <w:r>
        <w:t xml:space="preserve">: está entre los pocos que pueden hacer estas centrales, pero no es el líder (Kiewit y Bechtel son mucho mayores) y su cuota va a saltos.</w:t>
      </w:r>
    </w:p>
    <w:bookmarkEnd w:id="21"/>
    <w:bookmarkStart w:id="22" w:name="crecimiento"/>
    <w:p>
      <w:pPr>
        <w:pStyle w:val="Heading2"/>
      </w:pPr>
      <w:r>
        <w:t xml:space="preserve">3. Crecimiento</w:t>
      </w:r>
    </w:p>
    <w:p>
      <w:pPr>
        <w:pStyle w:val="FirstParagraph"/>
      </w:pPr>
      <w:r>
        <w:t xml:space="preserve">El ejercicio fiscal acaba el 31 de enero: «2T del ejercicio 2027» es el trimestre de mayo a julio de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Trimestre (cierre)</w:t>
            </w:r>
          </w:p>
        </w:tc>
        <w:tc>
          <w:tcPr/>
          <w:p>
            <w:pPr>
              <w:pStyle w:val="Compact"/>
              <w:jc w:val="left"/>
            </w:pPr>
            <w:r>
              <w:t xml:space="preserve">Ventas (M USD)</w:t>
            </w:r>
          </w:p>
        </w:tc>
        <w:tc>
          <w:tcPr/>
          <w:p>
            <w:pPr>
              <w:pStyle w:val="Compact"/>
              <w:jc w:val="left"/>
            </w:pPr>
            <w:r>
              <w:t xml:space="preserve">Crec. interanual</w:t>
            </w:r>
          </w:p>
        </w:tc>
        <w:tc>
          <w:tcPr/>
          <w:p>
            <w:pPr>
              <w:pStyle w:val="Compact"/>
              <w:jc w:val="left"/>
            </w:pPr>
            <w:r>
              <w:t xml:space="preserve">Margen bruto</w:t>
            </w:r>
          </w:p>
        </w:tc>
      </w:tr>
      <w:tr>
        <w:tc>
          <w:tcPr/>
          <w:p>
            <w:pPr>
              <w:pStyle w:val="Compact"/>
              <w:jc w:val="left"/>
            </w:pPr>
            <w:r>
              <w:t xml:space="preserve">3T ej. 2025 (oct-24)</w:t>
            </w:r>
          </w:p>
        </w:tc>
        <w:tc>
          <w:tcPr/>
          <w:p>
            <w:pPr>
              <w:pStyle w:val="Compact"/>
              <w:jc w:val="left"/>
            </w:pPr>
            <w:r>
              <w:t xml:space="preserve">257,0</w:t>
            </w:r>
          </w:p>
        </w:tc>
        <w:tc>
          <w:tcPr/>
          <w:p>
            <w:pPr>
              <w:pStyle w:val="Compact"/>
              <w:jc w:val="left"/>
            </w:pPr>
            <w:r>
              <w:t xml:space="preserve">+56,9 %</w:t>
            </w:r>
          </w:p>
        </w:tc>
        <w:tc>
          <w:tcPr/>
          <w:p>
            <w:pPr>
              <w:pStyle w:val="Compact"/>
              <w:jc w:val="left"/>
            </w:pPr>
            <w:r>
              <w:t xml:space="preserve">17,2 %</w:t>
            </w:r>
          </w:p>
        </w:tc>
      </w:tr>
      <w:tr>
        <w:tc>
          <w:tcPr/>
          <w:p>
            <w:pPr>
              <w:pStyle w:val="Compact"/>
              <w:jc w:val="left"/>
            </w:pPr>
            <w:r>
              <w:t xml:space="preserve">4T ej. 2025 (ene-25)</w:t>
            </w:r>
          </w:p>
        </w:tc>
        <w:tc>
          <w:tcPr/>
          <w:p>
            <w:pPr>
              <w:pStyle w:val="Compact"/>
              <w:jc w:val="left"/>
            </w:pPr>
            <w:r>
              <w:t xml:space="preserve">232,5</w:t>
            </w:r>
          </w:p>
        </w:tc>
        <w:tc>
          <w:tcPr/>
          <w:p>
            <w:pPr>
              <w:pStyle w:val="Compact"/>
              <w:jc w:val="left"/>
            </w:pPr>
            <w:r>
              <w:t xml:space="preserve">+41,3 %</w:t>
            </w:r>
          </w:p>
        </w:tc>
        <w:tc>
          <w:tcPr/>
          <w:p>
            <w:pPr>
              <w:pStyle w:val="Compact"/>
              <w:jc w:val="left"/>
            </w:pPr>
            <w:r>
              <w:t xml:space="preserve">20,5 %</w:t>
            </w:r>
          </w:p>
        </w:tc>
      </w:tr>
      <w:tr>
        <w:tc>
          <w:tcPr/>
          <w:p>
            <w:pPr>
              <w:pStyle w:val="Compact"/>
              <w:jc w:val="left"/>
            </w:pPr>
            <w:r>
              <w:t xml:space="preserve">1T ej. 2026 (abr-25)</w:t>
            </w:r>
          </w:p>
        </w:tc>
        <w:tc>
          <w:tcPr/>
          <w:p>
            <w:pPr>
              <w:pStyle w:val="Compact"/>
              <w:jc w:val="left"/>
            </w:pPr>
            <w:r>
              <w:t xml:space="preserve">193,7</w:t>
            </w:r>
          </w:p>
        </w:tc>
        <w:tc>
          <w:tcPr/>
          <w:p>
            <w:pPr>
              <w:pStyle w:val="Compact"/>
              <w:jc w:val="left"/>
            </w:pPr>
            <w:r>
              <w:t xml:space="preserve">+22,8 %</w:t>
            </w:r>
          </w:p>
        </w:tc>
        <w:tc>
          <w:tcPr/>
          <w:p>
            <w:pPr>
              <w:pStyle w:val="Compact"/>
              <w:jc w:val="left"/>
            </w:pPr>
            <w:r>
              <w:t xml:space="preserve">19,0 %</w:t>
            </w:r>
          </w:p>
        </w:tc>
      </w:tr>
      <w:tr>
        <w:tc>
          <w:tcPr/>
          <w:p>
            <w:pPr>
              <w:pStyle w:val="Compact"/>
              <w:jc w:val="left"/>
            </w:pPr>
            <w:r>
              <w:t xml:space="preserve">2T ej. 2026 (jul-25)</w:t>
            </w:r>
          </w:p>
        </w:tc>
        <w:tc>
          <w:tcPr/>
          <w:p>
            <w:pPr>
              <w:pStyle w:val="Compact"/>
              <w:jc w:val="left"/>
            </w:pPr>
            <w:r>
              <w:t xml:space="preserve">237,7</w:t>
            </w:r>
          </w:p>
        </w:tc>
        <w:tc>
          <w:tcPr/>
          <w:p>
            <w:pPr>
              <w:pStyle w:val="Compact"/>
              <w:jc w:val="left"/>
            </w:pPr>
            <w:r>
              <w:t xml:space="preserve">+4,7 %</w:t>
            </w:r>
          </w:p>
        </w:tc>
        <w:tc>
          <w:tcPr/>
          <w:p>
            <w:pPr>
              <w:pStyle w:val="Compact"/>
              <w:jc w:val="left"/>
            </w:pPr>
            <w:r>
              <w:t xml:space="preserve">18,6 %</w:t>
            </w:r>
          </w:p>
        </w:tc>
      </w:tr>
      <w:tr>
        <w:tc>
          <w:tcPr/>
          <w:p>
            <w:pPr>
              <w:pStyle w:val="Compact"/>
              <w:jc w:val="left"/>
            </w:pPr>
            <w:r>
              <w:t xml:space="preserve">3T ej. 2026 (oct-25)</w:t>
            </w:r>
          </w:p>
        </w:tc>
        <w:tc>
          <w:tcPr/>
          <w:p>
            <w:pPr>
              <w:pStyle w:val="Compact"/>
              <w:jc w:val="left"/>
            </w:pPr>
            <w:r>
              <w:t xml:space="preserve">251,2</w:t>
            </w:r>
          </w:p>
        </w:tc>
        <w:tc>
          <w:tcPr/>
          <w:p>
            <w:pPr>
              <w:pStyle w:val="Compact"/>
              <w:jc w:val="left"/>
            </w:pPr>
            <w:r>
              <w:t xml:space="preserve">−2,3 %</w:t>
            </w:r>
          </w:p>
        </w:tc>
        <w:tc>
          <w:tcPr/>
          <w:p>
            <w:pPr>
              <w:pStyle w:val="Compact"/>
              <w:jc w:val="left"/>
            </w:pPr>
            <w:r>
              <w:t xml:space="preserve">18,7 %</w:t>
            </w:r>
          </w:p>
        </w:tc>
      </w:tr>
      <w:tr>
        <w:tc>
          <w:tcPr/>
          <w:p>
            <w:pPr>
              <w:pStyle w:val="Compact"/>
              <w:jc w:val="left"/>
            </w:pPr>
            <w:r>
              <w:t xml:space="preserve">4T ej. 2026 (ene-26)</w:t>
            </w:r>
          </w:p>
        </w:tc>
        <w:tc>
          <w:tcPr/>
          <w:p>
            <w:pPr>
              <w:pStyle w:val="Compact"/>
              <w:jc w:val="left"/>
            </w:pPr>
            <w:r>
              <w:t xml:space="preserve">262,1</w:t>
            </w:r>
          </w:p>
        </w:tc>
        <w:tc>
          <w:tcPr/>
          <w:p>
            <w:pPr>
              <w:pStyle w:val="Compact"/>
              <w:jc w:val="left"/>
            </w:pPr>
            <w:r>
              <w:t xml:space="preserve">+12,7 %</w:t>
            </w:r>
          </w:p>
        </w:tc>
        <w:tc>
          <w:tcPr/>
          <w:p>
            <w:pPr>
              <w:pStyle w:val="Compact"/>
              <w:jc w:val="left"/>
            </w:pPr>
            <w:r>
              <w:t xml:space="preserve">25,0 %</w:t>
            </w:r>
          </w:p>
        </w:tc>
      </w:tr>
      <w:tr>
        <w:tc>
          <w:tcPr/>
          <w:p>
            <w:pPr>
              <w:pStyle w:val="Compact"/>
              <w:jc w:val="left"/>
            </w:pPr>
            <w:r>
              <w:t xml:space="preserve">1T ej. 2027 (abr-26)</w:t>
            </w:r>
          </w:p>
        </w:tc>
        <w:tc>
          <w:tcPr/>
          <w:p>
            <w:pPr>
              <w:pStyle w:val="Compact"/>
              <w:jc w:val="left"/>
            </w:pPr>
            <w:r>
              <w:t xml:space="preserve">291,0</w:t>
            </w:r>
          </w:p>
        </w:tc>
        <w:tc>
          <w:tcPr/>
          <w:p>
            <w:pPr>
              <w:pStyle w:val="Compact"/>
              <w:jc w:val="left"/>
            </w:pPr>
            <w:r>
              <w:t xml:space="preserve">+50,2 %</w:t>
            </w:r>
          </w:p>
        </w:tc>
        <w:tc>
          <w:tcPr/>
          <w:p>
            <w:pPr>
              <w:pStyle w:val="Compact"/>
              <w:jc w:val="left"/>
            </w:pPr>
            <w:r>
              <w:t xml:space="preserve">21,0 %</w:t>
            </w:r>
          </w:p>
        </w:tc>
      </w:tr>
      <w:tr>
        <w:tc>
          <w:tcPr/>
          <w:p>
            <w:pPr>
              <w:pStyle w:val="Compact"/>
              <w:jc w:val="left"/>
            </w:pPr>
            <w:r>
              <w:t xml:space="preserve">2T ej. 2027 (jul-26)</w:t>
            </w:r>
          </w:p>
        </w:tc>
        <w:tc>
          <w:tcPr/>
          <w:p>
            <w:pPr>
              <w:pStyle w:val="Compact"/>
              <w:jc w:val="left"/>
            </w:pPr>
            <w:r>
              <w:t xml:space="preserve">384,0</w:t>
            </w:r>
          </w:p>
        </w:tc>
        <w:tc>
          <w:tcPr/>
          <w:p>
            <w:pPr>
              <w:pStyle w:val="Compact"/>
              <w:jc w:val="left"/>
            </w:pPr>
            <w:r>
              <w:t xml:space="preserve">+61,5 %</w:t>
            </w:r>
          </w:p>
        </w:tc>
        <w:tc>
          <w:tcPr/>
          <w:p>
            <w:pPr>
              <w:pStyle w:val="Compact"/>
              <w:jc w:val="left"/>
            </w:pPr>
            <w:r>
              <w:t xml:space="preserve">19,3 %</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Ejercicio (a enero)</w:t>
            </w:r>
          </w:p>
        </w:tc>
        <w:tc>
          <w:tcPr/>
          <w:p>
            <w:pPr>
              <w:pStyle w:val="Compact"/>
              <w:jc w:val="left"/>
            </w:pPr>
            <w:r>
              <w:t xml:space="preserve">Ventas (M USD)</w:t>
            </w:r>
          </w:p>
        </w:tc>
        <w:tc>
          <w:tcPr/>
          <w:p>
            <w:pPr>
              <w:pStyle w:val="Compact"/>
              <w:jc w:val="left"/>
            </w:pPr>
            <w:r>
              <w:t xml:space="preserve">Crec.</w:t>
            </w:r>
          </w:p>
        </w:tc>
        <w:tc>
          <w:tcPr/>
          <w:p>
            <w:pPr>
              <w:pStyle w:val="Compact"/>
              <w:jc w:val="left"/>
            </w:pPr>
            <w:r>
              <w:t xml:space="preserve">Beneficio operativo</w:t>
            </w:r>
          </w:p>
        </w:tc>
      </w:tr>
      <w:tr>
        <w:tc>
          <w:tcPr/>
          <w:p>
            <w:pPr>
              <w:pStyle w:val="Compact"/>
              <w:jc w:val="left"/>
            </w:pPr>
            <w:r>
              <w:t xml:space="preserve">2024</w:t>
            </w:r>
          </w:p>
        </w:tc>
        <w:tc>
          <w:tcPr/>
          <w:p>
            <w:pPr>
              <w:pStyle w:val="Compact"/>
              <w:jc w:val="left"/>
            </w:pPr>
            <w:r>
              <w:t xml:space="preserve">573,3</w:t>
            </w:r>
          </w:p>
        </w:tc>
        <w:tc>
          <w:tcPr/>
          <w:p>
            <w:pPr>
              <w:pStyle w:val="Compact"/>
              <w:jc w:val="left"/>
            </w:pPr>
            <w:r>
              <w:t xml:space="preserve">+26,0 %</w:t>
            </w:r>
          </w:p>
        </w:tc>
        <w:tc>
          <w:tcPr/>
          <w:p>
            <w:pPr>
              <w:pStyle w:val="Compact"/>
              <w:jc w:val="left"/>
            </w:pPr>
            <w:r>
              <w:t xml:space="preserve">36,5</w:t>
            </w:r>
          </w:p>
        </w:tc>
      </w:tr>
      <w:tr>
        <w:tc>
          <w:tcPr/>
          <w:p>
            <w:pPr>
              <w:pStyle w:val="Compact"/>
              <w:jc w:val="left"/>
            </w:pPr>
            <w:r>
              <w:t xml:space="preserve">2025</w:t>
            </w:r>
          </w:p>
        </w:tc>
        <w:tc>
          <w:tcPr/>
          <w:p>
            <w:pPr>
              <w:pStyle w:val="Compact"/>
              <w:jc w:val="left"/>
            </w:pPr>
            <w:r>
              <w:t xml:space="preserve">874,2</w:t>
            </w:r>
          </w:p>
        </w:tc>
        <w:tc>
          <w:tcPr/>
          <w:p>
            <w:pPr>
              <w:pStyle w:val="Compact"/>
              <w:jc w:val="left"/>
            </w:pPr>
            <w:r>
              <w:t xml:space="preserve">+52,5 %</w:t>
            </w:r>
          </w:p>
        </w:tc>
        <w:tc>
          <w:tcPr/>
          <w:p>
            <w:pPr>
              <w:pStyle w:val="Compact"/>
              <w:jc w:val="left"/>
            </w:pPr>
            <w:r>
              <w:t xml:space="preserve">88,2</w:t>
            </w:r>
          </w:p>
        </w:tc>
      </w:tr>
      <w:tr>
        <w:tc>
          <w:tcPr/>
          <w:p>
            <w:pPr>
              <w:pStyle w:val="Compact"/>
              <w:jc w:val="left"/>
            </w:pPr>
            <w:r>
              <w:t xml:space="preserve">2026</w:t>
            </w:r>
          </w:p>
        </w:tc>
        <w:tc>
          <w:tcPr/>
          <w:p>
            <w:pPr>
              <w:pStyle w:val="Compact"/>
              <w:jc w:val="left"/>
            </w:pPr>
            <w:r>
              <w:t xml:space="preserve">944,6</w:t>
            </w:r>
          </w:p>
        </w:tc>
        <w:tc>
          <w:tcPr/>
          <w:p>
            <w:pPr>
              <w:pStyle w:val="Compact"/>
              <w:jc w:val="left"/>
            </w:pPr>
            <w:r>
              <w:t xml:space="preserve">+8,1 %</w:t>
            </w:r>
          </w:p>
        </w:tc>
        <w:tc>
          <w:tcPr/>
          <w:p>
            <w:pPr>
              <w:pStyle w:val="Compact"/>
              <w:jc w:val="left"/>
            </w:pPr>
            <w:r>
              <w:t xml:space="preserve">134,7</w:t>
            </w:r>
          </w:p>
        </w:tc>
      </w:tr>
      <w:tr>
        <w:tc>
          <w:tcPr/>
          <w:p>
            <w:pPr>
              <w:pStyle w:val="Compact"/>
              <w:jc w:val="left"/>
            </w:pPr>
            <w:r>
              <w:t xml:space="preserve">2027 consenso</w:t>
            </w:r>
          </w:p>
        </w:tc>
        <w:tc>
          <w:tcPr/>
          <w:p>
            <w:pPr>
              <w:pStyle w:val="Compact"/>
              <w:jc w:val="left"/>
            </w:pPr>
            <w:r>
              <w:t xml:space="preserve">1.400</w:t>
            </w:r>
          </w:p>
        </w:tc>
        <w:tc>
          <w:tcPr/>
          <w:p>
            <w:pPr>
              <w:pStyle w:val="Compact"/>
              <w:jc w:val="left"/>
            </w:pPr>
            <w:r>
              <w:t xml:space="preserve">+48,3 %</w:t>
            </w:r>
          </w:p>
        </w:tc>
        <w:tc>
          <w:tcPr/>
          <w:p>
            <w:pPr>
              <w:pStyle w:val="Compact"/>
              <w:jc w:val="left"/>
            </w:pPr>
            <w:r>
              <w:t xml:space="preserve">—</w:t>
            </w:r>
          </w:p>
        </w:tc>
      </w:tr>
      <w:tr>
        <w:tc>
          <w:tcPr/>
          <w:p>
            <w:pPr>
              <w:pStyle w:val="Compact"/>
              <w:jc w:val="left"/>
            </w:pPr>
            <w:r>
              <w:t xml:space="preserve">2028 consenso</w:t>
            </w:r>
          </w:p>
        </w:tc>
        <w:tc>
          <w:tcPr/>
          <w:p>
            <w:pPr>
              <w:pStyle w:val="Compact"/>
              <w:jc w:val="left"/>
            </w:pPr>
            <w:r>
              <w:t xml:space="preserve">1.690</w:t>
            </w:r>
          </w:p>
        </w:tc>
        <w:tc>
          <w:tcPr/>
          <w:p>
            <w:pPr>
              <w:pStyle w:val="Compact"/>
              <w:jc w:val="left"/>
            </w:pPr>
            <w:r>
              <w:t xml:space="preserve">+20,4 %</w:t>
            </w:r>
          </w:p>
        </w:tc>
        <w:tc>
          <w:tcPr/>
          <w:p>
            <w:pPr>
              <w:pStyle w:val="Compact"/>
              <w:jc w:val="left"/>
            </w:pPr>
            <w:r>
              <w:t xml:space="preserve">—</w:t>
            </w:r>
          </w:p>
        </w:tc>
      </w:tr>
    </w:tbl>
    <w:p>
      <w:pPr>
        <w:pStyle w:val="BodyText"/>
      </w:pPr>
      <w:r>
        <w:t xml:space="preserve">Fuentes: [1][2][5]; trimestres por diferencia de los acumulados del XBRL de la SEC.</w:t>
      </w:r>
    </w:p>
    <w:p>
      <w:pPr>
        <w:numPr>
          <w:ilvl w:val="0"/>
          <w:numId w:val="1003"/>
        </w:numPr>
        <w:pStyle w:val="Compact"/>
      </w:pPr>
      <w:r>
        <w:rPr>
          <w:bCs/>
          <w:b/>
        </w:rPr>
        <w:t xml:space="preserve">Últimos 12 meses</w:t>
      </w:r>
      <w:r>
        <w:t xml:space="preserve">: 1.188 M USD,</w:t>
      </w:r>
      <w:r>
        <w:t xml:space="preserve"> </w:t>
      </w:r>
      <w:r>
        <w:rPr>
          <w:bCs/>
          <w:b/>
        </w:rPr>
        <w:t xml:space="preserve">+29,0 %</w:t>
      </w:r>
      <w:r>
        <w:t xml:space="preserve">.</w:t>
      </w:r>
      <w:r>
        <w:t xml:space="preserve"> </w:t>
      </w:r>
      <w:r>
        <w:rPr>
          <w:bCs/>
          <w:b/>
        </w:rPr>
        <w:t xml:space="preserve">CAGR a 2 años</w:t>
      </w:r>
      <w:r>
        <w:t xml:space="preserve">: 29,1 %.</w:t>
      </w:r>
      <w:r>
        <w:t xml:space="preserve"> </w:t>
      </w:r>
      <w:r>
        <w:rPr>
          <w:bCs/>
          <w:b/>
        </w:rPr>
        <w:t xml:space="preserve">Aceleración</w:t>
      </w:r>
      <w:r>
        <w:t xml:space="preserve">: el 2T creció un 61,5 % frente a una media del 16,3 % en los cuatro anteriores,</w:t>
      </w:r>
      <w:r>
        <w:t xml:space="preserve"> </w:t>
      </w:r>
      <w:r>
        <w:rPr>
          <w:bCs/>
          <w:b/>
        </w:rPr>
        <w:t xml:space="preserve">+45,2 puntos</w:t>
      </w:r>
      <w:r>
        <w:t xml:space="preserve">. Ojo: es un efecto de base. Hace un año el negocio estuvo plano (−2 % a +5 %) entre el fin de Trumbull y el arranque de las centrales de Texas. Es un negocio a saltos, no una aceleración de fondo.</w:t>
      </w:r>
    </w:p>
    <w:p>
      <w:pPr>
        <w:numPr>
          <w:ilvl w:val="0"/>
          <w:numId w:val="1003"/>
        </w:numPr>
        <w:pStyle w:val="Compact"/>
      </w:pPr>
      <w:r>
        <w:rPr>
          <w:bCs/>
          <w:b/>
        </w:rPr>
        <w:t xml:space="preserve">Guía</w:t>
      </w:r>
      <w:r>
        <w:t xml:space="preserve">:</w:t>
      </w:r>
      <w:r>
        <w:t xml:space="preserve"> </w:t>
      </w:r>
      <w:r>
        <w:rPr>
          <w:bCs/>
          <w:b/>
        </w:rPr>
        <w:t xml:space="preserve">no hay guía numérica.</w:t>
      </w:r>
      <w:r>
        <w:t xml:space="preserve"> </w:t>
      </w:r>
      <w:r>
        <w:t xml:space="preserve">La dirección solo dice que las ventas del ejercicio serán «significativamente superiores» a 944,6 M, que el 3T puede crecer poco frente al 2T y que Industrial bajará [7]. Por eso v9 no recorta la proyección (sale una alerta).</w:t>
      </w:r>
    </w:p>
    <w:p>
      <w:pPr>
        <w:numPr>
          <w:ilvl w:val="0"/>
          <w:numId w:val="1003"/>
        </w:numPr>
        <w:pStyle w:val="Compact"/>
      </w:pPr>
      <w:r>
        <w:rPr>
          <w:bCs/>
          <w:b/>
        </w:rPr>
        <w:t xml:space="preserve">Cartera de pedidos (lo clave)</w:t>
      </w:r>
      <w:r>
        <w:t xml:space="preserve">: 2.929 M en enero, 2.767 M en abril y 2.518 M en julio. En el 2T entraron más de 260 M en ampliaciones y contratos pequeños, pero ninguna central [1][7]. Con el 48 % de lo pendiente a 12 meses, la cartera ya firmada cubre unos 1.210 M de los 12 meses siguientes. El consenso espera unos 1.540 M, así que harán falta proyectos nuevos o ampliaciones para cumplirlo.</w:t>
      </w:r>
    </w:p>
    <w:p>
      <w:pPr>
        <w:numPr>
          <w:ilvl w:val="0"/>
          <w:numId w:val="1003"/>
        </w:numPr>
        <w:pStyle w:val="Compact"/>
      </w:pPr>
      <w:r>
        <w:rPr>
          <w:bCs/>
          <w:b/>
        </w:rPr>
        <w:t xml:space="preserve">Compras</w:t>
      </w:r>
      <w:r>
        <w:t xml:space="preserve">: solo ValCor (8,3 M, julio de 2026): no llega a un punto de crecimiento. No hace falta separar el crecimiento orgánico ni correr v12.</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w:t>
      </w:r>
      <w:r>
        <w:t xml:space="preserve">: unos</w:t>
      </w:r>
      <w:r>
        <w:t xml:space="preserve"> </w:t>
      </w:r>
      <w:r>
        <w:rPr>
          <w:bCs/>
          <w:b/>
        </w:rPr>
        <w:t xml:space="preserve">25.000 M USD al año</w:t>
      </w:r>
      <w:r>
        <w:t xml:space="preserve">, estimación propia de memoria. Sale de unos 20 GW de centrales de gas nuevas al año en EE. UU. hacia 2028, a 1.000-1.250 USD por kW de construcción, más Irlanda, Reino Unido e industria.</w:t>
      </w:r>
      <w:r>
        <w:t xml:space="preserve"> </w:t>
      </w:r>
      <w:r>
        <w:rPr>
          <w:bCs/>
          <w:b/>
        </w:rPr>
        <w:t xml:space="preserve">Penetración: 4,8 %.</w:t>
      </w:r>
      <w:r>
        <w:t xml:space="preserve"> </w:t>
      </w:r>
      <w:r>
        <w:t xml:space="preserve">El mercado ha crecido de golpe: las eléctricas y los grandes del sector (NextEra, Vistra, NRG, Entergy) piden turbinas hasta 2030 y los fabricantes (GE Vernova, Siemens Energy, Mitsubishi) van con lista de espera.</w:t>
      </w:r>
    </w:p>
    <w:p>
      <w:pPr>
        <w:numPr>
          <w:ilvl w:val="0"/>
          <w:numId w:val="1004"/>
        </w:numPr>
        <w:pStyle w:val="Compact"/>
      </w:pPr>
      <w:r>
        <w:rPr>
          <w:bCs/>
          <w:b/>
        </w:rPr>
        <w:t xml:space="preserve">Qué mueve la demanda</w:t>
      </w:r>
      <w:r>
        <w:t xml:space="preserve">: más consumo eléctrico por los centros de datos, la vuelta de la industria y la electrificación, con el gas como fuente firme. El 10-Q avisa de que las moratorias locales a los centros de datos podrían frenar el ritmo [2].</w:t>
      </w:r>
    </w:p>
    <w:p>
      <w:pPr>
        <w:numPr>
          <w:ilvl w:val="0"/>
          <w:numId w:val="1004"/>
        </w:numPr>
        <w:pStyle w:val="Compact"/>
      </w:pPr>
      <w:r>
        <w:rPr>
          <w:bCs/>
          <w:b/>
        </w:rPr>
        <w:t xml:space="preserve">Rivales</w:t>
      </w:r>
      <w:r>
        <w:t xml:space="preserve">: Kiewit, Bechtel, Zachry, Burns &amp; McDonnell, Black &amp; Veatch y Fluor (de memoria). Entre las cotizadas, nadie hace exactamente lo mismo: Quanta y MasTec construyen redes y algo de generación; Comfort Systems y EMCOR, instalaciones de edificios.</w:t>
      </w:r>
    </w:p>
    <w:p>
      <w:pPr>
        <w:numPr>
          <w:ilvl w:val="0"/>
          <w:numId w:val="1004"/>
        </w:numPr>
        <w:pStyle w:val="Compact"/>
      </w:pPr>
      <w:r>
        <w:rPr>
          <w:bCs/>
          <w:b/>
        </w:rPr>
        <w:t xml:space="preserve">Por qué gana</w:t>
      </w:r>
      <w:r>
        <w:t xml:space="preserve">: historial de ejecución (Trumbull y otras), balance sin deuda para dar avales y selección de proyectos («el proyecto, el socio y el sitio adecuados»). Ahora puede cobrar más, porque hay más demanda que contratistas.</w:t>
      </w:r>
    </w:p>
    <w:p>
      <w:pPr>
        <w:numPr>
          <w:ilvl w:val="0"/>
          <w:numId w:val="1004"/>
        </w:numPr>
        <w:pStyle w:val="Compact"/>
      </w:pPr>
      <w:r>
        <w:rPr>
          <w:bCs/>
          <w:b/>
        </w:rPr>
        <w:t xml:space="preserve">Concentración</w:t>
      </w:r>
      <w:r>
        <w:t xml:space="preserve">: en el semestre, cuatro clientes de Power suman el 15 %, 14 %, 11 % y 11 % de las ventas: los dos mayores el 29 % y los tres mayores el 40 % [2]. Hace un año, dos clientes eran el 50 %. Hoy no hay alerta (los listones son 40 % y 60 %), pero es alta por naturaleza: cada central es un cliente.</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Mixtas. El beneficio por acción del ejercicio en curso sube (12,24 a 13,27 USD en 90 días, por el trimestre ya publicado), pero el del siguiente baja (16,25 a 16,11). Goldman recorta su objetivo de 739 a 565 USD y J.P. Morgan de 800 a 785; Piper Sandler empieza con Vender y 273 USD.</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388,10 USD frente a 519,2 USD: un 25 % por debajo.</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−35,1 % frente a +13,4 % del S&amp;P 500.</w:t>
            </w:r>
          </w:p>
        </w:tc>
        <w:tc>
          <w:tcPr/>
          <w:p>
            <w:pPr>
              <w:pStyle w:val="Compact"/>
              <w:jc w:val="left"/>
            </w:pPr>
            <w:r>
              <w:t xml:space="preserve">[4]</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 (por la letra)</w:t>
            </w:r>
          </w:p>
        </w:tc>
        <w:tc>
          <w:tcPr/>
          <w:p>
            <w:pPr>
              <w:pStyle w:val="Compact"/>
              <w:jc w:val="left"/>
            </w:pPr>
            <w:r>
              <w:t xml:space="preserve">EV/EBITDA NTM de unas 17,7 veces en el mínimo de 12 meses (oct-2025) a 22,0 veces hoy, un 24 % más. Pero viene de 48 veces en junio: es lo que queda tras desinflarse, no un giro al alza.</w:t>
            </w:r>
          </w:p>
        </w:tc>
        <w:tc>
          <w:tcPr/>
          <w:p>
            <w:pPr>
              <w:pStyle w:val="Compact"/>
              <w:jc w:val="left"/>
            </w:pPr>
            <w:r>
              <w:t xml:space="preserve">[4][9]</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Margen operativo del 2T del 14,8 %, 2,2 puntos más que hace un año; EBITDA ajustado, 2,0 puntos más. Mejora, pero lejos de 5 puntos.</w:t>
            </w:r>
          </w:p>
        </w:tc>
        <w:tc>
          <w:tcPr/>
          <w:p>
            <w:pPr>
              <w:pStyle w:val="Compact"/>
              <w:jc w:val="left"/>
            </w:pPr>
            <w:r>
              <w:t xml:space="preserve">[1]</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−51 % desde el máximo, −41 % en 90 días, inicio con Vender de Piper y prensa centrada en la caída de la cartera y en las ventas de los consejeros.</w:t>
            </w:r>
          </w:p>
        </w:tc>
        <w:tc>
          <w:tcPr/>
          <w:p>
            <w:pPr>
              <w:pStyle w:val="Compact"/>
              <w:jc w:val="left"/>
            </w:pPr>
            <w:r>
              <w:t xml:space="preserve">[4][10]</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Ninguna compra en un año. Venden el presidente (100.000 acciones en junio, unos 70 M USD), el consejero delegado, el director financiero, el jefe de Gemma y casi todo el consejo.</w:t>
            </w:r>
          </w:p>
        </w:tc>
        <w:tc>
          <w:tcPr/>
          <w:p>
            <w:pPr>
              <w:pStyle w:val="Compact"/>
              <w:jc w:val="left"/>
            </w:pPr>
            <w:r>
              <w:t xml:space="preserve">[3]</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Centrales nuevas esperadas en 7 a 15 meses, resultados del 3T a principios de diciembre (fecha estimada), fábrica de Carolina del Norte para centros de datos y dividendo +40 %.</w:t>
            </w:r>
          </w:p>
        </w:tc>
        <w:tc>
          <w:tcPr/>
          <w:p>
            <w:pPr>
              <w:pStyle w:val="Compact"/>
              <w:jc w:val="left"/>
            </w:pPr>
            <w:r>
              <w:t xml:space="preserve">[1][7][8]</w:t>
            </w:r>
          </w:p>
        </w:tc>
      </w:tr>
    </w:tbl>
    <w:p>
      <w:pPr>
        <w:pStyle w:val="BodyText"/>
      </w:pPr>
      <w:r>
        <w:rPr>
          <w:bCs/>
          <w:b/>
        </w:rPr>
        <w:t xml:space="preserve">Euforia (veto del método): no.</w:t>
      </w:r>
      <w:r>
        <w:t xml:space="preserve"> </w:t>
      </w:r>
      <w:r>
        <w:t xml:space="preserve">Sube un</w:t>
      </w:r>
      <w:r>
        <w:t xml:space="preserve"> </w:t>
      </w:r>
      <w:r>
        <w:rPr>
          <w:bCs/>
          <w:b/>
        </w:rPr>
        <w:t xml:space="preserve">31,7 %</w:t>
      </w:r>
      <w:r>
        <w:t xml:space="preserve"> </w:t>
      </w:r>
      <w:r>
        <w:t xml:space="preserve">en 12 meses (de 294,72 a 388,10 USD), lejos del 150 %, con un EV/beneficio bruto NTM de</w:t>
      </w:r>
      <w:r>
        <w:t xml:space="preserve"> </w:t>
      </w:r>
      <w:r>
        <w:rPr>
          <w:bCs/>
          <w:b/>
        </w:rPr>
        <w:t xml:space="preserve">15,7x</w:t>
      </w:r>
      <w:r>
        <w:t xml:space="preserve">.</w:t>
      </w:r>
      <w:r>
        <w:t xml:space="preserve"> </w:t>
      </w:r>
      <w:r>
        <w:rPr>
          <w:bCs/>
          <w:b/>
        </w:rPr>
        <w:t xml:space="preserve">Pero la hubo:</w:t>
      </w:r>
      <w:r>
        <w:t xml:space="preserve"> </w:t>
      </w:r>
      <w:r>
        <w:t xml:space="preserve">en el máximo del 30-jun (798,55 USD) la subida de 12 meses era de</w:t>
      </w:r>
      <w:r>
        <w:t xml:space="preserve"> </w:t>
      </w:r>
      <w:r>
        <w:rPr>
          <w:bCs/>
          <w:b/>
        </w:rPr>
        <w:t xml:space="preserve">+262 %</w:t>
      </w:r>
      <w:r>
        <w:t xml:space="preserve"> </w:t>
      </w:r>
      <w:r>
        <w:t xml:space="preserve">(desde 220,48 USD el 30-jun-2025). El EV/beneficio bruto NTM rondaba entonces las 34 veces (estimación propia: EV de unos 10.900 M sobre unos 320 M de beneficio bruto NTM), por encima de 20. El veto habría saltado. Desde entonces la acción ha caído a la mitad: es justo la «reversión del sentimiento» que el método avisa. Hoy la señal no sale de la euforia, sino de la valoración.</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 </w:t>
      </w:r>
      <w:r>
        <w:t xml:space="preserve">de 12 meses:</w:t>
      </w:r>
      <w:r>
        <w:t xml:space="preserve"> </w:t>
      </w:r>
      <w:r>
        <w:rPr>
          <w:bCs/>
          <w:b/>
        </w:rPr>
        <w:t xml:space="preserve">20,9 %</w:t>
      </w:r>
      <w:r>
        <w:t xml:space="preserve">, alto para un contratista. Quanta tiene un 15,5 % y Comfort Systems un 25,7 %, pero Comfort es instalación de edificios. Power va al 22 % en el 2T; Industrial cae al 7,3 % por dos obras con sobrecostes [1][7].</w:t>
      </w:r>
    </w:p>
    <w:p>
      <w:pPr>
        <w:numPr>
          <w:ilvl w:val="0"/>
          <w:numId w:val="1005"/>
        </w:numPr>
        <w:pStyle w:val="Compact"/>
      </w:pPr>
      <w:r>
        <w:rPr>
          <w:bCs/>
          <w:b/>
        </w:rPr>
        <w:t xml:space="preserve">Margen operativo</w:t>
      </w:r>
      <w:r>
        <w:t xml:space="preserve">: 14,8 % en el 2T y 15,4 % en 12 meses.</w:t>
      </w:r>
      <w:r>
        <w:t xml:space="preserve"> </w:t>
      </w:r>
      <w:r>
        <w:rPr>
          <w:bCs/>
          <w:b/>
        </w:rPr>
        <w:t xml:space="preserve">EBITDA operativo</w:t>
      </w:r>
      <w:r>
        <w:t xml:space="preserve">, sin intereses: unos 16 % en el semestre. El de la empresa, con intereses, es del 18,7 %.</w:t>
      </w:r>
    </w:p>
    <w:p>
      <w:pPr>
        <w:numPr>
          <w:ilvl w:val="0"/>
          <w:numId w:val="1005"/>
        </w:numPr>
        <w:pStyle w:val="Compact"/>
      </w:pPr>
      <w:r>
        <w:rPr>
          <w:bCs/>
          <w:b/>
        </w:rPr>
        <w:t xml:space="preserve">FCF de 12 meses</w:t>
      </w:r>
      <w:r>
        <w:t xml:space="preserve">: unos 546 M USD, el 46 % de las ventas, pero</w:t>
      </w:r>
      <w:r>
        <w:t xml:space="preserve"> </w:t>
      </w:r>
      <w:r>
        <w:rPr>
          <w:bCs/>
          <w:b/>
        </w:rPr>
        <w:t xml:space="preserve">inflado por los anticipos de clientes</w:t>
      </w:r>
      <w:r>
        <w:t xml:space="preserve">: los pasivos de contratos pasan de 514 a 627 M en el semestre. No se usa ese dato. Se usa un margen normalizado del</w:t>
      </w:r>
      <w:r>
        <w:t xml:space="preserve"> </w:t>
      </w:r>
      <w:r>
        <w:rPr>
          <w:bCs/>
          <w:b/>
        </w:rPr>
        <w:t xml:space="preserve">15 %</w:t>
      </w:r>
      <w:r>
        <w:t xml:space="preserve">, igual al beneficio neto de 12 meses (179 M): en tres años el flujo operativo acumulado (700 M) casi triplica el beneficio, y esa diferencia se devolverá cuando las obras terminen.</w:t>
      </w:r>
    </w:p>
    <w:p>
      <w:pPr>
        <w:numPr>
          <w:ilvl w:val="0"/>
          <w:numId w:val="1005"/>
        </w:numPr>
        <w:pStyle w:val="Compact"/>
      </w:pPr>
      <w:r>
        <w:rPr>
          <w:bCs/>
          <w:b/>
        </w:rPr>
        <w:t xml:space="preserve">Regla del 40</w:t>
      </w:r>
      <w:r>
        <w:t xml:space="preserve">: 29,0 + 15,0 =</w:t>
      </w:r>
      <w:r>
        <w:t xml:space="preserve"> </w:t>
      </w:r>
      <w:r>
        <w:rPr>
          <w:bCs/>
          <w:b/>
        </w:rPr>
        <w:t xml:space="preserve">44</w:t>
      </w:r>
      <w:r>
        <w:t xml:space="preserve">.</w:t>
      </w:r>
    </w:p>
    <w:p>
      <w:pPr>
        <w:numPr>
          <w:ilvl w:val="0"/>
          <w:numId w:val="1005"/>
        </w:numPr>
        <w:pStyle w:val="Compact"/>
      </w:pPr>
      <w:r>
        <w:rPr>
          <w:bCs/>
          <w:b/>
        </w:rPr>
        <w:t xml:space="preserve">Camino a la rentabilidad</w:t>
      </w:r>
      <w:r>
        <w:t xml:space="preserve">: no aplica: FCF positivo y creciente.</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e inversiones</w:t>
      </w:r>
      <w:r>
        <w:t xml:space="preserve">: 1.028,4 M USD (364,5 M de caja y 664,0 M en letras y bonos a corto).</w:t>
      </w:r>
      <w:r>
        <w:t xml:space="preserve"> </w:t>
      </w:r>
      <w:r>
        <w:rPr>
          <w:bCs/>
          <w:b/>
        </w:rPr>
        <w:t xml:space="preserve">Sin deuda.</w:t>
      </w:r>
      <w:r>
        <w:t xml:space="preserve"> </w:t>
      </w:r>
      <w:r>
        <w:rPr>
          <w:bCs/>
          <w:b/>
        </w:rPr>
        <w:t xml:space="preserve">Liquidez neta</w:t>
      </w:r>
      <w:r>
        <w:t xml:space="preserve">, activo corriente menos pasivo corriente:</w:t>
      </w:r>
      <w:r>
        <w:t xml:space="preserve"> </w:t>
      </w:r>
      <w:r>
        <w:rPr>
          <w:bCs/>
          <w:b/>
        </w:rPr>
        <w:t xml:space="preserve">440,4 M</w:t>
      </w:r>
      <w:r>
        <w:t xml:space="preserve">, que es la cifra que usa la valoración [1].</w:t>
      </w:r>
    </w:p>
    <w:p>
      <w:pPr>
        <w:numPr>
          <w:ilvl w:val="0"/>
          <w:numId w:val="1006"/>
        </w:numPr>
        <w:pStyle w:val="Compact"/>
      </w:pPr>
      <w:r>
        <w:rPr>
          <w:bCs/>
          <w:b/>
        </w:rPr>
        <w:t xml:space="preserve">Por qué no se cuenta toda la caja</w:t>
      </w:r>
      <w:r>
        <w:t xml:space="preserve">: 627 M son anticipos de clientes por obra que aún hay que hacer. El EBITDA futuro de esas obras ya está en el EBITDA NTM, y sus costes se pagarán con esa caja. Si se sumara toda, se contaría dos veces. Además, los cerca de 40 M anuales de intereses se quitan del EBITDA.</w:t>
      </w:r>
    </w:p>
    <w:p>
      <w:pPr>
        <w:numPr>
          <w:ilvl w:val="0"/>
          <w:numId w:val="1006"/>
        </w:numPr>
        <w:pStyle w:val="Compact"/>
      </w:pPr>
      <w:r>
        <w:rPr>
          <w:bCs/>
          <w:b/>
        </w:rPr>
        <w:t xml:space="preserve">Dilución</w:t>
      </w:r>
      <w:r>
        <w:t xml:space="preserve">: acciones diluidas de 14,131 a 14,164 M en un año, un</w:t>
      </w:r>
      <w:r>
        <w:t xml:space="preserve"> </w:t>
      </w:r>
      <w:r>
        <w:rPr>
          <w:bCs/>
          <w:b/>
        </w:rPr>
        <w:t xml:space="preserve">+0,2 %</w:t>
      </w:r>
      <w:r>
        <w:t xml:space="preserve">. Recompra pequeña (9,6 M en el semestre) y dividendo de 2,80 USD al año (0,7 %).</w:t>
      </w:r>
    </w:p>
    <w:p>
      <w:pPr>
        <w:numPr>
          <w:ilvl w:val="0"/>
          <w:numId w:val="1006"/>
        </w:numPr>
        <w:pStyle w:val="Compact"/>
      </w:pPr>
      <w:r>
        <w:rPr>
          <w:bCs/>
          <w:b/>
        </w:rPr>
        <w:t xml:space="preserve">Pagos en acciones</w:t>
      </w:r>
      <w:r>
        <w:t xml:space="preserve">: unos 8,9 M en 12 meses, el</w:t>
      </w:r>
      <w:r>
        <w:t xml:space="preserve"> </w:t>
      </w:r>
      <w:r>
        <w:rPr>
          <w:bCs/>
          <w:b/>
        </w:rPr>
        <w:t xml:space="preserve">0,75 % de las ventas</w:t>
      </w:r>
      <w:r>
        <w:t xml:space="preserve">.</w:t>
      </w:r>
    </w:p>
    <w:p>
      <w:pPr>
        <w:numPr>
          <w:ilvl w:val="0"/>
          <w:numId w:val="1006"/>
        </w:numPr>
        <w:pStyle w:val="Compact"/>
      </w:pPr>
      <w:r>
        <w:rPr>
          <w:bCs/>
          <w:b/>
        </w:rPr>
        <w:t xml:space="preserve">Pista</w:t>
      </w:r>
      <w:r>
        <w:t xml:space="preserve">: ilimitada (FCF positivo).</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4/5</w:t>
      </w:r>
      <w:r>
        <w:t xml:space="preserve">: ha terminado sus centrales grandes a tiempo y con margen (Trumbull y otras; Guernsey, de memoria). Ha subido su margen bruto del 14 % al 20 % en tres años. Pero en Industrial hay sobrecostes en dos obras y la cartera ha bajado dos trimestres seguidos. No da guía, así que no se puede medir si la cumple.</w:t>
      </w:r>
    </w:p>
    <w:p>
      <w:pPr>
        <w:numPr>
          <w:ilvl w:val="0"/>
          <w:numId w:val="1007"/>
        </w:numPr>
        <w:pStyle w:val="Compact"/>
      </w:pPr>
      <w:r>
        <w:rPr>
          <w:bCs/>
          <w:b/>
        </w:rPr>
        <w:t xml:space="preserve">Dirección 3/5</w:t>
      </w:r>
      <w:r>
        <w:t xml:space="preserve">: David Watson es el consejero delegado; sustituyó al fundador, Rainer Bosselmann (de memoria). La asignación de capital es sensata: sin deuda, dividendo creciente, recompras y selección de proyectos. Resta por las</w:t>
      </w:r>
      <w:r>
        <w:t xml:space="preserve"> </w:t>
      </w:r>
      <w:r>
        <w:rPr>
          <w:bCs/>
          <w:b/>
        </w:rPr>
        <w:t xml:space="preserve">ventas de casi todo el consejo cerca del máximo</w:t>
      </w:r>
      <w:r>
        <w:t xml:space="preserve">: el presidente, unos 70 M USD en junio; el consejero delegado, unos 20 M USD en abril y junio. Los consejeros solo tienen el 4 % de la empresa.</w:t>
      </w:r>
    </w:p>
    <w:bookmarkEnd w:id="27"/>
    <w:bookmarkStart w:id="28" w:name="valoración"/>
    <w:p>
      <w:pPr>
        <w:pStyle w:val="Heading2"/>
      </w:pPr>
      <w:r>
        <w:t xml:space="preserve">9. Valoración</w:t>
      </w:r>
    </w:p>
    <w:p>
      <w:pPr>
        <w:pStyle w:val="FirstParagraph"/>
      </w:pPr>
      <w:r>
        <w:t xml:space="preserve">Múltiplo:</w:t>
      </w:r>
      <w:r>
        <w:t xml:space="preserve"> </w:t>
      </w:r>
      <w:r>
        <w:rPr>
          <w:bCs/>
          <w:b/>
        </w:rPr>
        <w:t xml:space="preserve">EV/EBITDA operativo de los 12 meses siguientes</w:t>
      </w:r>
      <w:r>
        <w:t xml:space="preserve">, sin ingresos financieros,</w:t>
      </w:r>
      <w:r>
        <w:t xml:space="preserve"> </w:t>
      </w:r>
      <w:r>
        <w:rPr>
          <w:bCs/>
          <w:b/>
        </w:rPr>
        <w:t xml:space="preserve">22,0x</w:t>
      </w:r>
      <w:r>
        <w:t xml:space="preserve">. EV de 5.055 M USD: 388,10 × 14,16 M de acciones − 440 M de liquidez neta. EBITDA NTM de unos 230 M, deducido del beneficio por acción del consenso [9]. Mediana de 3 años, unas 14,9x; mínimo de 4,1x a principios de 2024, cuando cotizaba casi al valor de su caja. Las dos cifras están reconstruidas y son algo bajas, porque usan el EBITDA que se conoció después. Comparables:</w:t>
      </w:r>
      <w:r>
        <w:t xml:space="preserve"> </w:t>
      </w:r>
      <w:r>
        <w:rPr>
          <w:bCs/>
          <w:b/>
        </w:rPr>
        <w:t xml:space="preserve">17x NTM</w:t>
      </w:r>
      <w:r>
        <w:t xml:space="preserve">. Quanta, 25,0x; Comfort Systems, 19,8x; Sterling, unas 18x; IES, unas 17x; MasTec, unas 16x; EMCOR, unas 14,5x; Primoris, unas 12x (aproximados o de memoria).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Escenario</w:t>
            </w:r>
          </w:p>
        </w:tc>
        <w:tc>
          <w:tcPr/>
          <w:p>
            <w:pPr>
              <w:pStyle w:val="Compact"/>
              <w:jc w:val="left"/>
            </w:pPr>
            <w:r>
              <w:t xml:space="preserve">Prob.</w:t>
            </w:r>
          </w:p>
        </w:tc>
        <w:tc>
          <w:tcPr/>
          <w:p>
            <w:pPr>
              <w:pStyle w:val="Compact"/>
              <w:jc w:val="left"/>
            </w:pPr>
            <w:r>
              <w:t xml:space="preserve">Ventas a 2 años (M USD)</w:t>
            </w:r>
          </w:p>
        </w:tc>
        <w:tc>
          <w:tcPr/>
          <w:p>
            <w:pPr>
              <w:pStyle w:val="Compact"/>
              <w:jc w:val="left"/>
            </w:pPr>
            <w:r>
              <w:t xml:space="preserve">Mecánica (v9)</w:t>
            </w:r>
          </w:p>
        </w:tc>
        <w:tc>
          <w:tcPr/>
          <w:p>
            <w:pPr>
              <w:pStyle w:val="Compact"/>
              <w:jc w:val="left"/>
            </w:pPr>
            <w:r>
              <w:t xml:space="preserve">EV/EBITDA</w:t>
            </w:r>
          </w:p>
        </w:tc>
        <w:tc>
          <w:tcPr/>
          <w:p>
            <w:pPr>
              <w:pStyle w:val="Compact"/>
              <w:jc w:val="left"/>
            </w:pPr>
            <w:r>
              <w:t xml:space="preserve">Precio</w:t>
            </w:r>
          </w:p>
        </w:tc>
        <w:tc>
          <w:tcPr/>
          <w:p>
            <w:pPr>
              <w:pStyle w:val="Compact"/>
              <w:jc w:val="left"/>
            </w:pPr>
            <w:r>
              <w:t xml:space="preserve">Rentabilidad</w:t>
            </w:r>
          </w:p>
        </w:tc>
      </w:tr>
      <w:tr>
        <w:tc>
          <w:tcPr/>
          <w:p>
            <w:pPr>
              <w:pStyle w:val="Compact"/>
              <w:jc w:val="left"/>
            </w:pPr>
            <w:r>
              <w:t xml:space="preserve">Bajista</w:t>
            </w:r>
          </w:p>
        </w:tc>
        <w:tc>
          <w:tcPr/>
          <w:p>
            <w:pPr>
              <w:pStyle w:val="Compact"/>
              <w:jc w:val="left"/>
            </w:pPr>
            <w:r>
              <w:t xml:space="preserve">25 %</w:t>
            </w:r>
          </w:p>
        </w:tc>
        <w:tc>
          <w:tcPr/>
          <w:p>
            <w:pPr>
              <w:pStyle w:val="Compact"/>
              <w:jc w:val="left"/>
            </w:pPr>
            <w:r>
              <w:t xml:space="preserve">1.200</w:t>
            </w:r>
          </w:p>
        </w:tc>
        <w:tc>
          <w:tcPr/>
          <w:p>
            <w:pPr>
              <w:pStyle w:val="Compact"/>
              <w:jc w:val="left"/>
            </w:pPr>
            <w:r>
              <w:t xml:space="preserve">1.632</w:t>
            </w:r>
          </w:p>
        </w:tc>
        <w:tc>
          <w:tcPr/>
          <w:p>
            <w:pPr>
              <w:pStyle w:val="Compact"/>
              <w:jc w:val="left"/>
            </w:pPr>
            <w:r>
              <w:t xml:space="preserve">9,2x</w:t>
            </w:r>
          </w:p>
        </w:tc>
        <w:tc>
          <w:tcPr/>
          <w:p>
            <w:pPr>
              <w:pStyle w:val="Compact"/>
              <w:jc w:val="left"/>
            </w:pPr>
            <w:r>
              <w:t xml:space="preserve">147,8</w:t>
            </w:r>
          </w:p>
        </w:tc>
        <w:tc>
          <w:tcPr/>
          <w:p>
            <w:pPr>
              <w:pStyle w:val="Compact"/>
              <w:jc w:val="left"/>
            </w:pPr>
            <w:r>
              <w:t xml:space="preserve">−61,2 %</w:t>
            </w:r>
          </w:p>
        </w:tc>
      </w:tr>
      <w:tr>
        <w:tc>
          <w:tcPr/>
          <w:p>
            <w:pPr>
              <w:pStyle w:val="Compact"/>
              <w:jc w:val="left"/>
            </w:pPr>
            <w:r>
              <w:t xml:space="preserve">Base</w:t>
            </w:r>
          </w:p>
        </w:tc>
        <w:tc>
          <w:tcPr/>
          <w:p>
            <w:pPr>
              <w:pStyle w:val="Compact"/>
              <w:jc w:val="left"/>
            </w:pPr>
            <w:r>
              <w:t xml:space="preserve">50 %</w:t>
            </w:r>
          </w:p>
        </w:tc>
        <w:tc>
          <w:tcPr/>
          <w:p>
            <w:pPr>
              <w:pStyle w:val="Compact"/>
              <w:jc w:val="left"/>
            </w:pPr>
            <w:r>
              <w:t xml:space="preserve">1.700</w:t>
            </w:r>
          </w:p>
        </w:tc>
        <w:tc>
          <w:tcPr/>
          <w:p>
            <w:pPr>
              <w:pStyle w:val="Compact"/>
              <w:jc w:val="left"/>
            </w:pPr>
            <w:r>
              <w:t xml:space="preserve">2.145</w:t>
            </w:r>
          </w:p>
        </w:tc>
        <w:tc>
          <w:tcPr/>
          <w:p>
            <w:pPr>
              <w:pStyle w:val="Compact"/>
              <w:jc w:val="left"/>
            </w:pPr>
            <w:r>
              <w:t xml:space="preserve">15,4x</w:t>
            </w:r>
          </w:p>
        </w:tc>
        <w:tc>
          <w:tcPr/>
          <w:p>
            <w:pPr>
              <w:pStyle w:val="Compact"/>
              <w:jc w:val="left"/>
            </w:pPr>
            <w:r>
              <w:t xml:space="preserve">306,8</w:t>
            </w:r>
          </w:p>
        </w:tc>
        <w:tc>
          <w:tcPr/>
          <w:p>
            <w:pPr>
              <w:pStyle w:val="Compact"/>
              <w:jc w:val="left"/>
            </w:pPr>
            <w:r>
              <w:t xml:space="preserve">−20,2 %</w:t>
            </w:r>
          </w:p>
        </w:tc>
      </w:tr>
      <w:tr>
        <w:tc>
          <w:tcPr/>
          <w:p>
            <w:pPr>
              <w:pStyle w:val="Compact"/>
              <w:jc w:val="left"/>
            </w:pPr>
            <w:r>
              <w:t xml:space="preserve">Alcista</w:t>
            </w:r>
          </w:p>
        </w:tc>
        <w:tc>
          <w:tcPr/>
          <w:p>
            <w:pPr>
              <w:pStyle w:val="Compact"/>
              <w:jc w:val="left"/>
            </w:pPr>
            <w:r>
              <w:t xml:space="preserve">25 %</w:t>
            </w:r>
          </w:p>
        </w:tc>
        <w:tc>
          <w:tcPr/>
          <w:p>
            <w:pPr>
              <w:pStyle w:val="Compact"/>
              <w:jc w:val="left"/>
            </w:pPr>
            <w:r>
              <w:t xml:space="preserve">2.000</w:t>
            </w:r>
          </w:p>
        </w:tc>
        <w:tc>
          <w:tcPr/>
          <w:p>
            <w:pPr>
              <w:pStyle w:val="Compact"/>
              <w:jc w:val="left"/>
            </w:pPr>
            <w:r>
              <w:t xml:space="preserve">2.370</w:t>
            </w:r>
          </w:p>
        </w:tc>
        <w:tc>
          <w:tcPr/>
          <w:p>
            <w:pPr>
              <w:pStyle w:val="Compact"/>
              <w:jc w:val="left"/>
            </w:pPr>
            <w:r>
              <w:t xml:space="preserve">20,0x</w:t>
            </w:r>
          </w:p>
        </w:tc>
        <w:tc>
          <w:tcPr/>
          <w:p>
            <w:pPr>
              <w:pStyle w:val="Compact"/>
              <w:jc w:val="left"/>
            </w:pPr>
            <w:r>
              <w:t xml:space="preserve">452,8</w:t>
            </w:r>
          </w:p>
        </w:tc>
        <w:tc>
          <w:tcPr/>
          <w:p>
            <w:pPr>
              <w:pStyle w:val="Compact"/>
              <w:jc w:val="left"/>
            </w:pPr>
            <w:r>
              <w:t xml:space="preserve">+17,4 %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303,6</w:t>
            </w:r>
          </w:p>
        </w:tc>
        <w:tc>
          <w:tcPr/>
          <w:p>
            <w:pPr>
              <w:pStyle w:val="Compact"/>
              <w:jc w:val="left"/>
            </w:pPr>
            <w:r>
              <w:rPr>
                <w:bCs/>
                <w:b/>
              </w:rPr>
              <w:t xml:space="preserve">−21,1 %</w:t>
            </w:r>
          </w:p>
        </w:tc>
      </w:tr>
    </w:tbl>
    <w:p>
      <w:pPr>
        <w:pStyle w:val="BodyText"/>
      </w:pPr>
      <w:r>
        <w:t xml:space="preserve">Cómo se calcula con v11: en cada escenario se toma la menor entre la proyección mecánica y la del informe. La partida mecánica es del 37,2 %, sin recorte por guía porque no la hay. El múltiplo base se rebaja un 30 % (el tope), porque el crecimiento pasa del 29,4 % de los 12 meses siguientes al 10,6 % del año objetivo. Margen EBITDA implícito: 15 %. Asimetría: 0,3.</w:t>
      </w:r>
    </w:p>
    <w:p>
      <w:pPr>
        <w:numPr>
          <w:ilvl w:val="0"/>
          <w:numId w:val="1008"/>
        </w:numPr>
        <w:pStyle w:val="Compact"/>
      </w:pPr>
      <w:r>
        <w:rPr>
          <w:bCs/>
          <w:b/>
        </w:rPr>
        <w:t xml:space="preserve">Ventas del informe</w:t>
      </w:r>
      <w:r>
        <w:t xml:space="preserve">, para la ventana de 12 meses a julio de 2028.</w:t>
      </w:r>
      <w:r>
        <w:t xml:space="preserve"> </w:t>
      </w:r>
      <w:r>
        <w:rPr>
          <w:bCs/>
          <w:b/>
        </w:rPr>
        <w:t xml:space="preserve">Base: 1.700 M</w:t>
      </w:r>
      <w:r>
        <w:t xml:space="preserve">, casi igual que el consenso (1.670 M = media de los ejercicios a enero de 2028, 1.690 M con 6 analistas, y enero de 2029, 1.650 M con 4 analistas en agosto).</w:t>
      </w:r>
      <w:r>
        <w:t xml:space="preserve"> </w:t>
      </w:r>
      <w:r>
        <w:rPr>
          <w:bCs/>
          <w:b/>
        </w:rPr>
        <w:t xml:space="preserve">Bajista: 1.200 M</w:t>
      </w:r>
      <w:r>
        <w:t xml:space="preserve">: no entra ninguna central nueva en 2027, las de Texas se acaban en 2028 y las ventas vuelven al nivel de hoy.</w:t>
      </w:r>
      <w:r>
        <w:t xml:space="preserve"> </w:t>
      </w:r>
      <w:r>
        <w:rPr>
          <w:bCs/>
          <w:b/>
        </w:rPr>
        <w:t xml:space="preserve">Alcista: 2.000 M</w:t>
      </w:r>
      <w:r>
        <w:t xml:space="preserve">: entran dos o tres ciclos combinados grandes en 2027 y Industrial dobla, como quiere la dirección.</w:t>
      </w:r>
    </w:p>
    <w:p>
      <w:pPr>
        <w:numPr>
          <w:ilvl w:val="0"/>
          <w:numId w:val="1008"/>
        </w:numPr>
        <w:pStyle w:val="Compact"/>
      </w:pPr>
      <w:r>
        <w:rPr>
          <w:bCs/>
          <w:b/>
        </w:rPr>
        <w:t xml:space="preserve">Por qué la mecánica (2.145 M) no vale aquí</w:t>
      </w:r>
      <w:r>
        <w:t xml:space="preserve">: sale de extrapolar un +61,5 % que es efecto de base, en un negocio que depende de que entren centrales. Ni el consenso ni la cartera actual la sostienen. Con la cartera ya firmada (2.518 M, el 48 % a 12 meses), llegar a 2.145 M en 2028 exigiría ganar unos 3.000 M de centrales nuevas en 2027 y construirlas ya en 2028.</w:t>
      </w:r>
    </w:p>
    <w:p>
      <w:pPr>
        <w:numPr>
          <w:ilvl w:val="0"/>
          <w:numId w:val="1008"/>
        </w:numPr>
        <w:pStyle w:val="Compact"/>
      </w:pPr>
      <w:r>
        <w:rPr>
          <w:bCs/>
          <w:b/>
        </w:rPr>
        <w:t xml:space="preserve">v9 al lado</w:t>
      </w:r>
      <w:r>
        <w:t xml:space="preserve"> </w:t>
      </w:r>
      <w:r>
        <w:t xml:space="preserve">(solo mecánica): objetivo 369,7 USD, ponderada −4,1 %, base −1,7 %, bajista −50,4 %. Saldría Mantener, sin compra.</w:t>
      </w:r>
    </w:p>
    <w:p>
      <w:pPr>
        <w:numPr>
          <w:ilvl w:val="0"/>
          <w:numId w:val="1008"/>
        </w:numPr>
        <w:pStyle w:val="Compact"/>
      </w:pPr>
      <w:r>
        <w:rPr>
          <w:bCs/>
          <w:b/>
        </w:rPr>
        <w:t xml:space="preserve">Compra hasta: 291,0 USD</w:t>
      </w:r>
      <w:r>
        <w:t xml:space="preserve">. A ese precio la ponderada es del 5 % y la base no negativa con el objetivo fijo, y el bajista queda en −49,2 %.</w:t>
      </w:r>
    </w:p>
    <w:p>
      <w:pPr>
        <w:numPr>
          <w:ilvl w:val="0"/>
          <w:numId w:val="1008"/>
        </w:numPr>
        <w:pStyle w:val="Compact"/>
      </w:pPr>
      <w:r>
        <w:rPr>
          <w:bCs/>
          <w:b/>
        </w:rPr>
        <w:t xml:space="preserve">Al precio actual</w:t>
      </w:r>
      <w:r>
        <w:t xml:space="preserve"> </w:t>
      </w:r>
      <w:r>
        <w:t xml:space="preserve">(365,83 USD, 14-oct a las 20:00 UTC, objetivo fijo de 303,6 USD): ponderada</w:t>
      </w:r>
      <w:r>
        <w:t xml:space="preserve"> </w:t>
      </w:r>
      <w:r>
        <w:rPr>
          <w:bCs/>
          <w:b/>
        </w:rPr>
        <w:t xml:space="preserve">−17,0 %</w:t>
      </w:r>
      <w:r>
        <w:t xml:space="preserve">, base −16,1 %, bajista −59,6 %.</w:t>
      </w:r>
    </w:p>
    <w:p>
      <w:pPr>
        <w:numPr>
          <w:ilvl w:val="0"/>
          <w:numId w:val="1008"/>
        </w:numPr>
        <w:pStyle w:val="Compact"/>
      </w:pPr>
      <w:r>
        <w:rPr>
          <w:bCs/>
          <w:b/>
        </w:rPr>
        <w:t xml:space="preserve">Contraste con el consenso</w:t>
      </w:r>
      <w:r>
        <w:t xml:space="preserve">: objetivo medio de 570,50 USD (6 analistas, de 273 a 785 USD), un 47 % por encima del cierre. Los analistas aplican unas 30-35 veces al beneficio por acción del ejercicio 2028 (16,11 USD) sin rebajar el múltiplo por el freno del crecimiento; la regla sí lo rebaja. Con las 22 veces de hoy sobre el EBITDA del caso base (255 M), el precio sería de unos 427 USD. La diferencia está en suponer que en 2028 se pagará el mismo múltiplo con un tercio del crecimiento.</w:t>
      </w:r>
    </w:p>
    <w:p>
      <w:pPr>
        <w:numPr>
          <w:ilvl w:val="0"/>
          <w:numId w:val="1008"/>
        </w:numPr>
        <w:pStyle w:val="Compact"/>
      </w:pPr>
      <w:r>
        <w:rPr>
          <w:bCs/>
          <w:b/>
        </w:rPr>
        <w:t xml:space="preserve">DCF inverso</w:t>
      </w:r>
      <w:r>
        <w:t xml:space="preserve">: con 180 M de flujo normalizado, un 9 % de descuento y un 3 % a perpetuidad, el precio descuenta que el flujo crezca un</w:t>
      </w:r>
      <w:r>
        <w:t xml:space="preserve"> </w:t>
      </w:r>
      <w:r>
        <w:rPr>
          <w:bCs/>
          <w:b/>
        </w:rPr>
        <w:t xml:space="preserve">9,4 % al año durante 10 años</w:t>
      </w:r>
      <w:r>
        <w:t xml:space="preserve">. Para un contratista de proyectos que en 2023 vendía 455 M y que depende de un ciclo de inversión, no es barato.</w:t>
      </w:r>
    </w:p>
    <w:bookmarkEnd w:id="28"/>
    <w:bookmarkStart w:id="29" w:name="foros-y-sentimiento"/>
    <w:p>
      <w:pPr>
        <w:pStyle w:val="Heading2"/>
      </w:pPr>
      <w:r>
        <w:t xml:space="preserve">10. Foros y sentimiento</w:t>
      </w:r>
    </w:p>
    <w:p>
      <w:pPr>
        <w:numPr>
          <w:ilvl w:val="0"/>
          <w:numId w:val="1009"/>
        </w:numPr>
        <w:pStyle w:val="Compact"/>
      </w:pPr>
      <w:r>
        <w:rPr>
          <w:bCs/>
          <w:b/>
        </w:rPr>
        <w:t xml:space="preserve">Reddit</w:t>
      </w:r>
      <w:r>
        <w:t xml:space="preserve"> </w:t>
      </w:r>
      <w:r>
        <w:t xml:space="preserve">(r/stocks, r/investing) y</w:t>
      </w:r>
      <w:r>
        <w:t xml:space="preserve"> </w:t>
      </w:r>
      <w:r>
        <w:rPr>
          <w:bCs/>
          <w:b/>
        </w:rPr>
        <w:t xml:space="preserve">foros en castellano</w:t>
      </w:r>
      <w:r>
        <w:t xml:space="preserve"> </w:t>
      </w:r>
      <w:r>
        <w:t xml:space="preserve">(Rankia, Investing.com ES): tras tres búsquedas no aparecen hilos relevantes en 2026. Argan es una empresa pequeña (5.500 M USD de capitalización) y con pocos analistas (seis), más de inversores institucionales que de foro [11]. Hay un 9 % del capital vendido a corto.</w:t>
      </w:r>
    </w:p>
    <w:p>
      <w:pPr>
        <w:numPr>
          <w:ilvl w:val="0"/>
          <w:numId w:val="1009"/>
        </w:numPr>
        <w:pStyle w:val="Compact"/>
      </w:pPr>
      <w:r>
        <w:rPr>
          <w:bCs/>
          <w:b/>
        </w:rPr>
        <w:t xml:space="preserve">Prensa y webs de análisis</w:t>
      </w:r>
      <w:r>
        <w:t xml:space="preserve"> </w:t>
      </w:r>
      <w:r>
        <w:t xml:space="preserve">(Simply Wall St, QuiverQuant, Motley Fool, Walnut Invest): en primavera, alcistas por la «energía para la IA»; desde julio, centradas en la caída de la cartera, las ventas de consejeros y la valoración. Simply Wall St publica valores razonables muy dispares: 296 USD con su escenario, 220 USD con su DCF y 570 USD el de los analistas [10].</w:t>
      </w:r>
    </w:p>
    <w:p>
      <w:pPr>
        <w:numPr>
          <w:ilvl w:val="0"/>
          <w:numId w:val="1009"/>
        </w:numPr>
        <w:pStyle w:val="Compact"/>
      </w:pPr>
      <w:r>
        <w:rPr>
          <w:bCs/>
          <w:b/>
        </w:rPr>
        <w:t xml:space="preserve">Cambio</w:t>
      </w:r>
      <w:r>
        <w:t xml:space="preserve">: pasa de euforia (marzo a junio: +95 % en tres meses) a desconfianza (julio a octubre: −51 %). Encaja con los datos: el negocio sigue creciendo, pero ya no entran centrales nuevas. En cuanto salga una adjudicación grande, el sentimiento puede girar rápido; las opciones y el 9 % de posiciones cortas lo amplificarían.</w:t>
      </w:r>
    </w:p>
    <w:bookmarkEnd w:id="29"/>
    <w:bookmarkStart w:id="30" w:name="riesgos-y-qué-rompería-la-tesis"/>
    <w:p>
      <w:pPr>
        <w:pStyle w:val="Heading2"/>
      </w:pPr>
      <w:r>
        <w:t xml:space="preserve">11. Riesgos y qué rompería la tesis</w:t>
      </w:r>
    </w:p>
    <w:p>
      <w:pPr>
        <w:pStyle w:val="FirstParagraph"/>
      </w:pPr>
      <w:r>
        <w:rPr>
          <w:bCs/>
          <w:b/>
        </w:rPr>
        <w:t xml:space="preserve">Robustez (prueba obligatoria,</w:t>
      </w:r>
      <w:r>
        <w:rPr>
          <w:bCs/>
          <w:b/>
        </w:rPr>
        <w:t xml:space="preserve"> </w:t>
      </w:r>
      <w:r>
        <w:rPr>
          <w:rStyle w:val="VerbatimChar"/>
          <w:bCs/>
          <w:b/>
        </w:rPr>
        <w:t xml:space="preserve">herramientas/robustez-growth.mjs --precios</w:t>
      </w:r>
      <w:r>
        <w:rPr>
          <w:bCs/>
          <w:b/>
        </w:rPr>
        <w:t xml:space="preserve">): FRÁGIL, pero la acción robusta es Vender / no comprar.</w:t>
      </w:r>
      <w:r>
        <w:t xml:space="preserve"> </w:t>
      </w:r>
      <w:r>
        <w:t xml:space="preserve">«Frágil» quiere decir que una variante cambia la etiqueta: con v7, sin el tope de las ventas del analista, sale Mantener (−4,1 %). Ninguna variante da Comprar: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Variante</w:t>
            </w:r>
          </w:p>
        </w:tc>
        <w:tc>
          <w:tcPr/>
          <w:p>
            <w:pPr>
              <w:pStyle w:val="Compact"/>
              <w:jc w:val="left"/>
            </w:pPr>
            <w:r>
              <w:t xml:space="preserve">Ponderada</w:t>
            </w:r>
          </w:p>
        </w:tc>
        <w:tc>
          <w:tcPr/>
          <w:p>
            <w:pPr>
              <w:pStyle w:val="Compact"/>
              <w:jc w:val="left"/>
            </w:pPr>
            <w:r>
              <w:t xml:space="preserve">Señal</w:t>
            </w:r>
          </w:p>
        </w:tc>
      </w:tr>
      <w:tr>
        <w:tc>
          <w:tcPr/>
          <w:p>
            <w:pPr>
              <w:pStyle w:val="Compact"/>
              <w:jc w:val="left"/>
            </w:pPr>
            <w:r>
              <w:t xml:space="preserve">v11, la vigente</w:t>
            </w:r>
          </w:p>
        </w:tc>
        <w:tc>
          <w:tcPr/>
          <w:p>
            <w:pPr>
              <w:pStyle w:val="Compact"/>
              <w:jc w:val="left"/>
            </w:pPr>
            <w:r>
              <w:t xml:space="preserve">−21,1 %</w:t>
            </w:r>
          </w:p>
        </w:tc>
        <w:tc>
          <w:tcPr/>
          <w:p>
            <w:pPr>
              <w:pStyle w:val="Compact"/>
              <w:jc w:val="left"/>
            </w:pPr>
            <w:r>
              <w:t xml:space="preserve">Vender</w:t>
            </w:r>
          </w:p>
        </w:tc>
      </w:tr>
      <w:tr>
        <w:tc>
          <w:tcPr/>
          <w:p>
            <w:pPr>
              <w:pStyle w:val="Compact"/>
              <w:jc w:val="left"/>
            </w:pPr>
            <w:r>
              <w:t xml:space="preserve">Ventas del analista</w:t>
            </w:r>
          </w:p>
        </w:tc>
        <w:tc>
          <w:tcPr/>
          <w:p>
            <w:pPr>
              <w:pStyle w:val="Compact"/>
              <w:jc w:val="left"/>
            </w:pPr>
            <w:r>
              <w:t xml:space="preserve">−21,1 %</w:t>
            </w:r>
          </w:p>
        </w:tc>
        <w:tc>
          <w:tcPr/>
          <w:p>
            <w:pPr>
              <w:pStyle w:val="Compact"/>
              <w:jc w:val="left"/>
            </w:pPr>
            <w:r>
              <w:t xml:space="preserve">Vender</w:t>
            </w:r>
          </w:p>
        </w:tc>
      </w:tr>
      <w:tr>
        <w:tc>
          <w:tcPr/>
          <w:p>
            <w:pPr>
              <w:pStyle w:val="Compact"/>
              <w:jc w:val="left"/>
            </w:pPr>
            <w:r>
              <w:t xml:space="preserve">Probabilidades 35/50/15</w:t>
            </w:r>
          </w:p>
        </w:tc>
        <w:tc>
          <w:tcPr/>
          <w:p>
            <w:pPr>
              <w:pStyle w:val="Compact"/>
              <w:jc w:val="left"/>
            </w:pPr>
            <w:r>
              <w:t xml:space="preserve">−28,9 %</w:t>
            </w:r>
          </w:p>
        </w:tc>
        <w:tc>
          <w:tcPr/>
          <w:p>
            <w:pPr>
              <w:pStyle w:val="Compact"/>
              <w:jc w:val="left"/>
            </w:pPr>
            <w:r>
              <w:t xml:space="preserve">Vender</w:t>
            </w:r>
          </w:p>
        </w:tc>
      </w:tr>
      <w:tr>
        <w:tc>
          <w:tcPr/>
          <w:p>
            <w:pPr>
              <w:pStyle w:val="Compact"/>
              <w:jc w:val="left"/>
            </w:pPr>
            <w:r>
              <w:t xml:space="preserve">Precio de hoy con el objetivo fijo</w:t>
            </w:r>
          </w:p>
        </w:tc>
        <w:tc>
          <w:tcPr/>
          <w:p>
            <w:pPr>
              <w:pStyle w:val="Compact"/>
              <w:jc w:val="left"/>
            </w:pPr>
            <w:r>
              <w:t xml:space="preserve">−16,3 %</w:t>
            </w:r>
          </w:p>
        </w:tc>
        <w:tc>
          <w:tcPr/>
          <w:p>
            <w:pPr>
              <w:pStyle w:val="Compact"/>
              <w:jc w:val="left"/>
            </w:pPr>
            <w:r>
              <w:t xml:space="preserve">Vender</w:t>
            </w:r>
          </w:p>
        </w:tc>
      </w:tr>
      <w:tr>
        <w:tc>
          <w:tcPr/>
          <w:p>
            <w:pPr>
              <w:pStyle w:val="Compact"/>
              <w:jc w:val="left"/>
            </w:pPr>
            <w:r>
              <w:t xml:space="preserve">v7</w:t>
            </w:r>
          </w:p>
        </w:tc>
        <w:tc>
          <w:tcPr/>
          <w:p>
            <w:pPr>
              <w:pStyle w:val="Compact"/>
              <w:jc w:val="left"/>
            </w:pPr>
            <w:r>
              <w:t xml:space="preserve">−4,1 %</w:t>
            </w:r>
          </w:p>
        </w:tc>
        <w:tc>
          <w:tcPr/>
          <w:p>
            <w:pPr>
              <w:pStyle w:val="Compact"/>
              <w:jc w:val="left"/>
            </w:pPr>
            <w:r>
              <w:t xml:space="preserve">Mantener</w:t>
            </w:r>
          </w:p>
        </w:tc>
      </w:tr>
    </w:tbl>
    <w:p>
      <w:pPr>
        <w:pStyle w:val="BodyText"/>
      </w:pPr>
      <w:r>
        <w:t xml:space="preserve">La variante del precio de hoy da −16,3 % en la herramienta, que suma el dividendo; sin dividendo, −17,0 %.</w:t>
      </w:r>
    </w:p>
    <w:p>
      <w:pPr>
        <w:pStyle w:val="BodyText"/>
      </w:pPr>
      <w:r>
        <w:t xml:space="preserve">Avisos de la prueba:</w:t>
      </w:r>
      <w:r>
        <w:t xml:space="preserve"> </w:t>
      </w:r>
      <w:r>
        <w:t xml:space="preserve">-</w:t>
      </w:r>
      <w:r>
        <w:t xml:space="preserve"> </w:t>
      </w:r>
      <w:r>
        <w:rPr>
          <w:bCs/>
          <w:b/>
        </w:rPr>
        <w:t xml:space="preserve">G2</w:t>
      </w:r>
      <w:r>
        <w:t xml:space="preserve">: el objetivo se mueve casi a la par con el precio (elasticidad 0,97). Por eso se deja fijo el del informe y el límite es 291,0 USD.</w:t>
      </w:r>
      <w:r>
        <w:t xml:space="preserve"> </w:t>
      </w:r>
      <w:r>
        <w:t xml:space="preserve">-</w:t>
      </w:r>
      <w:r>
        <w:t xml:space="preserve"> </w:t>
      </w:r>
      <w:r>
        <w:rPr>
          <w:bCs/>
          <w:b/>
        </w:rPr>
        <w:t xml:space="preserve">G4</w:t>
      </w:r>
      <w:r>
        <w:t xml:space="preserve">: sin guía, v9 no recorta.</w:t>
      </w:r>
      <w:r>
        <w:t xml:space="preserve"> </w:t>
      </w:r>
      <w:r>
        <w:t xml:space="preserve">-</w:t>
      </w:r>
      <w:r>
        <w:t xml:space="preserve"> </w:t>
      </w:r>
      <w:r>
        <w:rPr>
          <w:bCs/>
          <w:b/>
        </w:rPr>
        <w:t xml:space="preserve">G6</w:t>
      </w:r>
      <w:r>
        <w:t xml:space="preserve">: el bajista es del −61 %. Si algún día se compra, poco peso y en tramos.</w:t>
      </w:r>
    </w:p>
    <w:p>
      <w:pPr>
        <w:pStyle w:val="BodyText"/>
      </w:pPr>
      <w:r>
        <w:rPr>
          <w:bCs/>
          <w:b/>
        </w:rPr>
        <w:t xml:space="preserve">Alertas de</w:t>
      </w:r>
      <w:r>
        <w:rPr>
          <w:bCs/>
          <w:b/>
        </w:rPr>
        <w:t xml:space="preserve"> </w:t>
      </w:r>
      <w:r>
        <w:rPr>
          <w:rStyle w:val="VerbatimChar"/>
          <w:bCs/>
          <w:b/>
        </w:rPr>
        <w:t xml:space="preserve">calc.alertas</w:t>
      </w:r>
      <w:r>
        <w:rPr>
          <w:bCs/>
          <w:b/>
        </w:rPr>
        <w:t xml:space="preserve"> </w:t>
      </w:r>
      <w:r>
        <w:rPr>
          <w:bCs/>
          <w:b/>
        </w:rPr>
        <w:t xml:space="preserve">(v11):</w:t>
      </w:r>
      <w:r>
        <w:t xml:space="preserve"> </w:t>
      </w:r>
      <w:r>
        <w:t xml:space="preserve">1.</w:t>
      </w:r>
      <w:r>
        <w:t xml:space="preserve"> </w:t>
      </w:r>
      <w:r>
        <w:rPr>
          <w:bCs/>
          <w:b/>
        </w:rPr>
        <w:t xml:space="preserve">«Proyección mecánica (2.145 M) &gt; 1,2 × la del analista (1.700 M): v11 usa la del analista.»</w:t>
      </w:r>
      <w:r>
        <w:t xml:space="preserve"> </w:t>
      </w:r>
      <w:r>
        <w:rPr>
          <w:bCs/>
          <w:b/>
        </w:rPr>
        <w:t xml:space="preserve">No debilita la señal: la explica.</w:t>
      </w:r>
      <w:r>
        <w:t xml:space="preserve"> </w:t>
      </w:r>
      <w:r>
        <w:t xml:space="preserve">La mecánica extrapola un trimestre inflado por el efecto de base. La cifra del informe sale del consenso y de la cartera firmada, que se termina en 2028-2029 sin repuesto aún. Si se usara la mecánica (v9), tampoco habría compra.</w:t>
      </w:r>
      <w:r>
        <w:t xml:space="preserve"> </w:t>
      </w:r>
      <w:r>
        <w:t xml:space="preserve">2.</w:t>
      </w:r>
      <w:r>
        <w:t xml:space="preserve"> </w:t>
      </w:r>
      <w:r>
        <w:rPr>
          <w:bCs/>
          <w:b/>
        </w:rPr>
        <w:t xml:space="preserve">«Sin guía anual de 12 meses: el recorte por la guía (v9) no actúa.»</w:t>
      </w:r>
      <w:r>
        <w:t xml:space="preserve"> </w:t>
      </w:r>
      <w:r>
        <w:t xml:space="preserve">Argan nunca da guía en cifras. Aquí no hace falta: v11 ya recorta con las ventas del informe. Lo que se vigila es la cartera de cada trimestre.</w:t>
      </w:r>
    </w:p>
    <w:p>
      <w:pPr>
        <w:pStyle w:val="BodyText"/>
      </w:pPr>
      <w:r>
        <w:t xml:space="preserve">Lo que</w:t>
      </w:r>
      <w:r>
        <w:t xml:space="preserve"> </w:t>
      </w:r>
      <w:r>
        <w:rPr>
          <w:bCs/>
          <w:b/>
        </w:rPr>
        <w:t xml:space="preserve">no</w:t>
      </w:r>
      <w:r>
        <w:t xml:space="preserve"> </w:t>
      </w:r>
      <w:r>
        <w:t xml:space="preserve">mira ninguna alerta y sí pesa aquí:</w:t>
      </w:r>
      <w:r>
        <w:t xml:space="preserve"> </w:t>
      </w:r>
      <w:r>
        <w:t xml:space="preserve">- (a)</w:t>
      </w:r>
      <w:r>
        <w:t xml:space="preserve"> </w:t>
      </w:r>
      <w:r>
        <w:rPr>
          <w:bCs/>
          <w:b/>
        </w:rPr>
        <w:t xml:space="preserve">La caja inflada por anticipos.</w:t>
      </w:r>
      <w:r>
        <w:t xml:space="preserve"> </w:t>
      </w:r>
      <w:r>
        <w:t xml:space="preserve">Se trata en la valoración con la liquidez neta y quitando los intereses del EBITDA.</w:t>
      </w:r>
      <w:r>
        <w:t xml:space="preserve"> </w:t>
      </w:r>
      <w:r>
        <w:t xml:space="preserve">- (b)</w:t>
      </w:r>
      <w:r>
        <w:t xml:space="preserve"> </w:t>
      </w:r>
      <w:r>
        <w:rPr>
          <w:bCs/>
          <w:b/>
        </w:rPr>
        <w:t xml:space="preserve">La cartera que baja.</w:t>
      </w:r>
      <w:r>
        <w:t xml:space="preserve"> </w:t>
      </w:r>
      <w:r>
        <w:t xml:space="preserve">No hay alerta para una cartera que cae dos trimestres seguidos.</w:t>
      </w:r>
      <w:r>
        <w:t xml:space="preserve"> </w:t>
      </w:r>
      <w:r>
        <w:t xml:space="preserve">- (c)</w:t>
      </w:r>
      <w:r>
        <w:t xml:space="preserve"> </w:t>
      </w:r>
      <w:r>
        <w:rPr>
          <w:bCs/>
          <w:b/>
        </w:rPr>
        <w:t xml:space="preserve">La aceleración por efecto de base</w:t>
      </w:r>
      <w:r>
        <w:t xml:space="preserve"> </w:t>
      </w:r>
      <w:r>
        <w:t xml:space="preserve">(+45 puntos), que le da 5 de 5 en aceleración sin que sea real.</w:t>
      </w:r>
    </w:p>
    <w:p>
      <w:pPr>
        <w:pStyle w:val="BodyText"/>
      </w:pPr>
      <w:r>
        <w:t xml:space="preserve">Las tres refuerzan la señal.</w:t>
      </w:r>
    </w:p>
    <w:p>
      <w:pPr>
        <w:numPr>
          <w:ilvl w:val="0"/>
          <w:numId w:val="1010"/>
        </w:numPr>
        <w:pStyle w:val="Compact"/>
      </w:pPr>
      <w:r>
        <w:rPr>
          <w:bCs/>
          <w:b/>
        </w:rPr>
        <w:t xml:space="preserve">Que no entren centrales</w:t>
      </w:r>
      <w:r>
        <w:t xml:space="preserve"> </w:t>
      </w:r>
      <w:r>
        <w:t xml:space="preserve">(el principal): sin adjudicaciones grandes en 2027, las ventas de 2028 caen hacia las de hoy. Puede ocurrir por retrasos de las turbinas (lista de espera de GE Vernova, Siemens y Mitsubishi), permisos, financiación o moratorias a los centros de datos.</w:t>
      </w:r>
    </w:p>
    <w:p>
      <w:pPr>
        <w:numPr>
          <w:ilvl w:val="0"/>
          <w:numId w:val="1010"/>
        </w:numPr>
        <w:pStyle w:val="Compact"/>
      </w:pPr>
      <w:r>
        <w:rPr>
          <w:bCs/>
          <w:b/>
        </w:rPr>
        <w:t xml:space="preserve">Contratos a precio cerrado</w:t>
      </w:r>
      <w:r>
        <w:t xml:space="preserve">: un sobrecoste en una central de 1.000 M se come el margen de un año. Ya ha pasado en Industrial (7,3 %) y, de memoria, en una central en el Reino Unido hace unos años.</w:t>
      </w:r>
    </w:p>
    <w:p>
      <w:pPr>
        <w:numPr>
          <w:ilvl w:val="0"/>
          <w:numId w:val="1010"/>
        </w:numPr>
        <w:pStyle w:val="Compact"/>
      </w:pPr>
      <w:r>
        <w:rPr>
          <w:bCs/>
          <w:b/>
        </w:rPr>
        <w:t xml:space="preserve">Concentración</w:t>
      </w:r>
      <w:r>
        <w:t xml:space="preserve">: cuatro clientes son el 51 % de las ventas.</w:t>
      </w:r>
    </w:p>
    <w:p>
      <w:pPr>
        <w:numPr>
          <w:ilvl w:val="0"/>
          <w:numId w:val="1010"/>
        </w:numPr>
        <w:pStyle w:val="Compact"/>
      </w:pPr>
      <w:r>
        <w:rPr>
          <w:bCs/>
          <w:b/>
        </w:rPr>
        <w:t xml:space="preserve">Múltiplo</w:t>
      </w:r>
      <w:r>
        <w:t xml:space="preserve">: 22x es 1,5 veces su mediana. Volver a 15x sin cambio del negocio supondría un −30 % de precio.</w:t>
      </w:r>
    </w:p>
    <w:p>
      <w:pPr>
        <w:numPr>
          <w:ilvl w:val="0"/>
          <w:numId w:val="1010"/>
        </w:numPr>
        <w:pStyle w:val="Compact"/>
      </w:pPr>
      <w:r>
        <w:rPr>
          <w:bCs/>
          <w:b/>
        </w:rPr>
        <w:t xml:space="preserve">Política y aranceles</w:t>
      </w:r>
      <w:r>
        <w:t xml:space="preserve">: el acero y los equipos importados encarecen las obras [2]. Los cambios en los créditos fiscales afectan a la parte solar.</w:t>
      </w:r>
    </w:p>
    <w:p>
      <w:pPr>
        <w:numPr>
          <w:ilvl w:val="0"/>
          <w:numId w:val="1010"/>
        </w:numPr>
        <w:pStyle w:val="Compact"/>
      </w:pPr>
      <w:r>
        <w:rPr>
          <w:bCs/>
          <w:b/>
        </w:rPr>
        <w:t xml:space="preserve">Riesgo de IA (como amenaza): bajo.</w:t>
      </w:r>
      <w:r>
        <w:t xml:space="preserve"> </w:t>
      </w:r>
      <w:r>
        <w:t xml:space="preserve">Construir centrales es trabajo físico y de gestión de obra que la IA no sustituye.</w:t>
      </w:r>
      <w:r>
        <w:t xml:space="preserve"> </w:t>
      </w:r>
      <w:r>
        <w:rPr>
          <w:bCs/>
          <w:b/>
        </w:rPr>
        <w:t xml:space="preserve">La IA es un riesgo de demanda, no de sustitución</w:t>
      </w:r>
      <w:r>
        <w:t xml:space="preserve">: buena parte de la demanda nueva de gas viene de los centros de datos. Si la inversión en IA se frena, las centrales se aplazan. Si la IA se hace más eficiente en energía, igual.</w:t>
      </w:r>
    </w:p>
    <w:p>
      <w:pPr>
        <w:numPr>
          <w:ilvl w:val="0"/>
          <w:numId w:val="1010"/>
        </w:numPr>
        <w:pStyle w:val="Compact"/>
      </w:pPr>
      <w:r>
        <w:rPr>
          <w:bCs/>
          <w:b/>
        </w:rPr>
        <w:t xml:space="preserve">Señales de venta concretas</w:t>
      </w:r>
      <w:r>
        <w:t xml:space="preserve"> </w:t>
      </w:r>
      <w:r>
        <w:t xml:space="preserve">(si se tuviera):</w:t>
      </w:r>
    </w:p>
    <w:p>
      <w:pPr>
        <w:numPr>
          <w:ilvl w:val="1"/>
          <w:numId w:val="1011"/>
        </w:numPr>
        <w:pStyle w:val="Compact"/>
      </w:pPr>
      <w:r>
        <w:t xml:space="preserve">cartera por debajo de 2.000 M sin centrales nuevas en el 3T o el 4T;</w:t>
      </w:r>
    </w:p>
    <w:p>
      <w:pPr>
        <w:numPr>
          <w:ilvl w:val="1"/>
          <w:numId w:val="1011"/>
        </w:numPr>
        <w:pStyle w:val="Compact"/>
      </w:pPr>
      <w:r>
        <w:t xml:space="preserve">margen bruto de Power por debajo del 17 % dos trimestres seguidos;</w:t>
      </w:r>
    </w:p>
    <w:p>
      <w:pPr>
        <w:numPr>
          <w:ilvl w:val="1"/>
          <w:numId w:val="1011"/>
        </w:numPr>
        <w:pStyle w:val="Compact"/>
      </w:pPr>
      <w:r>
        <w:t xml:space="preserve">cancelación o aplazamiento de una de las centrales de Texas;</w:t>
      </w:r>
    </w:p>
    <w:p>
      <w:pPr>
        <w:numPr>
          <w:ilvl w:val="1"/>
          <w:numId w:val="1011"/>
        </w:numPr>
        <w:pStyle w:val="Compact"/>
      </w:pPr>
      <w:r>
        <w:t xml:space="preserve">pérdida en un contrato grande.</w:t>
      </w:r>
    </w:p>
    <w:bookmarkEnd w:id="30"/>
    <w:bookmarkStart w:id="31" w:name="catalizadores-con-fecha"/>
    <w:p>
      <w:pPr>
        <w:pStyle w:val="Heading2"/>
      </w:pPr>
      <w:r>
        <w:t xml:space="preserve">12. Catalizadores con fecha</w:t>
      </w:r>
    </w:p>
    <w:p>
      <w:pPr>
        <w:numPr>
          <w:ilvl w:val="0"/>
          <w:numId w:val="1012"/>
        </w:numPr>
        <w:pStyle w:val="Compact"/>
      </w:pPr>
      <w:r>
        <w:rPr>
          <w:bCs/>
          <w:b/>
        </w:rPr>
        <w:t xml:space="preserve">Principios de diciembre de 2026</w:t>
      </w:r>
      <w:r>
        <w:t xml:space="preserve">: resultados del 3T (fecha estimada, sin confirmar). Lo clave: si entra alguna central, cómo queda la cartera (hoy 2.518 M) y el margen de Industrial.</w:t>
      </w:r>
    </w:p>
    <w:p>
      <w:pPr>
        <w:numPr>
          <w:ilvl w:val="0"/>
          <w:numId w:val="1012"/>
        </w:numPr>
        <w:pStyle w:val="Compact"/>
      </w:pPr>
      <w:r>
        <w:rPr>
          <w:bCs/>
          <w:b/>
        </w:rPr>
        <w:t xml:space="preserve">Próximos 7 a 15 meses</w:t>
      </w:r>
      <w:r>
        <w:t xml:space="preserve"> </w:t>
      </w:r>
      <w:r>
        <w:t xml:space="preserve">(dicho por la dirección): adjudicación de «un puñado» de centrales, sobre todo ciclos combinados [7]. Cada una de 1-1,5 GW vale más de 1.000 M de cartera.</w:t>
      </w:r>
    </w:p>
    <w:p>
      <w:pPr>
        <w:numPr>
          <w:ilvl w:val="0"/>
          <w:numId w:val="1012"/>
        </w:numPr>
        <w:pStyle w:val="Compact"/>
      </w:pPr>
      <w:r>
        <w:rPr>
          <w:bCs/>
          <w:b/>
        </w:rPr>
        <w:t xml:space="preserve">3T del ejercicio 2027</w:t>
      </w:r>
      <w:r>
        <w:t xml:space="preserve">: fábrica de Carolina del Norte (contrato de 125 M para centros de datos; más de 10 M de ventas por trimestre) [7].</w:t>
      </w:r>
    </w:p>
    <w:p>
      <w:pPr>
        <w:numPr>
          <w:ilvl w:val="0"/>
          <w:numId w:val="1012"/>
        </w:numPr>
        <w:pStyle w:val="Compact"/>
      </w:pPr>
      <w:r>
        <w:rPr>
          <w:bCs/>
          <w:b/>
        </w:rPr>
        <w:t xml:space="preserve">30-oct-2026</w:t>
      </w:r>
      <w:r>
        <w:t xml:space="preserve">: primer dividendo de 0,70 USD.</w:t>
      </w:r>
    </w:p>
    <w:p>
      <w:pPr>
        <w:numPr>
          <w:ilvl w:val="0"/>
          <w:numId w:val="1012"/>
        </w:numPr>
        <w:pStyle w:val="Compact"/>
      </w:pPr>
      <w:r>
        <w:rPr>
          <w:bCs/>
          <w:b/>
        </w:rPr>
        <w:t xml:space="preserve">Finales de 2027 a 2029</w:t>
      </w:r>
      <w:r>
        <w:t xml:space="preserve">: entrega de Tarbert, Sandow Lakes, la de 860 MW, la de 700 MW y la de 1,4 GW.</w:t>
      </w:r>
    </w:p>
    <w:bookmarkEnd w:id="31"/>
    <w:bookmarkStart w:id="32" w:name="encaje-en-cartera"/>
    <w:p>
      <w:pPr>
        <w:pStyle w:val="Heading2"/>
      </w:pPr>
      <w:r>
        <w:t xml:space="preserve">13. Encaje en cartera</w:t>
      </w:r>
    </w:p>
    <w:p>
      <w:pPr>
        <w:numPr>
          <w:ilvl w:val="0"/>
          <w:numId w:val="1013"/>
        </w:numPr>
        <w:pStyle w:val="Compact"/>
      </w:pPr>
      <w:r>
        <w:rPr>
          <w:bCs/>
          <w:b/>
        </w:rPr>
        <w:t xml:space="preserve">Señal Vender / no comprar: no entra, no sustituye a ninguna y no va a la lista de suplentes.</w:t>
      </w:r>
      <w:r>
        <w:t xml:space="preserve"> </w:t>
      </w:r>
      <w:r>
        <w:t xml:space="preserve">El bolsillo growth está lleno, en torno al 20 %, con cinco posiciones y su ponderada al precio actual (v11): Nu +19 %, Axon +36 %, Shopify +18 %, Snowflake +13 % y Samsara +15 %. La liquidez libre es casi nula, así que solo cabe sustituir. Argan da −21,1 % al cierre y −17,0 % al precio actual: unos 30 puntos por debajo de la más floja de las cinco.</w:t>
      </w:r>
    </w:p>
    <w:p>
      <w:pPr>
        <w:numPr>
          <w:ilvl w:val="0"/>
          <w:numId w:val="1013"/>
        </w:numPr>
        <w:pStyle w:val="Compact"/>
      </w:pPr>
      <w:r>
        <w:rPr>
          <w:bCs/>
          <w:b/>
        </w:rPr>
        <w:t xml:space="preserve">Suplentes</w:t>
      </w:r>
      <w:r>
        <w:t xml:space="preserve"> </w:t>
      </w:r>
      <w:r>
        <w:t xml:space="preserve">(por orden: MongoDB, Toast, Zscaler, dLocal, Dexcom, argenx, Datadog, Saab, Natera): no entra; la lista es solo de Comprar. Queda con las de No comprar, junto a Quanta, Comfort Systems, GE Vernova y Celestica.</w:t>
      </w:r>
    </w:p>
    <w:p>
      <w:pPr>
        <w:numPr>
          <w:ilvl w:val="0"/>
          <w:numId w:val="1013"/>
        </w:numPr>
        <w:pStyle w:val="Compact"/>
      </w:pPr>
      <w:r>
        <w:rPr>
          <w:bCs/>
          <w:b/>
        </w:rPr>
        <w:t xml:space="preserve">Frente a Quanta y Comfort Systems</w:t>
      </w:r>
      <w:r>
        <w:t xml:space="preserve"> </w:t>
      </w:r>
      <w:r>
        <w:t xml:space="preserve">(sus informes del 14-oct): las tres son Vender / no comprar por el mismo motivo, el precio.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Argan</w:t>
            </w:r>
          </w:p>
        </w:tc>
        <w:tc>
          <w:tcPr/>
          <w:p>
            <w:pPr>
              <w:pStyle w:val="Compact"/>
              <w:jc w:val="left"/>
            </w:pPr>
            <w:r>
              <w:t xml:space="preserve">Quanta</w:t>
            </w:r>
          </w:p>
        </w:tc>
        <w:tc>
          <w:tcPr/>
          <w:p>
            <w:pPr>
              <w:pStyle w:val="Compact"/>
              <w:jc w:val="left"/>
            </w:pPr>
            <w:r>
              <w:t xml:space="preserve">Comfort Systems</w:t>
            </w:r>
          </w:p>
        </w:tc>
      </w:tr>
      <w:tr>
        <w:tc>
          <w:tcPr/>
          <w:p>
            <w:pPr>
              <w:pStyle w:val="Compact"/>
              <w:jc w:val="left"/>
            </w:pPr>
            <w:r>
              <w:t xml:space="preserve">Ponderada (v11)</w:t>
            </w:r>
          </w:p>
        </w:tc>
        <w:tc>
          <w:tcPr/>
          <w:p>
            <w:pPr>
              <w:pStyle w:val="Compact"/>
              <w:jc w:val="left"/>
            </w:pPr>
            <w:r>
              <w:t xml:space="preserve">−21,1 %</w:t>
            </w:r>
          </w:p>
        </w:tc>
        <w:tc>
          <w:tcPr/>
          <w:p>
            <w:pPr>
              <w:pStyle w:val="Compact"/>
              <w:jc w:val="left"/>
            </w:pPr>
            <w:r>
              <w:t xml:space="preserve">−18,8 %</w:t>
            </w:r>
          </w:p>
        </w:tc>
        <w:tc>
          <w:tcPr/>
          <w:p>
            <w:pPr>
              <w:pStyle w:val="Compact"/>
              <w:jc w:val="left"/>
            </w:pPr>
            <w:r>
              <w:t xml:space="preserve">−17,6 %</w:t>
            </w:r>
          </w:p>
        </w:tc>
      </w:tr>
      <w:tr>
        <w:tc>
          <w:tcPr/>
          <w:p>
            <w:pPr>
              <w:pStyle w:val="Compact"/>
              <w:jc w:val="left"/>
            </w:pPr>
            <w:r>
              <w:t xml:space="preserve">EV/EBITDA NTM</w:t>
            </w:r>
          </w:p>
        </w:tc>
        <w:tc>
          <w:tcPr/>
          <w:p>
            <w:pPr>
              <w:pStyle w:val="Compact"/>
              <w:jc w:val="left"/>
            </w:pPr>
            <w:r>
              <w:t xml:space="preserve">22,0x</w:t>
            </w:r>
          </w:p>
        </w:tc>
        <w:tc>
          <w:tcPr/>
          <w:p>
            <w:pPr>
              <w:pStyle w:val="Compact"/>
              <w:jc w:val="left"/>
            </w:pPr>
            <w:r>
              <w:t xml:space="preserve">25,0x</w:t>
            </w:r>
          </w:p>
        </w:tc>
        <w:tc>
          <w:tcPr/>
          <w:p>
            <w:pPr>
              <w:pStyle w:val="Compact"/>
              <w:jc w:val="left"/>
            </w:pPr>
            <w:r>
              <w:t xml:space="preserve">19,8x</w:t>
            </w:r>
          </w:p>
        </w:tc>
      </w:tr>
      <w:tr>
        <w:tc>
          <w:tcPr/>
          <w:p>
            <w:pPr>
              <w:pStyle w:val="Compact"/>
              <w:jc w:val="left"/>
            </w:pPr>
            <w:r>
              <w:t xml:space="preserve">Puntuación</w:t>
            </w:r>
          </w:p>
        </w:tc>
        <w:tc>
          <w:tcPr/>
          <w:p>
            <w:pPr>
              <w:pStyle w:val="Compact"/>
              <w:jc w:val="left"/>
            </w:pPr>
            <w:r>
              <w:t xml:space="preserve">62,7</w:t>
            </w:r>
          </w:p>
        </w:tc>
        <w:tc>
          <w:tcPr/>
          <w:p>
            <w:pPr>
              <w:pStyle w:val="Compact"/>
              <w:jc w:val="left"/>
            </w:pPr>
            <w:r>
              <w:t xml:space="preserve">71,5</w:t>
            </w:r>
          </w:p>
        </w:tc>
        <w:tc>
          <w:tcPr/>
          <w:p>
            <w:pPr>
              <w:pStyle w:val="Compact"/>
              <w:jc w:val="left"/>
            </w:pPr>
            <w:r>
              <w:t xml:space="preserve">76,7</w:t>
            </w:r>
          </w:p>
        </w:tc>
      </w:tr>
    </w:tbl>
    <w:p>
      <w:pPr>
        <w:numPr>
          <w:ilvl w:val="0"/>
          <w:numId w:val="1014"/>
        </w:numPr>
        <w:pStyle w:val="Compact"/>
      </w:pPr>
      <w:r>
        <w:rPr>
          <w:bCs/>
          <w:b/>
        </w:rPr>
        <w:t xml:space="preserve">Argan</w:t>
      </w:r>
      <w:r>
        <w:t xml:space="preserve"> </w:t>
      </w:r>
      <w:r>
        <w:t xml:space="preserve">es la más pequeña, la que más va a saltos (cuatro clientes son la mitad de las ventas) y la única cuya cartera de pedidos baja. Tiene el mejor balance: sin deuda y con 1.028 M de caja.</w:t>
      </w:r>
    </w:p>
    <w:p>
      <w:pPr>
        <w:numPr>
          <w:ilvl w:val="0"/>
          <w:numId w:val="1014"/>
        </w:numPr>
        <w:pStyle w:val="Compact"/>
      </w:pPr>
      <w:r>
        <w:rPr>
          <w:bCs/>
          <w:b/>
        </w:rPr>
        <w:t xml:space="preserve">Quanta</w:t>
      </w:r>
      <w:r>
        <w:t xml:space="preserve"> </w:t>
      </w:r>
      <w:r>
        <w:t xml:space="preserve">es la más estable, con contratos marco con las eléctricas, pero crece en parte comprando empresas.</w:t>
      </w:r>
    </w:p>
    <w:p>
      <w:pPr>
        <w:numPr>
          <w:ilvl w:val="0"/>
          <w:numId w:val="1014"/>
        </w:numPr>
        <w:pStyle w:val="Compact"/>
      </w:pPr>
      <w:r>
        <w:rPr>
          <w:bCs/>
          <w:b/>
        </w:rPr>
        <w:t xml:space="preserve">Comfort Systems</w:t>
      </w:r>
      <w:r>
        <w:t xml:space="preserve"> </w:t>
      </w:r>
      <w:r>
        <w:t xml:space="preserve">es la de más crecimiento orgánico (+44 % sin compras) y la más barata de las tres.</w:t>
      </w:r>
    </w:p>
    <w:p>
      <w:pPr>
        <w:numPr>
          <w:ilvl w:val="0"/>
          <w:numId w:val="1014"/>
        </w:numPr>
        <w:pStyle w:val="Compact"/>
      </w:pPr>
      <w:r>
        <w:t xml:space="preserve">Si hubiera que elegir una cuando bajen, Comfort. Argan solo tendría sentido tras una adjudicación grande y a un precio cercano a 291 USD.</w:t>
      </w:r>
    </w:p>
    <w:p>
      <w:pPr>
        <w:numPr>
          <w:ilvl w:val="0"/>
          <w:numId w:val="1014"/>
        </w:numPr>
        <w:pStyle w:val="Compact"/>
      </w:pPr>
      <w:r>
        <w:rPr>
          <w:bCs/>
          <w:b/>
        </w:rPr>
        <w:t xml:space="preserve">Exposición a IA de la cartera</w:t>
      </w:r>
      <w:r>
        <w:t xml:space="preserve">: Alphabet se vende mañana y no cuenta. Argan añadiría el mismo riesgo de ciclo de inversión en energía para la IA que llevó a descartar GE Vernova, Celestica, Comfort y Quanta.</w:t>
      </w:r>
    </w:p>
    <w:p>
      <w:pPr>
        <w:numPr>
          <w:ilvl w:val="0"/>
          <w:numId w:val="1014"/>
        </w:numPr>
        <w:pStyle w:val="Compact"/>
      </w:pPr>
      <w:r>
        <w:rPr>
          <w:bCs/>
          <w:b/>
        </w:rPr>
        <w:t xml:space="preserve">Qué la haría comprable</w:t>
      </w:r>
      <w:r>
        <w:t xml:space="preserve">: precio por debajo de</w:t>
      </w:r>
      <w:r>
        <w:t xml:space="preserve"> </w:t>
      </w:r>
      <w:r>
        <w:rPr>
          <w:bCs/>
          <w:b/>
        </w:rPr>
        <w:t xml:space="preserve">291 USD</w:t>
      </w:r>
      <w:r>
        <w:t xml:space="preserve"> </w:t>
      </w:r>
      <w:r>
        <w:t xml:space="preserve">(−25 % sobre el cierre, unas 16 veces EBITDA NTM), o una o dos centrales nuevas que lleven la cartera por encima de 3.500 M y suban las ventas previstas para 2028. Aun así, la puntuación (62,7) da convicción baja y un peso del 3,5 %, en dos tramos.</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c>
          <w:tcPr/>
          <w:p>
            <w:pPr>
              <w:pStyle w:val="Compact"/>
              <w:jc w:val="left"/>
            </w:pPr>
            <w:r>
              <w:t xml:space="preserve">Comentario</w:t>
            </w:r>
          </w:p>
        </w:tc>
      </w:tr>
      <w:tr>
        <w:tc>
          <w:tcPr/>
          <w:p>
            <w:pPr>
              <w:pStyle w:val="Compact"/>
              <w:jc w:val="left"/>
            </w:pPr>
            <w:r>
              <w:t xml:space="preserve">A. Crecimiento</w:t>
            </w:r>
          </w:p>
        </w:tc>
        <w:tc>
          <w:tcPr/>
          <w:p>
            <w:pPr>
              <w:pStyle w:val="Compact"/>
              <w:jc w:val="left"/>
            </w:pPr>
            <w:r>
              <w:t xml:space="preserve">18,3</w:t>
            </w:r>
          </w:p>
        </w:tc>
        <w:tc>
          <w:tcPr/>
          <w:p>
            <w:pPr>
              <w:pStyle w:val="Compact"/>
              <w:jc w:val="left"/>
            </w:pPr>
            <w:r>
              <w:t xml:space="preserve">25</w:t>
            </w:r>
          </w:p>
        </w:tc>
        <w:tc>
          <w:tcPr/>
          <w:p>
            <w:pPr>
              <w:pStyle w:val="Compact"/>
              <w:jc w:val="left"/>
            </w:pPr>
            <w:r>
              <w:t xml:space="preserve">+29 % en 12 meses, CAGR del 29 % y aceleración de +45 puntos (efecto de base)</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c>
          <w:tcPr/>
          <w:p>
            <w:pPr>
              <w:pStyle w:val="Compact"/>
              <w:jc w:val="left"/>
            </w:pPr>
            <w:r>
              <w:t xml:space="preserve">Penetración del 4,8 %, tecnología 3, posición 3</w:t>
            </w:r>
          </w:p>
        </w:tc>
      </w:tr>
      <w:tr>
        <w:tc>
          <w:tcPr/>
          <w:p>
            <w:pPr>
              <w:pStyle w:val="Compact"/>
              <w:jc w:val="left"/>
            </w:pPr>
            <w:r>
              <w:t xml:space="preserve">C. Cambio de tendencia</w:t>
            </w:r>
          </w:p>
        </w:tc>
        <w:tc>
          <w:tcPr/>
          <w:p>
            <w:pPr>
              <w:pStyle w:val="Compact"/>
              <w:jc w:val="left"/>
            </w:pPr>
            <w:r>
              <w:t xml:space="preserve">5,0</w:t>
            </w:r>
          </w:p>
        </w:tc>
        <w:tc>
          <w:tcPr/>
          <w:p>
            <w:pPr>
              <w:pStyle w:val="Compact"/>
              <w:jc w:val="left"/>
            </w:pPr>
            <w:r>
              <w:t xml:space="preserve">20</w:t>
            </w:r>
          </w:p>
        </w:tc>
        <w:tc>
          <w:tcPr/>
          <w:p>
            <w:pPr>
              <w:pStyle w:val="Compact"/>
              <w:jc w:val="left"/>
            </w:pPr>
            <w:r>
              <w:t xml:space="preserve">2 de 8 señales; sin euforia hoy</w:t>
            </w:r>
          </w:p>
        </w:tc>
      </w:tr>
      <w:tr>
        <w:tc>
          <w:tcPr/>
          <w:p>
            <w:pPr>
              <w:pStyle w:val="Compact"/>
              <w:jc w:val="left"/>
            </w:pPr>
            <w:r>
              <w:t xml:space="preserve">D. Economía unitaria</w:t>
            </w:r>
          </w:p>
        </w:tc>
        <w:tc>
          <w:tcPr/>
          <w:p>
            <w:pPr>
              <w:pStyle w:val="Compact"/>
              <w:jc w:val="left"/>
            </w:pPr>
            <w:r>
              <w:t xml:space="preserve">9,0</w:t>
            </w:r>
          </w:p>
        </w:tc>
        <w:tc>
          <w:tcPr/>
          <w:p>
            <w:pPr>
              <w:pStyle w:val="Compact"/>
              <w:jc w:val="left"/>
            </w:pPr>
            <w:r>
              <w:t xml:space="preserve">15</w:t>
            </w:r>
          </w:p>
        </w:tc>
        <w:tc>
          <w:tcPr/>
          <w:p>
            <w:pPr>
              <w:pStyle w:val="Compact"/>
              <w:jc w:val="left"/>
            </w:pPr>
            <w:r>
              <w:t xml:space="preserve">Margen bruto del 20,9 %, regla del 40 de 44, FCF creciente</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dilución del 0,2 %</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62,7</w:t>
            </w:r>
          </w:p>
        </w:tc>
        <w:tc>
          <w:tcPr/>
          <w:p>
            <w:pPr>
              <w:pStyle w:val="Compact"/>
              <w:jc w:val="left"/>
            </w:pPr>
            <w:r>
              <w:rPr>
                <w:bCs/>
                <w:b/>
              </w:rPr>
              <w:t xml:space="preserve">100</w:t>
            </w:r>
          </w:p>
        </w:tc>
        <w:tc>
          <w:tcPr/>
          <w:p>
            <w:pPr>
              <w:pStyle w:val="Compact"/>
            </w:pPr>
          </w:p>
        </w:tc>
      </w:tr>
    </w:tbl>
    <w:bookmarkEnd w:id="33"/>
    <w:bookmarkStart w:id="34" w:name="X81da8d965ce68425a37128028b9e186d24a9a9f"/>
    <w:p>
      <w:pPr>
        <w:pStyle w:val="Heading2"/>
      </w:pPr>
      <w:r>
        <w:t xml:space="preserve">Mejoras de método que salen de este informe</w:t>
      </w:r>
    </w:p>
    <w:p>
      <w:pPr>
        <w:numPr>
          <w:ilvl w:val="0"/>
          <w:numId w:val="1015"/>
        </w:numPr>
        <w:pStyle w:val="Compact"/>
      </w:pPr>
      <w:r>
        <w:rPr>
          <w:bCs/>
          <w:b/>
        </w:rPr>
        <w:t xml:space="preserve">Caja de anticipos y EBITDA con intereses</w:t>
      </w:r>
      <w:r>
        <w:t xml:space="preserve"> </w:t>
      </w:r>
      <w:r>
        <w:t xml:space="preserve">(contratistas con mucha caja: Argan, Comfort Systems). Propuesta:</w:t>
      </w:r>
    </w:p>
    <w:p>
      <w:pPr>
        <w:numPr>
          <w:ilvl w:val="1"/>
          <w:numId w:val="1016"/>
        </w:numPr>
        <w:pStyle w:val="Compact"/>
      </w:pPr>
      <w:r>
        <w:t xml:space="preserve">un campo</w:t>
      </w:r>
      <w:r>
        <w:t xml:space="preserve"> </w:t>
      </w:r>
      <w:r>
        <w:rPr>
          <w:rStyle w:val="VerbatimChar"/>
        </w:rPr>
        <w:t xml:space="preserve">caja_excedente_m</w:t>
      </w:r>
      <w:r>
        <w:t xml:space="preserve"> </w:t>
      </w:r>
      <w:r>
        <w:t xml:space="preserve">(liquidez neta, o caja menos anticipos de clientes) que sustituya a</w:t>
      </w:r>
      <w:r>
        <w:t xml:space="preserve"> </w:t>
      </w:r>
      <w:r>
        <w:rPr>
          <w:rStyle w:val="VerbatimChar"/>
        </w:rPr>
        <w:t xml:space="preserve">caja_m</w:t>
      </w:r>
      <w:r>
        <w:t xml:space="preserve"> </w:t>
      </w:r>
      <w:r>
        <w:t xml:space="preserve">en el precio;</w:t>
      </w:r>
    </w:p>
    <w:p>
      <w:pPr>
        <w:numPr>
          <w:ilvl w:val="1"/>
          <w:numId w:val="1016"/>
        </w:numPr>
        <w:pStyle w:val="Compact"/>
      </w:pPr>
      <w:r>
        <w:t xml:space="preserve">una alerta si los anticipos superan el 30 % de la caja;</w:t>
      </w:r>
    </w:p>
    <w:p>
      <w:pPr>
        <w:numPr>
          <w:ilvl w:val="1"/>
          <w:numId w:val="1016"/>
        </w:numPr>
        <w:pStyle w:val="Compact"/>
      </w:pPr>
      <w:r>
        <w:t xml:space="preserve">que</w:t>
      </w:r>
      <w:r>
        <w:t xml:space="preserve"> </w:t>
      </w:r>
      <w:r>
        <w:rPr>
          <w:rStyle w:val="VerbatimChar"/>
        </w:rPr>
        <w:t xml:space="preserve">ebitda_ntm_m</w:t>
      </w:r>
      <w:r>
        <w:t xml:space="preserve"> </w:t>
      </w:r>
      <w:r>
        <w:t xml:space="preserve">excluya siempre los ingresos financieros.</w:t>
      </w:r>
    </w:p>
    <w:p>
      <w:pPr>
        <w:numPr>
          <w:ilvl w:val="0"/>
          <w:numId w:val="1000"/>
        </w:numPr>
        <w:pStyle w:val="Compact"/>
      </w:pPr>
      <w:r>
        <w:t xml:space="preserve">En Argan la diferencia es de 588 M, el 11 % del valor de mercado. Comfort Systems usó toda la caja (1.855 M): conviene revisarlo con el mismo criterio.</w:t>
      </w:r>
    </w:p>
    <w:p>
      <w:pPr>
        <w:numPr>
          <w:ilvl w:val="0"/>
          <w:numId w:val="1015"/>
        </w:numPr>
        <w:pStyle w:val="Compact"/>
      </w:pPr>
      <w:r>
        <w:rPr>
          <w:bCs/>
          <w:b/>
        </w:rPr>
        <w:t xml:space="preserve">Empresas de proyectos con cartera de pedidos</w:t>
      </w:r>
      <w:r>
        <w:t xml:space="preserve">. Propuesta:</w:t>
      </w:r>
    </w:p>
    <w:p>
      <w:pPr>
        <w:numPr>
          <w:ilvl w:val="1"/>
          <w:numId w:val="1017"/>
        </w:numPr>
        <w:pStyle w:val="Compact"/>
      </w:pPr>
      <w:r>
        <w:t xml:space="preserve">una alerta «cartera que baja dos trimestres seguidos con la proyección mecánica por encima de la cartera más el consenso»;</w:t>
      </w:r>
    </w:p>
    <w:p>
      <w:pPr>
        <w:numPr>
          <w:ilvl w:val="1"/>
          <w:numId w:val="1017"/>
        </w:numPr>
        <w:pStyle w:val="Compact"/>
      </w:pPr>
      <w:r>
        <w:t xml:space="preserve">en estas empresas, medir la aceleración con 12 meses frente a 12 meses, no con el último trimestre, para no puntuar efectos de base (Argan saca 5 de 5 en aceleración por un +61 % sobre un trimestre plano).</w:t>
      </w:r>
    </w:p>
    <w:p>
      <w:pPr>
        <w:numPr>
          <w:ilvl w:val="0"/>
          <w:numId w:val="1000"/>
        </w:numPr>
        <w:pStyle w:val="Compact"/>
      </w:pPr>
      <w:r>
        <w:t xml:space="preserve">Probar en el backtest con casos de proyectos (Fluor, MasTec, Primoris) antes de usarlo.</w:t>
      </w:r>
    </w:p>
    <w:p>
      <w:pPr>
        <w:numPr>
          <w:ilvl w:val="0"/>
          <w:numId w:val="1015"/>
        </w:numPr>
        <w:pStyle w:val="Compact"/>
      </w:pPr>
      <w:r>
        <w:rPr>
          <w:bCs/>
          <w:b/>
        </w:rPr>
        <w:t xml:space="preserve">Veto de euforia en contratistas</w:t>
      </w:r>
      <w:r>
        <w:t xml:space="preserve">: como ya se vio con Quanta, el EV/beneficio bruto (15,7x) no capta la euforia de un contratista. En junio Argan cotizaba a unas 48 veces EBITDA, con +262 % en 12 meses; el veto solo habría saltado porque el EV/beneficio bruto rozaba 34. Esto refuerza la propuesta de Quanta: en las valoradas por EV/EBITDA, que la euforia salte también con subida ≥ 150 % y múltiplo &gt; 1,5 veces su mediana.</w:t>
      </w:r>
    </w:p>
    <w:bookmarkEnd w:id="34"/>
    <w:bookmarkStart w:id="35" w:name="fuentes"/>
    <w:p>
      <w:pPr>
        <w:pStyle w:val="Heading2"/>
      </w:pPr>
      <w:r>
        <w:t xml:space="preserve">Fuentes</w:t>
      </w:r>
    </w:p>
    <w:p>
      <w:pPr>
        <w:pStyle w:val="FirstParagraph"/>
      </w:pPr>
      <w:r>
        <w:t xml:space="preserve">[1] Argan, notas de resultados del 2T (8-K, ex. 99.1, 2-sep-2026) y del 1T (4-jun-2026) del ejercicio 2027; dividendo (9-sep-2026); compra de ValCor (4-ago-2026). SEC EDGAR.</w:t>
      </w:r>
      <w:r>
        <w:t xml:space="preserve"> </w:t>
      </w:r>
      <w:r>
        <w:t xml:space="preserve">[2] SEC EDGAR: 10-Q del 2T del ejercicio 2027 (segmentos, clientes, obligaciones pendientes, proyectos en cartera, riesgos); XBRL companyfacts (CIK 100591), series trimestrales 2021-2026.</w:t>
      </w:r>
      <w:r>
        <w:t xml:space="preserve"> </w:t>
      </w:r>
      <w:r>
        <w:t xml:space="preserve">[3] SEC, formularios 4 de oct-2025 a sep-2026 (ventas de consejeros y directivos; ninguna compra en mercado).</w:t>
      </w:r>
      <w:r>
        <w:t xml:space="preserve"> </w:t>
      </w:r>
      <w:r>
        <w:t xml:space="preserve">[4] Yahoo Finance chart API (diarios a 2 años, mensuales a 5 años, intradía; 388,10 USD el 13-oct; 365,83 USD a las 20:00 UTC del 14-oct) y Nasdaq.com (histórico: cierre de 388,10 USD el 13-oct); stockanalysis.com (366,01 al cierre del 14-oct); SPY para el índice.</w:t>
      </w:r>
      <w:r>
        <w:t xml:space="preserve"> </w:t>
      </w:r>
      <w:r>
        <w:t xml:space="preserve">[5] Yahoo Finance (consenso de 6 analistas, 14-oct-2026) y stockanalysis.com (precios objetivo y acciones de analistas, sep-2026).</w:t>
      </w:r>
      <w:r>
        <w:t xml:space="preserve"> </w:t>
      </w:r>
      <w:r>
        <w:t xml:space="preserve">[6] TickFlow (ventas del ejercicio a ene-2029, datos a 1-ago-2026, vía resumen de búsqueda) y Simply Wall St (escenarios 2029).</w:t>
      </w:r>
      <w:r>
        <w:t xml:space="preserve"> </w:t>
      </w:r>
      <w:r>
        <w:t xml:space="preserve">[7] Resúmenes de la llamada del 2T (Yahoo Finance, 2/3-sep-2026).</w:t>
      </w:r>
      <w:r>
        <w:t xml:space="preserve"> </w:t>
      </w:r>
      <w:r>
        <w:t xml:space="preserve">[8] Fecha de resultados del 3T: estimada por el calendario de años anteriores.</w:t>
      </w:r>
      <w:r>
        <w:t xml:space="preserve"> </w:t>
      </w:r>
      <w:r>
        <w:t xml:space="preserve">[9] Estimaciones propias: EBITDA NTM sin intereses, EV con liquidez neta, múltiplos históricos reconstruidos, comparables aproximados, DCF inverso.</w:t>
      </w:r>
      <w:r>
        <w:t xml:space="preserve"> </w:t>
      </w:r>
      <w:r>
        <w:t xml:space="preserve">[10] Simply Wall St, QuiverQuant, Ad-hoc-news, Walnut Invest, The Motley Fool (2026).</w:t>
      </w:r>
      <w:r>
        <w:t xml:space="preserve"> </w:t>
      </w:r>
      <w:r>
        <w:t xml:space="preserve">[11] Búsquedas en Reddit, Rankia e Investing.com ES sin hilos relevantes; StockTwits/X no consultados.</w:t>
      </w:r>
      <w:r>
        <w:t xml:space="preserve"> </w:t>
      </w:r>
      <w:r>
        <w:t xml:space="preserve">[12] Mercado alcanzable: estimación propia de memoria, sin fuente primaria.</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2026-10-14T21:41:07Z</dcterms:created>
  <dcterms:modified xsi:type="dcterms:W3CDTF">2026-10-14T21:41:07Z</dcterms:modified>
</cp:coreProperties>
</file>

<file path=docProps/custom.xml><?xml version="1.0" encoding="utf-8"?>
<Properties xmlns="http://schemas.openxmlformats.org/officeDocument/2006/custom-properties" xmlns:vt="http://schemas.openxmlformats.org/officeDocument/2006/docPropsVTypes"/>
</file>