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d228add407647e93ba808c01724f4ab280db612"/>
    <w:p>
      <w:pPr>
        <w:pStyle w:val="Heading1"/>
      </w:pPr>
      <w:r>
        <w:t xml:space="preserve">Axsome Therapeutics (AXSM): análisis growth, 14-oct-2026</w:t>
      </w:r>
    </w:p>
    <w:p>
      <w:pPr>
        <w:pStyle w:val="FirstParagraph"/>
      </w:pPr>
      <w:r>
        <w:rPr>
          <w:bCs/>
          <w:b/>
        </w:rPr>
        <w:t xml:space="preserve">Señal (método v11, vigente): Mantener</w:t>
      </w:r>
      <w:r>
        <w:t xml:space="preserve"> </w:t>
      </w:r>
      <w:r>
        <w:t xml:space="preserve">(no comprar si no se tiene) · Puntuación 58/100 · Señales de cambio de tendencia 2/8 · EV/beneficio bruto NTM 7,7x</w:t>
      </w:r>
      <w:r>
        <w:t xml:space="preserve"> </w:t>
      </w:r>
      <w:r>
        <w:t xml:space="preserve">Precio 156,32 USD (cierre del 13-oct) · Objetivo a 12 meses 147,9 USD · Rentabilidad ponderada −5,4 % · Caso base +1,1 % · Bajista −55,4 % · Alcista +89,7 % · Compra hasta 139,5 USD</w:t>
      </w:r>
      <w:r>
        <w:t xml:space="preserve"> </w:t>
      </w:r>
      <w:r>
        <w:rPr>
          <w:bCs/>
          <w:b/>
        </w:rPr>
        <w:t xml:space="preserve">Al precio actual</w:t>
      </w:r>
      <w:r>
        <w:t xml:space="preserve"> </w:t>
      </w:r>
      <w:r>
        <w:t xml:space="preserve">(162,22 USD, cierre del 14-oct, 20:00 UTC; objetivo fijo): ponderada −8,8 %.</w:t>
      </w:r>
      <w:r>
        <w:t xml:space="preserve"> </w:t>
      </w:r>
      <w:r>
        <w:t xml:space="preserve">Referencia v9: Mantener, ponderada −2,0 %, base +7,9 %, compra hasta 145,9 USD. v9 usa la proyección mecánica (1.815 M de ventas en el base); v11 usa la del informe (1.700 M).</w:t>
      </w:r>
      <w:r>
        <w:t xml:space="preserve"> </w:t>
      </w:r>
      <w:r>
        <w:t xml:space="preserve">Candidata v14 (no vigente): Mantener, ponderada −4,7 %, compra hasta 140,6 USD. v12 no aplica: no ha comprado negocios que vendan.</w:t>
      </w:r>
      <w:r>
        <w:t xml:space="preserve"> </w:t>
      </w:r>
      <w:r>
        <w:t xml:space="preserve">Alertas de robustez (</w:t>
      </w:r>
      <w:r>
        <w:rPr>
          <w:rStyle w:val="VerbatimChar"/>
        </w:rPr>
        <w:t xml:space="preserve">calc.alertas</w:t>
      </w:r>
      <w:r>
        <w:t xml:space="preserve">): dos (sección 11). Prueba de robustez:</w:t>
      </w:r>
      <w:r>
        <w:t xml:space="preserve"> </w:t>
      </w:r>
      <w:r>
        <w:rPr>
          <w:bCs/>
          <w:b/>
        </w:rPr>
        <w:t xml:space="preserve">SÓLIDA, Mantener</w:t>
      </w:r>
      <w:r>
        <w:t xml:space="preserve"> </w:t>
      </w:r>
      <w:r>
        <w:t xml:space="preserve">(sección 11).</w:t>
      </w:r>
      <w:r>
        <w:t xml:space="preserve"> </w:t>
      </w:r>
      <w:r>
        <w:t xml:space="preserve">Peso orientativo:</w:t>
      </w:r>
      <w:r>
        <w:t xml:space="preserve"> </w:t>
      </w:r>
      <w:r>
        <w:rPr>
          <w:bCs/>
          <w:b/>
        </w:rPr>
        <w:t xml:space="preserve">no entra</w:t>
      </w:r>
      <w:r>
        <w:t xml:space="preserve">. No sustituye a nadie ni entra en la lista de suplentes (sección 13).</w:t>
      </w:r>
    </w:p>
    <w:p>
      <w:pPr>
        <w:pStyle w:val="BlockText"/>
      </w:pPr>
      <w:r>
        <w:rPr>
          <w:bCs/>
          <w:b/>
        </w:rPr>
        <w:t xml:space="preserve">Valorada por EV/ventas de los 12 meses siguientes</w:t>
      </w:r>
      <w:r>
        <w:t xml:space="preserve">: Axsome todavía pierde dinero (flujo de caja libre de 12 meses de −72 M), así que no hay EBITDA ni beneficio estable que usar. Lectura en una línea: los fármacos venden bien y la acción ha caído un 39 % desde junio, pero el precio aún descuenta un lanzamiento en agitación por alzhéimer que no se ha visto en las ventas, y si falla, el bajista es de más de la mitad; el método compraría por debajo de 139,5 USD.</w:t>
      </w:r>
    </w:p>
    <w:bookmarkStart w:id="20" w:name="la-tesis-en-cinco-líneas"/>
    <w:p>
      <w:pPr>
        <w:pStyle w:val="Heading2"/>
      </w:pPr>
      <w:r>
        <w:t xml:space="preserve">1. La tesis en cinco líneas</w:t>
      </w:r>
    </w:p>
    <w:p>
      <w:pPr>
        <w:numPr>
          <w:ilvl w:val="0"/>
          <w:numId w:val="1001"/>
        </w:numPr>
        <w:pStyle w:val="Compact"/>
      </w:pPr>
      <w:r>
        <w:t xml:space="preserve">Axsome vende tres fármacos para el sistema nervioso en EE. UU.</w:t>
      </w:r>
      <w:r>
        <w:t xml:space="preserve"> </w:t>
      </w:r>
      <w:r>
        <w:rPr>
          <w:bCs/>
          <w:b/>
        </w:rPr>
        <w:t xml:space="preserve">Auvelity</w:t>
      </w:r>
      <w:r>
        <w:t xml:space="preserve"> </w:t>
      </w:r>
      <w:r>
        <w:t xml:space="preserve">(depresión y, desde abril de 2026, agitación por alzhéimer) es el</w:t>
      </w:r>
      <w:r>
        <w:t xml:space="preserve"> </w:t>
      </w:r>
      <w:r>
        <w:rPr>
          <w:bCs/>
          <w:b/>
        </w:rPr>
        <w:t xml:space="preserve">80 % de los ingresos</w:t>
      </w:r>
      <w:r>
        <w:t xml:space="preserve">; Sunosi (somnolencia) el 18 % y Symbravo (migraña) el 2 %. Ventas de 12 meses:</w:t>
      </w:r>
      <w:r>
        <w:t xml:space="preserve"> </w:t>
      </w:r>
      <w:r>
        <w:rPr>
          <w:bCs/>
          <w:b/>
        </w:rPr>
        <w:t xml:space="preserve">776,6 M USD, +57 %</w:t>
      </w:r>
      <w:r>
        <w:t xml:space="preserve">, con un 93 % de margen bruto [1][13].</w:t>
      </w:r>
    </w:p>
    <w:p>
      <w:pPr>
        <w:numPr>
          <w:ilvl w:val="0"/>
          <w:numId w:val="1001"/>
        </w:numPr>
        <w:pStyle w:val="Compact"/>
      </w:pPr>
      <w:r>
        <w:t xml:space="preserve">La gran apuesta es</w:t>
      </w:r>
      <w:r>
        <w:t xml:space="preserve"> </w:t>
      </w:r>
      <w:r>
        <w:rPr>
          <w:bCs/>
          <w:b/>
        </w:rPr>
        <w:t xml:space="preserve">Auvelity en agitación por alzhéimer</w:t>
      </w:r>
      <w:r>
        <w:t xml:space="preserve">: más de 20 millones de recetas al año, casi todas de genéricos fuera de ficha, y un solo rival de marca. La dirección habla de un pico de más de 8.000 M para Auvelity [7].</w:t>
      </w:r>
    </w:p>
    <w:p>
      <w:pPr>
        <w:numPr>
          <w:ilvl w:val="0"/>
          <w:numId w:val="1001"/>
        </w:numPr>
        <w:pStyle w:val="Compact"/>
      </w:pPr>
      <w:r>
        <w:t xml:space="preserve">Las recetas tras el lanzamiento (junio) van</w:t>
      </w:r>
      <w:r>
        <w:t xml:space="preserve"> </w:t>
      </w:r>
      <w:r>
        <w:rPr>
          <w:bCs/>
          <w:b/>
        </w:rPr>
        <w:t xml:space="preserve">por debajo de lo esperado</w:t>
      </w:r>
      <w:r>
        <w:t xml:space="preserve">; la dirección dice que tardará uno o dos trimestres más y la acción ha caído un 39 % desde el máximo de junio [14][15].</w:t>
      </w:r>
    </w:p>
    <w:p>
      <w:pPr>
        <w:numPr>
          <w:ilvl w:val="0"/>
          <w:numId w:val="1001"/>
        </w:numPr>
        <w:pStyle w:val="Compact"/>
      </w:pPr>
      <w:r>
        <w:t xml:space="preserve">Precio:</w:t>
      </w:r>
      <w:r>
        <w:t xml:space="preserve"> </w:t>
      </w:r>
      <w:r>
        <w:rPr>
          <w:bCs/>
          <w:b/>
        </w:rPr>
        <w:t xml:space="preserve">7,1 veces las ventas de los 12 meses siguientes</w:t>
      </w:r>
      <w:r>
        <w:t xml:space="preserve">, su nivel más bajo en un año y por debajo de su mediana de 3 años (8,6x). Pero el consenso espera un +60 % en 12 meses, y eso ya es mucho pedir.</w:t>
      </w:r>
    </w:p>
    <w:p>
      <w:pPr>
        <w:numPr>
          <w:ilvl w:val="0"/>
          <w:numId w:val="1001"/>
        </w:numPr>
        <w:pStyle w:val="Compact"/>
      </w:pPr>
      <w:r>
        <w:t xml:space="preserve">Conclusión:</w:t>
      </w:r>
      <w:r>
        <w:t xml:space="preserve"> </w:t>
      </w:r>
      <w:r>
        <w:rPr>
          <w:bCs/>
          <w:b/>
        </w:rPr>
        <w:t xml:space="preserve">Mantener, no comprar</w:t>
      </w:r>
      <w:r>
        <w:t xml:space="preserve">. Con unas ventas un poco por debajo del consenso, el caso base da +1 % y el bajista −55 %; la puntuación (58) no llega al mínimo de 60. Compraría por debajo de</w:t>
      </w:r>
      <w:r>
        <w:t xml:space="preserve"> </w:t>
      </w:r>
      <w:r>
        <w:rPr>
          <w:bCs/>
          <w:b/>
        </w:rPr>
        <w:t xml:space="preserve">139,5 USD</w:t>
      </w:r>
      <w:r>
        <w:t xml:space="preserve">.</w:t>
      </w:r>
    </w:p>
    <w:bookmarkEnd w:id="20"/>
    <w:bookmarkStart w:id="21" w:name="negocio-y-tecnología"/>
    <w:p>
      <w:pPr>
        <w:pStyle w:val="Heading2"/>
      </w:pPr>
      <w:r>
        <w:t xml:space="preserve">2. Negocio y tecnología</w:t>
      </w:r>
    </w:p>
    <w:p>
      <w:pPr>
        <w:pStyle w:val="FirstParagraph"/>
      </w:pPr>
      <w:r>
        <w:t xml:space="preserve">Axsome (Nueva York, 1.346 empleados) compra o licencia moléculas conocidas y las desarrolla para usos nuevos del sistema nervioso [2].</w:t>
      </w:r>
    </w:p>
    <w:p>
      <w:pPr>
        <w:numPr>
          <w:ilvl w:val="0"/>
          <w:numId w:val="1002"/>
        </w:numPr>
      </w:pPr>
      <w:r>
        <w:rPr>
          <w:bCs/>
          <w:b/>
        </w:rPr>
        <w:t xml:space="preserve">Auvelity</w:t>
      </w:r>
      <w:r>
        <w:t xml:space="preserve"> </w:t>
      </w:r>
      <w:r>
        <w:t xml:space="preserve">(dextrometorfano + bupropión): antidepresivo oral de acción rápida, con un mecanismo distinto (receptores NMDA y sigma-1). Aprobado en depresión mayor en 2022 y en</w:t>
      </w:r>
      <w:r>
        <w:t xml:space="preserve"> </w:t>
      </w:r>
      <w:r>
        <w:rPr>
          <w:bCs/>
          <w:b/>
        </w:rPr>
        <w:t xml:space="preserve">agitación por alzhéimer el 30-abr-2026</w:t>
      </w:r>
      <w:r>
        <w:t xml:space="preserve">, sin el aviso de mortalidad en ancianos con demencia que lleva su rival Rexulti [1][7][8][18, de memoria].</w:t>
      </w:r>
    </w:p>
    <w:p>
      <w:pPr>
        <w:numPr>
          <w:ilvl w:val="0"/>
          <w:numId w:val="1002"/>
        </w:numPr>
      </w:pPr>
      <w:r>
        <w:rPr>
          <w:bCs/>
          <w:b/>
        </w:rPr>
        <w:t xml:space="preserve">Sunosi</w:t>
      </w:r>
      <w:r>
        <w:t xml:space="preserve"> </w:t>
      </w:r>
      <w:r>
        <w:t xml:space="preserve">(solriamfetol): somnolencia diurna por narcolepsia o apnea del sueño; comprado a Jazz en 2022. En fase 3 para TDAH, depresión con somnolencia, atracones y trabajo por turnos [1].</w:t>
      </w:r>
    </w:p>
    <w:p>
      <w:pPr>
        <w:numPr>
          <w:ilvl w:val="0"/>
          <w:numId w:val="1002"/>
        </w:numPr>
      </w:pPr>
      <w:r>
        <w:rPr>
          <w:bCs/>
          <w:b/>
        </w:rPr>
        <w:t xml:space="preserve">Symbravo</w:t>
      </w:r>
      <w:r>
        <w:t xml:space="preserve"> </w:t>
      </w:r>
      <w:r>
        <w:t xml:space="preserve">(meloxicam + rizatriptán): migraña aguda, lanzado en junio de 2025; aún pequeño (descuentos altos) [1][8].</w:t>
      </w:r>
    </w:p>
    <w:p>
      <w:pPr>
        <w:numPr>
          <w:ilvl w:val="0"/>
          <w:numId w:val="1002"/>
        </w:numPr>
      </w:pPr>
      <w:r>
        <w:rPr>
          <w:bCs/>
          <w:b/>
        </w:rPr>
        <w:t xml:space="preserve">Candidatos</w:t>
      </w:r>
      <w:r>
        <w:t xml:space="preserve">: AXS-12 (reboxetina) para la cataplejía en narcolepsia, con decisión de la FDA el</w:t>
      </w:r>
      <w:r>
        <w:t xml:space="preserve"> </w:t>
      </w:r>
      <w:r>
        <w:rPr>
          <w:bCs/>
          <w:b/>
        </w:rPr>
        <w:t xml:space="preserve">1-may-2027</w:t>
      </w:r>
      <w:r>
        <w:t xml:space="preserve">; AXS-14 (fibromialgia, fase 3); AXS-17 (epilepsia); balipodect (esquizofrenia, comprado a Takeda en abril); y Auvelity para dejar de fumar (fase 2/3) [1][8].</w:t>
      </w:r>
    </w:p>
    <w:p>
      <w:pPr>
        <w:numPr>
          <w:ilvl w:val="0"/>
          <w:numId w:val="1002"/>
        </w:numPr>
      </w:pPr>
      <w:r>
        <w:rPr>
          <w:bCs/>
          <w:b/>
        </w:rPr>
        <w:t xml:space="preserve">Tecnología 3/5</w:t>
      </w:r>
      <w:r>
        <w:t xml:space="preserve">: son combinaciones o moléculas ya conocidas; lo que protege el negocio son las patentes y la exclusividad pactada (genéricos de Auvelity desde septiembre de 2038, de Sunosi desde marzo de 2040) [2][3]. Otros pueden desarrollar fármacos con mecanismos parecidos.</w:t>
      </w:r>
    </w:p>
    <w:p>
      <w:pPr>
        <w:numPr>
          <w:ilvl w:val="0"/>
          <w:numId w:val="1002"/>
        </w:numPr>
      </w:pPr>
      <w:r>
        <w:rPr>
          <w:bCs/>
          <w:b/>
        </w:rPr>
        <w:t xml:space="preserve">Posición 3/5</w:t>
      </w:r>
      <w:r>
        <w:t xml:space="preserve">: Auvelity tiene menos del 0,3 % de las recetas de antidepresivos, pero crece; en agitación por alzhéimer es uno de los dos fármacos de marca aprobados [7].</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Trimestre</w:t>
            </w:r>
          </w:p>
        </w:tc>
        <w:tc>
          <w:tcPr/>
          <w:p>
            <w:pPr>
              <w:pStyle w:val="Compact"/>
              <w:jc w:val="left"/>
            </w:pPr>
            <w:r>
              <w:t xml:space="preserve">Ingresos (M USD)</w:t>
            </w:r>
          </w:p>
        </w:tc>
        <w:tc>
          <w:tcPr/>
          <w:p>
            <w:pPr>
              <w:pStyle w:val="Compact"/>
              <w:jc w:val="left"/>
            </w:pPr>
            <w:r>
              <w:t xml:space="preserve">Crec. interanual</w:t>
            </w:r>
          </w:p>
        </w:tc>
        <w:tc>
          <w:tcPr/>
          <w:p>
            <w:pPr>
              <w:pStyle w:val="Compact"/>
              <w:jc w:val="left"/>
            </w:pPr>
            <w:r>
              <w:t xml:space="preserve">Auvelity</w:t>
            </w:r>
          </w:p>
        </w:tc>
        <w:tc>
          <w:tcPr/>
          <w:p>
            <w:pPr>
              <w:pStyle w:val="Compact"/>
              <w:jc w:val="left"/>
            </w:pPr>
            <w:r>
              <w:t xml:space="preserve">Sunosi</w:t>
            </w:r>
          </w:p>
        </w:tc>
        <w:tc>
          <w:tcPr/>
          <w:p>
            <w:pPr>
              <w:pStyle w:val="Compact"/>
              <w:jc w:val="left"/>
            </w:pPr>
            <w:r>
              <w:t xml:space="preserve">Symbravo</w:t>
            </w:r>
          </w:p>
        </w:tc>
      </w:tr>
      <w:tr>
        <w:tc>
          <w:tcPr/>
          <w:p>
            <w:pPr>
              <w:pStyle w:val="Compact"/>
              <w:jc w:val="left"/>
            </w:pPr>
            <w:r>
              <w:t xml:space="preserve">2T25</w:t>
            </w:r>
          </w:p>
        </w:tc>
        <w:tc>
          <w:tcPr/>
          <w:p>
            <w:pPr>
              <w:pStyle w:val="Compact"/>
              <w:jc w:val="left"/>
            </w:pPr>
            <w:r>
              <w:t xml:space="preserve">150,0</w:t>
            </w:r>
          </w:p>
        </w:tc>
        <w:tc>
          <w:tcPr/>
          <w:p>
            <w:pPr>
              <w:pStyle w:val="Compact"/>
              <w:jc w:val="left"/>
            </w:pPr>
            <w:r>
              <w:t xml:space="preserve">72 %</w:t>
            </w:r>
          </w:p>
        </w:tc>
        <w:tc>
          <w:tcPr/>
          <w:p>
            <w:pPr>
              <w:pStyle w:val="Compact"/>
              <w:jc w:val="left"/>
            </w:pPr>
            <w:r>
              <w:t xml:space="preserve">119,6</w:t>
            </w:r>
          </w:p>
        </w:tc>
        <w:tc>
          <w:tcPr/>
          <w:p>
            <w:pPr>
              <w:pStyle w:val="Compact"/>
              <w:jc w:val="left"/>
            </w:pPr>
            <w:r>
              <w:t xml:space="preserve">30,0</w:t>
            </w:r>
          </w:p>
        </w:tc>
        <w:tc>
          <w:tcPr/>
          <w:p>
            <w:pPr>
              <w:pStyle w:val="Compact"/>
              <w:jc w:val="left"/>
            </w:pPr>
            <w:r>
              <w:t xml:space="preserve">0,4</w:t>
            </w:r>
          </w:p>
        </w:tc>
      </w:tr>
      <w:tr>
        <w:tc>
          <w:tcPr/>
          <w:p>
            <w:pPr>
              <w:pStyle w:val="Compact"/>
              <w:jc w:val="left"/>
            </w:pPr>
            <w:r>
              <w:t xml:space="preserve">3T25</w:t>
            </w:r>
          </w:p>
        </w:tc>
        <w:tc>
          <w:tcPr/>
          <w:p>
            <w:pPr>
              <w:pStyle w:val="Compact"/>
              <w:jc w:val="left"/>
            </w:pPr>
            <w:r>
              <w:t xml:space="preserve">171,0</w:t>
            </w:r>
          </w:p>
        </w:tc>
        <w:tc>
          <w:tcPr/>
          <w:p>
            <w:pPr>
              <w:pStyle w:val="Compact"/>
              <w:jc w:val="left"/>
            </w:pPr>
            <w:r>
              <w:t xml:space="preserve">63 %</w:t>
            </w:r>
          </w:p>
        </w:tc>
        <w:tc>
          <w:tcPr/>
          <w:p>
            <w:pPr>
              <w:pStyle w:val="Compact"/>
              <w:jc w:val="left"/>
            </w:pPr>
            <w:r>
              <w:t xml:space="preserve">136,1</w:t>
            </w:r>
          </w:p>
        </w:tc>
        <w:tc>
          <w:tcPr/>
          <w:p>
            <w:pPr>
              <w:pStyle w:val="Compact"/>
              <w:jc w:val="left"/>
            </w:pPr>
            <w:r>
              <w:t xml:space="preserve">32,8</w:t>
            </w:r>
          </w:p>
        </w:tc>
        <w:tc>
          <w:tcPr/>
          <w:p>
            <w:pPr>
              <w:pStyle w:val="Compact"/>
              <w:jc w:val="left"/>
            </w:pPr>
            <w:r>
              <w:t xml:space="preserve">2,1</w:t>
            </w:r>
          </w:p>
        </w:tc>
      </w:tr>
      <w:tr>
        <w:tc>
          <w:tcPr/>
          <w:p>
            <w:pPr>
              <w:pStyle w:val="Compact"/>
              <w:jc w:val="left"/>
            </w:pPr>
            <w:r>
              <w:t xml:space="preserve">4T25</w:t>
            </w:r>
          </w:p>
        </w:tc>
        <w:tc>
          <w:tcPr/>
          <w:p>
            <w:pPr>
              <w:pStyle w:val="Compact"/>
              <w:jc w:val="left"/>
            </w:pPr>
            <w:r>
              <w:t xml:space="preserve">196,0</w:t>
            </w:r>
          </w:p>
        </w:tc>
        <w:tc>
          <w:tcPr/>
          <w:p>
            <w:pPr>
              <w:pStyle w:val="Compact"/>
              <w:jc w:val="left"/>
            </w:pPr>
            <w:r>
              <w:t xml:space="preserve">65 %</w:t>
            </w:r>
          </w:p>
        </w:tc>
        <w:tc>
          <w:tcPr/>
          <w:p>
            <w:pPr>
              <w:pStyle w:val="Compact"/>
              <w:jc w:val="left"/>
            </w:pPr>
            <w:r>
              <w:t xml:space="preserve">155,1</w:t>
            </w:r>
          </w:p>
        </w:tc>
        <w:tc>
          <w:tcPr/>
          <w:p>
            <w:pPr>
              <w:pStyle w:val="Compact"/>
              <w:jc w:val="left"/>
            </w:pPr>
            <w:r>
              <w:t xml:space="preserve">36,7</w:t>
            </w:r>
          </w:p>
        </w:tc>
        <w:tc>
          <w:tcPr/>
          <w:p>
            <w:pPr>
              <w:pStyle w:val="Compact"/>
              <w:jc w:val="left"/>
            </w:pPr>
            <w:r>
              <w:t xml:space="preserve">4,1</w:t>
            </w:r>
          </w:p>
        </w:tc>
      </w:tr>
      <w:tr>
        <w:tc>
          <w:tcPr/>
          <w:p>
            <w:pPr>
              <w:pStyle w:val="Compact"/>
              <w:jc w:val="left"/>
            </w:pPr>
            <w:r>
              <w:t xml:space="preserve">1T26</w:t>
            </w:r>
          </w:p>
        </w:tc>
        <w:tc>
          <w:tcPr/>
          <w:p>
            <w:pPr>
              <w:pStyle w:val="Compact"/>
              <w:jc w:val="left"/>
            </w:pPr>
            <w:r>
              <w:t xml:space="preserve">191,2</w:t>
            </w:r>
          </w:p>
        </w:tc>
        <w:tc>
          <w:tcPr/>
          <w:p>
            <w:pPr>
              <w:pStyle w:val="Compact"/>
              <w:jc w:val="left"/>
            </w:pPr>
            <w:r>
              <w:t xml:space="preserve">57 %</w:t>
            </w:r>
          </w:p>
        </w:tc>
        <w:tc>
          <w:tcPr/>
          <w:p>
            <w:pPr>
              <w:pStyle w:val="Compact"/>
              <w:jc w:val="left"/>
            </w:pPr>
            <w:r>
              <w:t xml:space="preserve">153,2</w:t>
            </w:r>
          </w:p>
        </w:tc>
        <w:tc>
          <w:tcPr/>
          <w:p>
            <w:pPr>
              <w:pStyle w:val="Compact"/>
              <w:jc w:val="left"/>
            </w:pPr>
            <w:r>
              <w:t xml:space="preserve">33,9</w:t>
            </w:r>
          </w:p>
        </w:tc>
        <w:tc>
          <w:tcPr/>
          <w:p>
            <w:pPr>
              <w:pStyle w:val="Compact"/>
              <w:jc w:val="left"/>
            </w:pPr>
            <w:r>
              <w:t xml:space="preserve">4,1</w:t>
            </w:r>
          </w:p>
        </w:tc>
      </w:tr>
      <w:tr>
        <w:tc>
          <w:tcPr/>
          <w:p>
            <w:pPr>
              <w:pStyle w:val="Compact"/>
              <w:jc w:val="left"/>
            </w:pPr>
            <w:r>
              <w:t xml:space="preserve">2T26</w:t>
            </w:r>
          </w:p>
        </w:tc>
        <w:tc>
          <w:tcPr/>
          <w:p>
            <w:pPr>
              <w:pStyle w:val="Compact"/>
              <w:jc w:val="left"/>
            </w:pPr>
            <w:r>
              <w:t xml:space="preserve">218,4</w:t>
            </w:r>
          </w:p>
        </w:tc>
        <w:tc>
          <w:tcPr/>
          <w:p>
            <w:pPr>
              <w:pStyle w:val="Compact"/>
              <w:jc w:val="left"/>
            </w:pPr>
            <w:r>
              <w:t xml:space="preserve">46 %</w:t>
            </w:r>
          </w:p>
        </w:tc>
        <w:tc>
          <w:tcPr/>
          <w:p>
            <w:pPr>
              <w:pStyle w:val="Compact"/>
              <w:jc w:val="left"/>
            </w:pPr>
            <w:r>
              <w:t xml:space="preserve">180,3</w:t>
            </w:r>
          </w:p>
        </w:tc>
        <w:tc>
          <w:tcPr/>
          <w:p>
            <w:pPr>
              <w:pStyle w:val="Compact"/>
              <w:jc w:val="left"/>
            </w:pPr>
            <w:r>
              <w:t xml:space="preserve">35,8</w:t>
            </w:r>
          </w:p>
        </w:tc>
        <w:tc>
          <w:tcPr/>
          <w:p>
            <w:pPr>
              <w:pStyle w:val="Compact"/>
              <w:jc w:val="left"/>
            </w:pPr>
            <w:r>
              <w:t xml:space="preserve">2,3</w:t>
            </w:r>
          </w:p>
        </w:tc>
      </w:tr>
    </w:tbl>
    <w:p>
      <w:pPr>
        <w:pStyle w:val="BodyText"/>
      </w:pPr>
      <w:r>
        <w:t xml:space="preserve">Fuentes: [1][4][5][13].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Ingresos (M USD)</w:t>
            </w:r>
          </w:p>
        </w:tc>
        <w:tc>
          <w:tcPr/>
          <w:p>
            <w:pPr>
              <w:pStyle w:val="Compact"/>
              <w:jc w:val="left"/>
            </w:pPr>
            <w:r>
              <w:t xml:space="preserve">Crec.</w:t>
            </w:r>
          </w:p>
        </w:tc>
      </w:tr>
      <w:tr>
        <w:tc>
          <w:tcPr/>
          <w:p>
            <w:pPr>
              <w:pStyle w:val="Compact"/>
              <w:jc w:val="left"/>
            </w:pPr>
            <w:r>
              <w:t xml:space="preserve">2024</w:t>
            </w:r>
          </w:p>
        </w:tc>
        <w:tc>
          <w:tcPr/>
          <w:p>
            <w:pPr>
              <w:pStyle w:val="Compact"/>
              <w:jc w:val="left"/>
            </w:pPr>
            <w:r>
              <w:t xml:space="preserve">385,7</w:t>
            </w:r>
          </w:p>
        </w:tc>
        <w:tc>
          <w:tcPr/>
          <w:p>
            <w:pPr>
              <w:pStyle w:val="Compact"/>
              <w:jc w:val="left"/>
            </w:pPr>
            <w:r>
              <w:t xml:space="preserve">43 %</w:t>
            </w:r>
          </w:p>
        </w:tc>
      </w:tr>
      <w:tr>
        <w:tc>
          <w:tcPr/>
          <w:p>
            <w:pPr>
              <w:pStyle w:val="Compact"/>
              <w:jc w:val="left"/>
            </w:pPr>
            <w:r>
              <w:t xml:space="preserve">2025</w:t>
            </w:r>
          </w:p>
        </w:tc>
        <w:tc>
          <w:tcPr/>
          <w:p>
            <w:pPr>
              <w:pStyle w:val="Compact"/>
              <w:jc w:val="left"/>
            </w:pPr>
            <w:r>
              <w:t xml:space="preserve">638,5</w:t>
            </w:r>
          </w:p>
        </w:tc>
        <w:tc>
          <w:tcPr/>
          <w:p>
            <w:pPr>
              <w:pStyle w:val="Compact"/>
              <w:jc w:val="left"/>
            </w:pPr>
            <w:r>
              <w:t xml:space="preserve">66 %</w:t>
            </w:r>
          </w:p>
        </w:tc>
      </w:tr>
      <w:tr>
        <w:tc>
          <w:tcPr/>
          <w:p>
            <w:pPr>
              <w:pStyle w:val="Compact"/>
              <w:jc w:val="left"/>
            </w:pPr>
            <w:r>
              <w:t xml:space="preserve">2026 (consenso)</w:t>
            </w:r>
          </w:p>
        </w:tc>
        <w:tc>
          <w:tcPr/>
          <w:p>
            <w:pPr>
              <w:pStyle w:val="Compact"/>
              <w:jc w:val="left"/>
            </w:pPr>
            <w:r>
              <w:t xml:space="preserve">958,8</w:t>
            </w:r>
          </w:p>
        </w:tc>
        <w:tc>
          <w:tcPr/>
          <w:p>
            <w:pPr>
              <w:pStyle w:val="Compact"/>
              <w:jc w:val="left"/>
            </w:pPr>
            <w:r>
              <w:t xml:space="preserve">50 %</w:t>
            </w:r>
          </w:p>
        </w:tc>
      </w:tr>
      <w:tr>
        <w:tc>
          <w:tcPr/>
          <w:p>
            <w:pPr>
              <w:pStyle w:val="Compact"/>
              <w:jc w:val="left"/>
            </w:pPr>
            <w:r>
              <w:t xml:space="preserve">2027 (consenso)</w:t>
            </w:r>
          </w:p>
        </w:tc>
        <w:tc>
          <w:tcPr/>
          <w:p>
            <w:pPr>
              <w:pStyle w:val="Compact"/>
              <w:jc w:val="left"/>
            </w:pPr>
            <w:r>
              <w:t xml:space="preserve">~1.540</w:t>
            </w:r>
          </w:p>
        </w:tc>
        <w:tc>
          <w:tcPr/>
          <w:p>
            <w:pPr>
              <w:pStyle w:val="Compact"/>
              <w:jc w:val="left"/>
            </w:pPr>
            <w:r>
              <w:t xml:space="preserve">60 %</w:t>
            </w:r>
          </w:p>
        </w:tc>
      </w:tr>
    </w:tbl>
    <w:p>
      <w:pPr>
        <w:numPr>
          <w:ilvl w:val="0"/>
          <w:numId w:val="1003"/>
        </w:numPr>
        <w:pStyle w:val="Compact"/>
      </w:pPr>
      <w:r>
        <w:rPr>
          <w:bCs/>
          <w:b/>
        </w:rPr>
        <w:t xml:space="preserve">Ventas de 12 meses</w:t>
      </w:r>
      <w:r>
        <w:t xml:space="preserve">:</w:t>
      </w:r>
      <w:r>
        <w:t xml:space="preserve"> </w:t>
      </w:r>
      <w:r>
        <w:rPr>
          <w:bCs/>
          <w:b/>
        </w:rPr>
        <w:t xml:space="preserve">776,6 M USD, +56,9 %</w:t>
      </w:r>
      <w:r>
        <w:t xml:space="preserve">.</w:t>
      </w:r>
      <w:r>
        <w:t xml:space="preserve"> </w:t>
      </w:r>
      <w:r>
        <w:rPr>
          <w:bCs/>
          <w:b/>
        </w:rPr>
        <w:t xml:space="preserve">CAGR propio a 2 años: 63,2 %</w:t>
      </w:r>
      <w:r>
        <w:t xml:space="preserve">.</w:t>
      </w:r>
      <w:r>
        <w:t xml:space="preserve"> </w:t>
      </w:r>
      <w:r>
        <w:rPr>
          <w:bCs/>
          <w:b/>
        </w:rPr>
        <w:t xml:space="preserve">Aceleración: −18,8 puntos</w:t>
      </w:r>
      <w:r>
        <w:t xml:space="preserve">: sigue creciendo mucho, pero cada vez menos.</w:t>
      </w:r>
    </w:p>
    <w:p>
      <w:pPr>
        <w:numPr>
          <w:ilvl w:val="0"/>
          <w:numId w:val="1003"/>
        </w:numPr>
        <w:pStyle w:val="Compact"/>
      </w:pPr>
      <w:r>
        <w:rPr>
          <w:bCs/>
          <w:b/>
        </w:rPr>
        <w:t xml:space="preserve">Recetas de Auvelity</w:t>
      </w:r>
      <w:r>
        <w:t xml:space="preserve">: ~266.000 en el 2T26 (+34 % en un año). Tras el lanzamiento en agitación, las nuevas recetas en mayores de 65 años subieron un 126 % en ocho semanas, pero desde septiembre los datos semanales decepcionan [1][14].</w:t>
      </w:r>
    </w:p>
    <w:p>
      <w:pPr>
        <w:numPr>
          <w:ilvl w:val="0"/>
          <w:numId w:val="1003"/>
        </w:numPr>
        <w:pStyle w:val="Compact"/>
      </w:pPr>
      <w:r>
        <w:rPr>
          <w:bCs/>
          <w:b/>
        </w:rPr>
        <w:t xml:space="preserve">Guía</w:t>
      </w:r>
      <w:r>
        <w:t xml:space="preserve">: Axsome</w:t>
      </w:r>
      <w:r>
        <w:t xml:space="preserve"> </w:t>
      </w:r>
      <w:r>
        <w:rPr>
          <w:bCs/>
          <w:b/>
        </w:rPr>
        <w:t xml:space="preserve">no da guía de ventas</w:t>
      </w:r>
      <w:r>
        <w:t xml:space="preserve">. Por eso</w:t>
      </w:r>
      <w:r>
        <w:t xml:space="preserve"> </w:t>
      </w:r>
      <w:r>
        <w:rPr>
          <w:rStyle w:val="VerbatimChar"/>
        </w:rPr>
        <w:t xml:space="preserve">guia_12m_pct</w:t>
      </w:r>
      <w:r>
        <w:t xml:space="preserve"> </w:t>
      </w:r>
      <w:r>
        <w:t xml:space="preserve">es nulo y v9 no recorta nada. El consenso de 2027 (+60 %) supone que la agitación despega con fuerza.</w:t>
      </w:r>
    </w:p>
    <w:bookmarkEnd w:id="22"/>
    <w:bookmarkStart w:id="23" w:name="mercado-y-competencia"/>
    <w:p>
      <w:pPr>
        <w:pStyle w:val="Heading2"/>
      </w:pPr>
      <w:r>
        <w:t xml:space="preserve">4. Mercado y competencia</w:t>
      </w:r>
    </w:p>
    <w:p>
      <w:pPr>
        <w:numPr>
          <w:ilvl w:val="0"/>
          <w:numId w:val="1004"/>
        </w:numPr>
        <w:pStyle w:val="Compact"/>
      </w:pPr>
      <w:r>
        <w:rPr>
          <w:bCs/>
          <w:b/>
        </w:rPr>
        <w:t xml:space="preserve">Mercado alcanzable en el ejercicio objetivo: ~12.000 M USD</w:t>
      </w:r>
      <w:r>
        <w:t xml:space="preserve"> </w:t>
      </w:r>
      <w:r>
        <w:t xml:space="preserve">(estimación propia, solo EE. UU.): depresión con fármacos de marca para segunda línea, agitación por alzhéimer, somnolencia y migraña aguda. Penetración: 6,5 %.</w:t>
      </w:r>
    </w:p>
    <w:p>
      <w:pPr>
        <w:numPr>
          <w:ilvl w:val="0"/>
          <w:numId w:val="1004"/>
        </w:numPr>
        <w:pStyle w:val="Compact"/>
      </w:pPr>
      <w:r>
        <w:rPr>
          <w:bCs/>
          <w:b/>
        </w:rPr>
        <w:t xml:space="preserve">Rivales</w:t>
      </w:r>
      <w:r>
        <w:t xml:space="preserve">: en depresión, Rexulti, Vraylar, Caplyta y Spravato, más los genéricos baratos; en agitación por alzhéimer, Rexulti (Otsuka y Lundbeck) y los antipsicóticos genéricos fuera de ficha; en somnolencia, Wakix, Xywav y los nuevos agonistas de orexina que vienen; en migraña, Nurtec y Ubrelvy [3][7][18].</w:t>
      </w:r>
    </w:p>
    <w:p>
      <w:pPr>
        <w:numPr>
          <w:ilvl w:val="0"/>
          <w:numId w:val="1004"/>
        </w:numPr>
        <w:pStyle w:val="Compact"/>
      </w:pPr>
      <w:r>
        <w:rPr>
          <w:bCs/>
          <w:b/>
        </w:rPr>
        <w:t xml:space="preserve">Por qué puede ganar</w:t>
      </w:r>
      <w:r>
        <w:t xml:space="preserve">: en agitación, Auvelity actúa rápido, se tolera bien y no lleva el aviso de mortalidad de los antipsicóticos; el 100 % de las vidas cubiertas tiene acceso y más del 85 % sin autorización previa [7].</w:t>
      </w:r>
    </w:p>
    <w:p>
      <w:pPr>
        <w:numPr>
          <w:ilvl w:val="0"/>
          <w:numId w:val="1004"/>
        </w:numPr>
        <w:pStyle w:val="Compact"/>
      </w:pPr>
      <w:r>
        <w:rPr>
          <w:bCs/>
          <w:b/>
        </w:rPr>
        <w:t xml:space="preserve">Riesgo de la IA: bajo</w:t>
      </w:r>
      <w:r>
        <w:t xml:space="preserve">, por tres razones. Es un fármaco protegido por patentes y por la aprobación de la FDA; la IA no lo puede copiar ni sustituir en los próximos años. La IA sí puede acelerar que otros desarrollen fármacos rivales para el sistema nervioso, pero eso tarda más de 5 años. Y las herramientas digitales de salud mental (terapia por aplicación) no sustituyen a un fármaco en la agitación de un enfermo de alzhéimer. Tampoco es una apuesta por la IA.</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 Revisiones al alza</w:t>
            </w:r>
          </w:p>
        </w:tc>
        <w:tc>
          <w:tcPr/>
          <w:p>
            <w:pPr>
              <w:pStyle w:val="Compact"/>
              <w:jc w:val="left"/>
            </w:pPr>
            <w:r>
              <w:t xml:space="preserve">No</w:t>
            </w:r>
          </w:p>
        </w:tc>
        <w:tc>
          <w:tcPr/>
          <w:p>
            <w:pPr>
              <w:pStyle w:val="Compact"/>
              <w:jc w:val="left"/>
            </w:pPr>
            <w:r>
              <w:t xml:space="preserve">Los analistas mantienen sus objetivos en octubre, pero reconocen recetas peores de lo esperado; el 2T quedó por debajo del consenso (218 frente a 225 M)</w:t>
            </w:r>
          </w:p>
        </w:tc>
        <w:tc>
          <w:tcPr/>
          <w:p>
            <w:pPr>
              <w:pStyle w:val="Compact"/>
              <w:jc w:val="left"/>
            </w:pPr>
            <w:r>
              <w:t xml:space="preserve">[8][11][14]</w:t>
            </w:r>
          </w:p>
        </w:tc>
      </w:tr>
      <w:tr>
        <w:tc>
          <w:tcPr/>
          <w:p>
            <w:pPr>
              <w:pStyle w:val="Compact"/>
              <w:jc w:val="left"/>
            </w:pPr>
            <w:r>
              <w:t xml:space="preserve">2. Precio sobre la media de 200 sesiones</w:t>
            </w:r>
          </w:p>
        </w:tc>
        <w:tc>
          <w:tcPr/>
          <w:p>
            <w:pPr>
              <w:pStyle w:val="Compact"/>
              <w:jc w:val="left"/>
            </w:pPr>
            <w:r>
              <w:t xml:space="preserve">No</w:t>
            </w:r>
          </w:p>
        </w:tc>
        <w:tc>
          <w:tcPr/>
          <w:p>
            <w:pPr>
              <w:pStyle w:val="Compact"/>
              <w:jc w:val="left"/>
            </w:pPr>
            <w:r>
              <w:t xml:space="preserve">156,32 frente a 200,4</w:t>
            </w:r>
          </w:p>
        </w:tc>
        <w:tc>
          <w:tcPr/>
          <w:p>
            <w:pPr>
              <w:pStyle w:val="Compact"/>
              <w:jc w:val="left"/>
            </w:pPr>
            <w:r>
              <w:t xml:space="preserve">[9]</w:t>
            </w:r>
          </w:p>
        </w:tc>
      </w:tr>
      <w:tr>
        <w:tc>
          <w:tcPr/>
          <w:p>
            <w:pPr>
              <w:pStyle w:val="Compact"/>
              <w:jc w:val="left"/>
            </w:pPr>
            <w:r>
              <w:t xml:space="preserve">3. Fuerza relativa a 6 meses</w:t>
            </w:r>
          </w:p>
        </w:tc>
        <w:tc>
          <w:tcPr/>
          <w:p>
            <w:pPr>
              <w:pStyle w:val="Compact"/>
              <w:jc w:val="left"/>
            </w:pPr>
            <w:r>
              <w:t xml:space="preserve">No</w:t>
            </w:r>
          </w:p>
        </w:tc>
        <w:tc>
          <w:tcPr/>
          <w:p>
            <w:pPr>
              <w:pStyle w:val="Compact"/>
              <w:jc w:val="left"/>
            </w:pPr>
            <w:r>
              <w:t xml:space="preserve">−12 % frente a +20 % del Nasdaq-100 y +11 % del XBI</w:t>
            </w:r>
          </w:p>
        </w:tc>
        <w:tc>
          <w:tcPr/>
          <w:p>
            <w:pPr>
              <w:pStyle w:val="Compact"/>
              <w:jc w:val="left"/>
            </w:pPr>
            <w:r>
              <w:t xml:space="preserve">[9]</w:t>
            </w:r>
          </w:p>
        </w:tc>
      </w:tr>
      <w:tr>
        <w:tc>
          <w:tcPr/>
          <w:p>
            <w:pPr>
              <w:pStyle w:val="Compact"/>
              <w:jc w:val="left"/>
            </w:pPr>
            <w:r>
              <w:t xml:space="preserve">4. Mejora de múltiplo ≥ 20 %</w:t>
            </w:r>
          </w:p>
        </w:tc>
        <w:tc>
          <w:tcPr/>
          <w:p>
            <w:pPr>
              <w:pStyle w:val="Compact"/>
              <w:jc w:val="left"/>
            </w:pPr>
            <w:r>
              <w:t xml:space="preserve">No</w:t>
            </w:r>
          </w:p>
        </w:tc>
        <w:tc>
          <w:tcPr/>
          <w:p>
            <w:pPr>
              <w:pStyle w:val="Compact"/>
              <w:jc w:val="left"/>
            </w:pPr>
            <w:r>
              <w:t xml:space="preserve">El EV/ventas de hoy (7,1x) es el más bajo del año</w:t>
            </w:r>
          </w:p>
        </w:tc>
        <w:tc>
          <w:tcPr/>
          <w:p>
            <w:pPr>
              <w:pStyle w:val="Compact"/>
              <w:jc w:val="left"/>
            </w:pPr>
            <w:r>
              <w:t xml:space="preserve">[9][16]</w:t>
            </w:r>
          </w:p>
        </w:tc>
      </w:tr>
      <w:tr>
        <w:tc>
          <w:tcPr/>
          <w:p>
            <w:pPr>
              <w:pStyle w:val="Compact"/>
              <w:jc w:val="left"/>
            </w:pPr>
            <w:r>
              <w:t xml:space="preserve">5. Inflexión operativa</w:t>
            </w:r>
          </w:p>
        </w:tc>
        <w:tc>
          <w:tcPr/>
          <w:p>
            <w:pPr>
              <w:pStyle w:val="Compact"/>
              <w:jc w:val="left"/>
            </w:pPr>
            <w:r>
              <w:t xml:space="preserve">Sí</w:t>
            </w:r>
          </w:p>
        </w:tc>
        <w:tc>
          <w:tcPr/>
          <w:p>
            <w:pPr>
              <w:pStyle w:val="Compact"/>
              <w:jc w:val="left"/>
            </w:pPr>
            <w:r>
              <w:t xml:space="preserve">Margen de explotación de 12 meses de −46 % a −24 %; el 3T25 fue el primer trimestre con caja operativa positiva. En el 1S26 volvió a empeorar por el lanzamiento</w:t>
            </w:r>
          </w:p>
        </w:tc>
        <w:tc>
          <w:tcPr/>
          <w:p>
            <w:pPr>
              <w:pStyle w:val="Compact"/>
              <w:jc w:val="left"/>
            </w:pPr>
            <w:r>
              <w:t xml:space="preserve">[1][4][13]</w:t>
            </w:r>
          </w:p>
        </w:tc>
      </w:tr>
      <w:tr>
        <w:tc>
          <w:tcPr/>
          <w:p>
            <w:pPr>
              <w:pStyle w:val="Compact"/>
              <w:jc w:val="left"/>
            </w:pPr>
            <w:r>
              <w:t xml:space="preserve">6. Sentimiento mejorando</w:t>
            </w:r>
          </w:p>
        </w:tc>
        <w:tc>
          <w:tcPr/>
          <w:p>
            <w:pPr>
              <w:pStyle w:val="Compact"/>
              <w:jc w:val="left"/>
            </w:pPr>
            <w:r>
              <w:t xml:space="preserve">No</w:t>
            </w:r>
          </w:p>
        </w:tc>
        <w:tc>
          <w:tcPr/>
          <w:p>
            <w:pPr>
              <w:pStyle w:val="Compact"/>
              <w:jc w:val="left"/>
            </w:pPr>
            <w:r>
              <w:t xml:space="preserve">Empeora: doce sesiones seguidas de caída y foros con miedo a un 3T flojo</w:t>
            </w:r>
          </w:p>
        </w:tc>
        <w:tc>
          <w:tcPr/>
          <w:p>
            <w:pPr>
              <w:pStyle w:val="Compact"/>
              <w:jc w:val="left"/>
            </w:pPr>
            <w:r>
              <w:t xml:space="preserve">[14][15]</w:t>
            </w:r>
          </w:p>
        </w:tc>
      </w:tr>
      <w:tr>
        <w:tc>
          <w:tcPr/>
          <w:p>
            <w:pPr>
              <w:pStyle w:val="Compact"/>
              <w:jc w:val="left"/>
            </w:pPr>
            <w:r>
              <w:t xml:space="preserve">7. Compras de directivos o inversores de referencia</w:t>
            </w:r>
          </w:p>
        </w:tc>
        <w:tc>
          <w:tcPr/>
          <w:p>
            <w:pPr>
              <w:pStyle w:val="Compact"/>
              <w:jc w:val="left"/>
            </w:pPr>
            <w:r>
              <w:t xml:space="preserve">No</w:t>
            </w:r>
          </w:p>
        </w:tc>
        <w:tc>
          <w:tcPr/>
          <w:p>
            <w:pPr>
              <w:pStyle w:val="Compact"/>
              <w:jc w:val="left"/>
            </w:pPr>
            <w:r>
              <w:t xml:space="preserve">Solo ventas tras ejercer opciones (consejero delegado, a 212-240 USD)</w:t>
            </w:r>
          </w:p>
        </w:tc>
        <w:tc>
          <w:tcPr/>
          <w:p>
            <w:pPr>
              <w:pStyle w:val="Compact"/>
              <w:jc w:val="left"/>
            </w:pPr>
            <w:r>
              <w:t xml:space="preserve">[6][17]</w:t>
            </w:r>
          </w:p>
        </w:tc>
      </w:tr>
      <w:tr>
        <w:tc>
          <w:tcPr/>
          <w:p>
            <w:pPr>
              <w:pStyle w:val="Compact"/>
              <w:jc w:val="left"/>
            </w:pPr>
            <w:r>
              <w:t xml:space="preserve">8. Catalizador en 6 meses</w:t>
            </w:r>
          </w:p>
        </w:tc>
        <w:tc>
          <w:tcPr/>
          <w:p>
            <w:pPr>
              <w:pStyle w:val="Compact"/>
              <w:jc w:val="left"/>
            </w:pPr>
            <w:r>
              <w:t xml:space="preserve">Sí</w:t>
            </w:r>
          </w:p>
        </w:tc>
        <w:tc>
          <w:tcPr/>
          <w:p>
            <w:pPr>
              <w:pStyle w:val="Compact"/>
              <w:jc w:val="left"/>
            </w:pPr>
            <w:r>
              <w:t xml:space="preserve">Resultados del 3T el 2-nov (primer trimestre completo en agitación); fase 3 ENGAGE en el 4T26</w:t>
            </w:r>
          </w:p>
        </w:tc>
        <w:tc>
          <w:tcPr/>
          <w:p>
            <w:pPr>
              <w:pStyle w:val="Compact"/>
              <w:jc w:val="left"/>
            </w:pPr>
            <w:r>
              <w:t xml:space="preserve">[1][8]</w:t>
            </w:r>
          </w:p>
        </w:tc>
      </w:tr>
    </w:tbl>
    <w:p>
      <w:pPr>
        <w:pStyle w:val="BodyText"/>
      </w:pPr>
      <w:r>
        <w:rPr>
          <w:bCs/>
          <w:b/>
        </w:rPr>
        <w:t xml:space="preserve">Euforia: no</w:t>
      </w:r>
      <w:r>
        <w:t xml:space="preserve">. Sube un 29 % en 12 meses, lejos del 150 % de la regla.</w:t>
      </w:r>
    </w:p>
    <w:bookmarkEnd w:id="24"/>
    <w:bookmarkStart w:id="25" w:name="X6a3ced9ea5ed5bb9ac58f5e7c1bb09ad4718b77"/>
    <w:p>
      <w:pPr>
        <w:pStyle w:val="Heading2"/>
      </w:pPr>
      <w:r>
        <w:t xml:space="preserve">6. Economía unitaria y camino a la rentabilidad</w:t>
      </w:r>
    </w:p>
    <w:p>
      <w:pPr>
        <w:numPr>
          <w:ilvl w:val="0"/>
          <w:numId w:val="1005"/>
        </w:numPr>
        <w:pStyle w:val="Compact"/>
      </w:pPr>
      <w:r>
        <w:rPr>
          <w:bCs/>
          <w:b/>
        </w:rPr>
        <w:t xml:space="preserve">Margen bruto 93,2 %</w:t>
      </w:r>
      <w:r>
        <w:t xml:space="preserve">: las pastillas cuestan muy poco de fabricar [13].</w:t>
      </w:r>
    </w:p>
    <w:p>
      <w:pPr>
        <w:numPr>
          <w:ilvl w:val="0"/>
          <w:numId w:val="1005"/>
        </w:numPr>
        <w:pStyle w:val="Compact"/>
      </w:pPr>
      <w:r>
        <w:rPr>
          <w:bCs/>
          <w:b/>
        </w:rPr>
        <w:t xml:space="preserve">Descuentos</w:t>
      </w:r>
      <w:r>
        <w:t xml:space="preserve">: Auvelity y Sunosi cerca del 50 % sobre el precio de lista; Symbravo, casi el 90 % [8].</w:t>
      </w:r>
    </w:p>
    <w:p>
      <w:pPr>
        <w:numPr>
          <w:ilvl w:val="0"/>
          <w:numId w:val="1005"/>
        </w:numPr>
        <w:pStyle w:val="Compact"/>
      </w:pPr>
      <w:r>
        <w:rPr>
          <w:bCs/>
          <w:b/>
        </w:rPr>
        <w:t xml:space="preserve">Resultado de explotación de 12 meses: −186 M</w:t>
      </w:r>
      <w:r>
        <w:t xml:space="preserve"> </w:t>
      </w:r>
      <w:r>
        <w:t xml:space="preserve">(−24 %), con 96 M de pagos en acciones y una red de ventas que se ha duplicado (630 visitadores para Auvelity y 150 para Symbravo) [1][4].</w:t>
      </w:r>
    </w:p>
    <w:p>
      <w:pPr>
        <w:numPr>
          <w:ilvl w:val="0"/>
          <w:numId w:val="1005"/>
        </w:numPr>
        <w:pStyle w:val="Compact"/>
      </w:pPr>
      <w:r>
        <w:rPr>
          <w:bCs/>
          <w:b/>
        </w:rPr>
        <w:t xml:space="preserve">Flujo de caja libre de 12 meses: −72 M</w:t>
      </w:r>
      <w:r>
        <w:t xml:space="preserve"> </w:t>
      </w:r>
      <w:r>
        <w:t xml:space="preserve">(−9 %); empeora en 2026 por el lanzamiento y por las cuentas a cobrar (277 M) [1][13].</w:t>
      </w:r>
    </w:p>
    <w:p>
      <w:pPr>
        <w:numPr>
          <w:ilvl w:val="0"/>
          <w:numId w:val="1005"/>
        </w:numPr>
        <w:pStyle w:val="Compact"/>
      </w:pPr>
      <w:r>
        <w:rPr>
          <w:bCs/>
          <w:b/>
        </w:rPr>
        <w:t xml:space="preserve">Regla del 40: 48</w:t>
      </w:r>
      <w:r>
        <w:t xml:space="preserve">, buena por el crecimiento.</w:t>
      </w:r>
    </w:p>
    <w:p>
      <w:pPr>
        <w:numPr>
          <w:ilvl w:val="0"/>
          <w:numId w:val="1005"/>
        </w:numPr>
        <w:pStyle w:val="Compact"/>
      </w:pPr>
      <w:r>
        <w:rPr>
          <w:bCs/>
          <w:b/>
        </w:rPr>
        <w:t xml:space="preserve">Camino</w:t>
      </w:r>
      <w:r>
        <w:t xml:space="preserve">: la empresa dice que la caja basta para llegar a generar caja. El consenso espera beneficio en 2027 (4,55 USD por acción). Cada 35 M de ventas trimestrales nuevas dejan unos 32 M de beneficio bruto: dos o tres trimestres de crecimiento como el actual bastan si los gastos se quedan quietos [11].</w:t>
      </w:r>
    </w:p>
    <w:bookmarkEnd w:id="25"/>
    <w:bookmarkStart w:id="26" w:name="caja-deuda-y-dilución"/>
    <w:p>
      <w:pPr>
        <w:pStyle w:val="Heading2"/>
      </w:pPr>
      <w:r>
        <w:t xml:space="preserve">7. Caja, deuda y dilución</w:t>
      </w:r>
    </w:p>
    <w:p>
      <w:pPr>
        <w:numPr>
          <w:ilvl w:val="0"/>
          <w:numId w:val="1006"/>
        </w:numPr>
        <w:pStyle w:val="Compact"/>
      </w:pPr>
      <w:r>
        <w:rPr>
          <w:bCs/>
          <w:b/>
        </w:rPr>
        <w:t xml:space="preserve">Caja 320 M; deuda 190 M</w:t>
      </w:r>
      <w:r>
        <w:t xml:space="preserve"> </w:t>
      </w:r>
      <w:r>
        <w:t xml:space="preserve">(préstamo de Blackstone al 9,6 %; la línea de 70 M se devolvió en julio con caja). Quedan</w:t>
      </w:r>
      <w:r>
        <w:t xml:space="preserve"> </w:t>
      </w:r>
      <w:r>
        <w:rPr>
          <w:bCs/>
          <w:b/>
        </w:rPr>
        <w:t xml:space="preserve">110 M de crédito sin usar</w:t>
      </w:r>
      <w:r>
        <w:t xml:space="preserve">. Además hay 80 M de pagos ligados a las ventas de Sunosi [1][2].</w:t>
      </w:r>
    </w:p>
    <w:p>
      <w:pPr>
        <w:numPr>
          <w:ilvl w:val="0"/>
          <w:numId w:val="1006"/>
        </w:numPr>
        <w:pStyle w:val="Compact"/>
      </w:pPr>
      <w:r>
        <w:rPr>
          <w:bCs/>
          <w:b/>
        </w:rPr>
        <w:t xml:space="preserve">Pista: 53 meses</w:t>
      </w:r>
      <w:r>
        <w:t xml:space="preserve"> </w:t>
      </w:r>
      <w:r>
        <w:t xml:space="preserve">con la quema actual; no necesita ampliar capital.</w:t>
      </w:r>
    </w:p>
    <w:p>
      <w:pPr>
        <w:numPr>
          <w:ilvl w:val="0"/>
          <w:numId w:val="1006"/>
        </w:numPr>
        <w:pStyle w:val="Compact"/>
      </w:pPr>
      <w:r>
        <w:rPr>
          <w:bCs/>
          <w:b/>
        </w:rPr>
        <w:t xml:space="preserve">Dilución: +4,8 % en un año</w:t>
      </w:r>
      <w:r>
        <w:t xml:space="preserve"> </w:t>
      </w:r>
      <w:r>
        <w:t xml:space="preserve">(opciones antiguas, acciones restringidas y una venta pequeña en bolsa de 20 M). Se espera ~4 % al año.</w:t>
      </w:r>
    </w:p>
    <w:p>
      <w:pPr>
        <w:numPr>
          <w:ilvl w:val="0"/>
          <w:numId w:val="1006"/>
        </w:numPr>
        <w:pStyle w:val="Compact"/>
      </w:pPr>
      <w:r>
        <w:rPr>
          <w:bCs/>
          <w:b/>
        </w:rPr>
        <w:t xml:space="preserve">Pagos en acciones: 12,4 % de las ventas</w:t>
      </w:r>
      <w:r>
        <w:t xml:space="preserve">, por debajo del 15 % que el método marca en rojo.</w:t>
      </w:r>
    </w:p>
    <w:bookmarkEnd w:id="26"/>
    <w:bookmarkStart w:id="27" w:name="dirección-y-ejecución"/>
    <w:p>
      <w:pPr>
        <w:pStyle w:val="Heading2"/>
      </w:pPr>
      <w:r>
        <w:t xml:space="preserve">8. Dirección y ejecución</w:t>
      </w:r>
    </w:p>
    <w:p>
      <w:pPr>
        <w:numPr>
          <w:ilvl w:val="0"/>
          <w:numId w:val="1007"/>
        </w:numPr>
        <w:pStyle w:val="Compact"/>
      </w:pPr>
      <w:r>
        <w:rPr>
          <w:bCs/>
          <w:b/>
        </w:rPr>
        <w:t xml:space="preserve">Herriot Tabuteau</w:t>
      </w:r>
      <w:r>
        <w:t xml:space="preserve">, fundador y consejero delegado, con el</w:t>
      </w:r>
      <w:r>
        <w:t xml:space="preserve"> </w:t>
      </w:r>
      <w:r>
        <w:rPr>
          <w:bCs/>
          <w:b/>
        </w:rPr>
        <w:t xml:space="preserve">16,4 %</w:t>
      </w:r>
      <w:r>
        <w:t xml:space="preserve"> </w:t>
      </w:r>
      <w:r>
        <w:t xml:space="preserve">[6].</w:t>
      </w:r>
    </w:p>
    <w:p>
      <w:pPr>
        <w:numPr>
          <w:ilvl w:val="0"/>
          <w:numId w:val="1007"/>
        </w:numPr>
        <w:pStyle w:val="Compact"/>
      </w:pPr>
      <w:r>
        <w:rPr>
          <w:bCs/>
          <w:b/>
        </w:rPr>
        <w:t xml:space="preserve">Historial 3/5</w:t>
      </w:r>
      <w:r>
        <w:t xml:space="preserve">: no da guía de ventas. Ha conseguido las aprobaciones importantes (Auvelity dos veces, Symbravo, AXS-12 aceptada), pero retrasa a menudo el calendario de ensayos (tabaquismo, TDAH, atracones) y el 2T quedó algo por debajo del consenso [1][4].</w:t>
      </w:r>
    </w:p>
    <w:p>
      <w:pPr>
        <w:numPr>
          <w:ilvl w:val="0"/>
          <w:numId w:val="1007"/>
        </w:numPr>
        <w:pStyle w:val="Compact"/>
      </w:pPr>
      <w:r>
        <w:rPr>
          <w:bCs/>
          <w:b/>
        </w:rPr>
        <w:t xml:space="preserve">Dirección 4/5</w:t>
      </w:r>
      <w:r>
        <w:t xml:space="preserve">: compra candidatos baratos y se financia con deuda en vez de grandes ampliaciones. En contra: el consejero delegado vende tras ejercer opciones antiguas (unas 100.000 acciones entre julio y agosto, poco frente a sus 9 millones) y hay demandas de accionistas pendientes por el caso de AXS-07 [2][17].</w:t>
      </w:r>
    </w:p>
    <w:bookmarkEnd w:id="27"/>
    <w:bookmarkStart w:id="28" w:name="valoración"/>
    <w:p>
      <w:pPr>
        <w:pStyle w:val="Heading2"/>
      </w:pPr>
      <w:r>
        <w:t xml:space="preserve">9. Valoración</w:t>
      </w:r>
    </w:p>
    <w:p>
      <w:pPr>
        <w:pStyle w:val="FirstParagraph"/>
      </w:pPr>
      <w:r>
        <w:rPr>
          <w:bCs/>
          <w:b/>
        </w:rPr>
        <w:t xml:space="preserve">Método</w:t>
      </w:r>
      <w:r>
        <w:t xml:space="preserve">: EV/ventas de los 12 meses siguientes. EV hoy 8.874 M (156,32 × 57,6 M de acciones + 190 de deuda − 320 de caja); ventas NTM ~1.242 M (+60 %, consenso) →</w:t>
      </w:r>
      <w:r>
        <w:t xml:space="preserve"> </w:t>
      </w:r>
      <w:r>
        <w:rPr>
          <w:bCs/>
          <w:b/>
        </w:rPr>
        <w:t xml:space="preserve">7,1x</w:t>
      </w:r>
      <w:r>
        <w:t xml:space="preserve"> </w:t>
      </w:r>
      <w:r>
        <w:t xml:space="preserve">[16].</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Caso</w:t>
            </w:r>
          </w:p>
        </w:tc>
        <w:tc>
          <w:tcPr/>
          <w:p>
            <w:pPr>
              <w:pStyle w:val="Compact"/>
              <w:jc w:val="left"/>
            </w:pPr>
            <w:r>
              <w:t xml:space="preserve">Probabilidad</w:t>
            </w:r>
          </w:p>
        </w:tc>
        <w:tc>
          <w:tcPr/>
          <w:p>
            <w:pPr>
              <w:pStyle w:val="Compact"/>
              <w:jc w:val="left"/>
            </w:pPr>
            <w:r>
              <w:t xml:space="preserve">Ventas 12 m a jun-2028 (M USD)</w:t>
            </w:r>
          </w:p>
        </w:tc>
        <w:tc>
          <w:tcPr/>
          <w:p>
            <w:pPr>
              <w:pStyle w:val="Compact"/>
              <w:jc w:val="left"/>
            </w:pPr>
            <w:r>
              <w:t xml:space="preserve">Múltiplo</w:t>
            </w:r>
          </w:p>
        </w:tc>
        <w:tc>
          <w:tcPr/>
          <w:p>
            <w:pPr>
              <w:pStyle w:val="Compact"/>
              <w:jc w:val="left"/>
            </w:pPr>
            <w:r>
              <w:t xml:space="preserve">Precio</w:t>
            </w:r>
          </w:p>
        </w:tc>
        <w:tc>
          <w:tcPr/>
          <w:p>
            <w:pPr>
              <w:pStyle w:val="Compact"/>
              <w:jc w:val="left"/>
            </w:pPr>
            <w:r>
              <w:t xml:space="preserve">Rentabilidad</w:t>
            </w:r>
          </w:p>
        </w:tc>
      </w:tr>
      <w:tr>
        <w:tc>
          <w:tcPr/>
          <w:p>
            <w:pPr>
              <w:pStyle w:val="Compact"/>
              <w:jc w:val="left"/>
            </w:pPr>
            <w:r>
              <w:t xml:space="preserve">Bajista</w:t>
            </w:r>
          </w:p>
        </w:tc>
        <w:tc>
          <w:tcPr/>
          <w:p>
            <w:pPr>
              <w:pStyle w:val="Compact"/>
              <w:jc w:val="left"/>
            </w:pPr>
            <w:r>
              <w:t xml:space="preserve">35 %</w:t>
            </w:r>
          </w:p>
        </w:tc>
        <w:tc>
          <w:tcPr/>
          <w:p>
            <w:pPr>
              <w:pStyle w:val="Compact"/>
              <w:jc w:val="left"/>
            </w:pPr>
            <w:r>
              <w:t xml:space="preserve">1.242</w:t>
            </w:r>
          </w:p>
        </w:tc>
        <w:tc>
          <w:tcPr/>
          <w:p>
            <w:pPr>
              <w:pStyle w:val="Compact"/>
              <w:jc w:val="left"/>
            </w:pPr>
            <w:r>
              <w:t xml:space="preserve">3,3x</w:t>
            </w:r>
          </w:p>
        </w:tc>
        <w:tc>
          <w:tcPr/>
          <w:p>
            <w:pPr>
              <w:pStyle w:val="Compact"/>
              <w:jc w:val="left"/>
            </w:pPr>
            <w:r>
              <w:t xml:space="preserve">69,8</w:t>
            </w:r>
          </w:p>
        </w:tc>
        <w:tc>
          <w:tcPr/>
          <w:p>
            <w:pPr>
              <w:pStyle w:val="Compact"/>
              <w:jc w:val="left"/>
            </w:pPr>
            <w:r>
              <w:t xml:space="preserve">−55,4 %</w:t>
            </w:r>
          </w:p>
        </w:tc>
      </w:tr>
      <w:tr>
        <w:tc>
          <w:tcPr/>
          <w:p>
            <w:pPr>
              <w:pStyle w:val="Compact"/>
              <w:jc w:val="left"/>
            </w:pPr>
            <w:r>
              <w:t xml:space="preserve">Base</w:t>
            </w:r>
          </w:p>
        </w:tc>
        <w:tc>
          <w:tcPr/>
          <w:p>
            <w:pPr>
              <w:pStyle w:val="Compact"/>
              <w:jc w:val="left"/>
            </w:pPr>
            <w:r>
              <w:t xml:space="preserve">50 %</w:t>
            </w:r>
          </w:p>
        </w:tc>
        <w:tc>
          <w:tcPr/>
          <w:p>
            <w:pPr>
              <w:pStyle w:val="Compact"/>
              <w:jc w:val="left"/>
            </w:pPr>
            <w:r>
              <w:t xml:space="preserve">1.700</w:t>
            </w:r>
          </w:p>
        </w:tc>
        <w:tc>
          <w:tcPr/>
          <w:p>
            <w:pPr>
              <w:pStyle w:val="Compact"/>
              <w:jc w:val="left"/>
            </w:pPr>
            <w:r>
              <w:t xml:space="preserve">5,6x</w:t>
            </w:r>
          </w:p>
        </w:tc>
        <w:tc>
          <w:tcPr/>
          <w:p>
            <w:pPr>
              <w:pStyle w:val="Compact"/>
              <w:jc w:val="left"/>
            </w:pPr>
            <w:r>
              <w:t xml:space="preserve">158,0</w:t>
            </w:r>
          </w:p>
        </w:tc>
        <w:tc>
          <w:tcPr/>
          <w:p>
            <w:pPr>
              <w:pStyle w:val="Compact"/>
              <w:jc w:val="left"/>
            </w:pPr>
            <w:r>
              <w:t xml:space="preserve">+1,1 %</w:t>
            </w:r>
          </w:p>
        </w:tc>
      </w:tr>
      <w:tr>
        <w:tc>
          <w:tcPr/>
          <w:p>
            <w:pPr>
              <w:pStyle w:val="Compact"/>
              <w:jc w:val="left"/>
            </w:pPr>
            <w:r>
              <w:t xml:space="preserve">Alcista</w:t>
            </w:r>
          </w:p>
        </w:tc>
        <w:tc>
          <w:tcPr/>
          <w:p>
            <w:pPr>
              <w:pStyle w:val="Compact"/>
              <w:jc w:val="left"/>
            </w:pPr>
            <w:r>
              <w:t xml:space="preserve">15 %</w:t>
            </w:r>
          </w:p>
        </w:tc>
        <w:tc>
          <w:tcPr/>
          <w:p>
            <w:pPr>
              <w:pStyle w:val="Compact"/>
              <w:jc w:val="left"/>
            </w:pPr>
            <w:r>
              <w:t xml:space="preserve">2.074</w:t>
            </w:r>
          </w:p>
        </w:tc>
        <w:tc>
          <w:tcPr/>
          <w:p>
            <w:pPr>
              <w:pStyle w:val="Compact"/>
              <w:jc w:val="left"/>
            </w:pPr>
            <w:r>
              <w:t xml:space="preserve">8,6x</w:t>
            </w:r>
          </w:p>
        </w:tc>
        <w:tc>
          <w:tcPr/>
          <w:p>
            <w:pPr>
              <w:pStyle w:val="Compact"/>
              <w:jc w:val="left"/>
            </w:pPr>
            <w:r>
              <w:t xml:space="preserve">296,5</w:t>
            </w:r>
          </w:p>
        </w:tc>
        <w:tc>
          <w:tcPr/>
          <w:p>
            <w:pPr>
              <w:pStyle w:val="Compact"/>
              <w:jc w:val="left"/>
            </w:pPr>
            <w:r>
              <w:t xml:space="preserve">+89,7 %</w:t>
            </w:r>
          </w:p>
        </w:tc>
      </w:tr>
      <w:tr>
        <w:tc>
          <w:tcPr/>
          <w:p>
            <w:pPr>
              <w:pStyle w:val="Compact"/>
              <w:jc w:val="left"/>
            </w:pPr>
            <w:r>
              <w:rPr>
                <w:bCs/>
                <w:b/>
              </w:rPr>
              <w:t xml:space="preserve">Ponderada</w:t>
            </w:r>
          </w:p>
        </w:tc>
        <w:tc>
          <w:tcPr/>
          <w:p>
            <w:pPr>
              <w:pStyle w:val="Compact"/>
            </w:pPr>
          </w:p>
        </w:tc>
        <w:tc>
          <w:tcPr/>
          <w:p>
            <w:pPr>
              <w:pStyle w:val="Compact"/>
            </w:pPr>
          </w:p>
        </w:tc>
        <w:tc>
          <w:tcPr/>
          <w:p>
            <w:pPr>
              <w:pStyle w:val="Compact"/>
            </w:pPr>
          </w:p>
        </w:tc>
        <w:tc>
          <w:tcPr/>
          <w:p>
            <w:pPr>
              <w:pStyle w:val="Compact"/>
              <w:jc w:val="left"/>
            </w:pPr>
            <w:r>
              <w:rPr>
                <w:bCs/>
                <w:b/>
              </w:rPr>
              <w:t xml:space="preserve">147,9</w:t>
            </w:r>
          </w:p>
        </w:tc>
        <w:tc>
          <w:tcPr/>
          <w:p>
            <w:pPr>
              <w:pStyle w:val="Compact"/>
              <w:jc w:val="left"/>
            </w:pPr>
            <w:r>
              <w:rPr>
                <w:bCs/>
                <w:b/>
              </w:rPr>
              <w:t xml:space="preserve">−5,4 %</w:t>
            </w:r>
          </w:p>
        </w:tc>
      </w:tr>
    </w:tbl>
    <w:p>
      <w:pPr>
        <w:numPr>
          <w:ilvl w:val="0"/>
          <w:numId w:val="1008"/>
        </w:numPr>
        <w:pStyle w:val="Compact"/>
      </w:pPr>
      <w:r>
        <w:rPr>
          <w:bCs/>
          <w:b/>
        </w:rPr>
        <w:t xml:space="preserve">Ventas</w:t>
      </w:r>
      <w:r>
        <w:t xml:space="preserve">: el base usa las del informe (1.700 M), un 5 % por debajo del consenso de la ventana (~1.780 M) por las recetas flojas tras el lanzamiento. La proyección mecánica da 1.815 M; v11 toma la menor. Bajista: la agitación no despega y la depresión crece un 20 % al año. Alcista: la agitación sigue el camino de la dirección.</w:t>
      </w:r>
    </w:p>
    <w:p>
      <w:pPr>
        <w:numPr>
          <w:ilvl w:val="0"/>
          <w:numId w:val="1008"/>
        </w:numPr>
        <w:pStyle w:val="Compact"/>
      </w:pPr>
      <w:r>
        <w:rPr>
          <w:bCs/>
          <w:b/>
        </w:rPr>
        <w:t xml:space="preserve">Múltiplo</w:t>
      </w:r>
      <w:r>
        <w:t xml:space="preserve">: el base baja de 7,1x a 5,6x porque el crecimiento pasará de +60 % a +37 %.</w:t>
      </w:r>
    </w:p>
    <w:p>
      <w:pPr>
        <w:numPr>
          <w:ilvl w:val="0"/>
          <w:numId w:val="1008"/>
        </w:numPr>
        <w:pStyle w:val="Compact"/>
      </w:pPr>
      <w:r>
        <w:rPr>
          <w:bCs/>
          <w:b/>
        </w:rPr>
        <w:t xml:space="preserve">Probabilidades 35/50/15</w:t>
      </w:r>
      <w:r>
        <w:t xml:space="preserve">: depende de un producto (Auvelity, 80 % de los ingresos) y de un lanzamiento que aún no se ve en las ventas.</w:t>
      </w:r>
    </w:p>
    <w:p>
      <w:pPr>
        <w:numPr>
          <w:ilvl w:val="0"/>
          <w:numId w:val="1008"/>
        </w:numPr>
        <w:pStyle w:val="Compact"/>
      </w:pPr>
      <w:r>
        <w:rPr>
          <w:bCs/>
          <w:b/>
        </w:rPr>
        <w:t xml:space="preserve">Contraste</w:t>
      </w:r>
      <w:r>
        <w:t xml:space="preserve">: objetivo medio de los analistas</w:t>
      </w:r>
      <w:r>
        <w:t xml:space="preserve"> </w:t>
      </w:r>
      <w:r>
        <w:rPr>
          <w:bCs/>
          <w:b/>
        </w:rPr>
        <w:t xml:space="preserve">283,6 USD</w:t>
      </w:r>
      <w:r>
        <w:t xml:space="preserve"> </w:t>
      </w:r>
      <w:r>
        <w:t xml:space="preserve">(+81 %; rango 245-380; 21 de 22 en Comprar) [11]. Los analistas suponen el consenso de 2027 entero y un múltiplo que no baja.</w:t>
      </w:r>
      <w:r>
        <w:t xml:space="preserve"> </w:t>
      </w:r>
      <w:r>
        <w:rPr>
          <w:bCs/>
          <w:b/>
        </w:rPr>
        <w:t xml:space="preserve">DCF inverso</w:t>
      </w:r>
      <w:r>
        <w:t xml:space="preserve">: el precio pide un 13,4 % anual de crecimiento durante 10 años con un 30 % de margen de caja; alcanzable si Auvelity llega a varios miles de millones.</w:t>
      </w:r>
    </w:p>
    <w:p>
      <w:pPr>
        <w:numPr>
          <w:ilvl w:val="0"/>
          <w:numId w:val="1008"/>
        </w:numPr>
        <w:pStyle w:val="Compact"/>
      </w:pPr>
      <w:r>
        <w:rPr>
          <w:bCs/>
          <w:b/>
        </w:rPr>
        <w:t xml:space="preserve">Qué la haría comprable</w:t>
      </w:r>
      <w:r>
        <w:t xml:space="preserve">: un precio por debajo de 139,5 USD, o un 3T que confirme el despegue en agitación (eso subiría las ventas del base y la puntuación por encima de 60).</w:t>
      </w:r>
    </w:p>
    <w:bookmarkEnd w:id="28"/>
    <w:bookmarkStart w:id="29" w:name="foros-y-sentimiento"/>
    <w:p>
      <w:pPr>
        <w:pStyle w:val="Heading2"/>
      </w:pPr>
      <w:r>
        <w:t xml:space="preserve">10. Foros y sentimiento</w:t>
      </w:r>
    </w:p>
    <w:p>
      <w:pPr>
        <w:numPr>
          <w:ilvl w:val="0"/>
          <w:numId w:val="1009"/>
        </w:numPr>
        <w:pStyle w:val="Compact"/>
      </w:pPr>
      <w:r>
        <w:rPr>
          <w:bCs/>
          <w:b/>
        </w:rPr>
        <w:t xml:space="preserve">StockTwits</w:t>
      </w:r>
      <w:r>
        <w:t xml:space="preserve"> </w:t>
      </w:r>
      <w:r>
        <w:t xml:space="preserve">(13-14 oct, 11.974 seguidores): ambiente de capitulación. Mensajes de pérdidas («compré a 212»), miedo a un 3T flojo («podría bajar de 100») y algunos que compran la caída o esperan una oferta de compra [14].</w:t>
      </w:r>
    </w:p>
    <w:p>
      <w:pPr>
        <w:numPr>
          <w:ilvl w:val="0"/>
          <w:numId w:val="1009"/>
        </w:numPr>
        <w:pStyle w:val="Compact"/>
      </w:pPr>
      <w:r>
        <w:rPr>
          <w:bCs/>
          <w:b/>
        </w:rPr>
        <w:t xml:space="preserve">Analistas</w:t>
      </w:r>
      <w:r>
        <w:t xml:space="preserve">: siguen casi todos en Comprar. RBC (14-oct) atribuye las recetas flojas a la estacionalidad y a las muestras gratuitas, no a un mal lanzamiento, y mantiene 295 USD [11][14].</w:t>
      </w:r>
    </w:p>
    <w:p>
      <w:pPr>
        <w:numPr>
          <w:ilvl w:val="0"/>
          <w:numId w:val="1009"/>
        </w:numPr>
        <w:pStyle w:val="Compact"/>
      </w:pPr>
      <w:r>
        <w:rPr>
          <w:bCs/>
          <w:b/>
        </w:rPr>
        <w:t xml:space="preserve">Posiciones cortas</w:t>
      </w:r>
      <w:r>
        <w:t xml:space="preserve">: 6,3 % de las acciones (4,8 días para cubrir): no hay un bando bajista grande [12].</w:t>
      </w:r>
    </w:p>
    <w:p>
      <w:pPr>
        <w:numPr>
          <w:ilvl w:val="0"/>
          <w:numId w:val="1009"/>
        </w:numPr>
        <w:pStyle w:val="Compact"/>
      </w:pPr>
      <w:r>
        <w:rPr>
          <w:bCs/>
          <w:b/>
        </w:rPr>
        <w:t xml:space="preserve">Prensa</w:t>
      </w:r>
      <w:r>
        <w:t xml:space="preserve">: la caída empezó con la conferencia de Morgan Stanley (14-sep), cuando la dirección dijo que las recetas tardarán uno o dos trimestres más en subir [15].</w:t>
      </w:r>
    </w:p>
    <w:p>
      <w:pPr>
        <w:numPr>
          <w:ilvl w:val="0"/>
          <w:numId w:val="1009"/>
        </w:numPr>
        <w:pStyle w:val="Compact"/>
      </w:pPr>
      <w:r>
        <w:rPr>
          <w:bCs/>
          <w:b/>
        </w:rPr>
        <w:t xml:space="preserve">Reddit y foros en castellano</w:t>
      </w:r>
      <w:r>
        <w:t xml:space="preserve"> </w:t>
      </w:r>
      <w:r>
        <w:t xml:space="preserve">(Rankia, Investing.com ES): sin hilos recientes encontrados.</w:t>
      </w:r>
    </w:p>
    <w:p>
      <w:pPr>
        <w:numPr>
          <w:ilvl w:val="0"/>
          <w:numId w:val="1009"/>
        </w:numPr>
        <w:pStyle w:val="Compact"/>
      </w:pPr>
      <w:r>
        <w:rPr>
          <w:bCs/>
          <w:b/>
        </w:rPr>
        <w:t xml:space="preserve">Contraste con los datos</w:t>
      </w:r>
      <w:r>
        <w:t xml:space="preserve">: el negocio sigue creciendo un 46 %, pero el mercado ha dejado de pagar por adelantado la agitación por alzhéimer. El sentimiento ha girado a peor, que es lo contrario de lo que busca el método.</w:t>
      </w:r>
    </w:p>
    <w:bookmarkEnd w:id="29"/>
    <w:bookmarkStart w:id="30" w:name="riesgos-y-qué-rompería-la-tesis"/>
    <w:p>
      <w:pPr>
        <w:pStyle w:val="Heading2"/>
      </w:pPr>
      <w:r>
        <w:t xml:space="preserve">11. Riesgos y qué rompería la tesis</w:t>
      </w:r>
    </w:p>
    <w:p>
      <w:pPr>
        <w:pStyle w:val="FirstParagraph"/>
      </w:pPr>
      <w:r>
        <w:rPr>
          <w:bCs/>
          <w:b/>
        </w:rPr>
        <w:t xml:space="preserve">Alertas de robustez del motor (</w:t>
      </w:r>
      <w:r>
        <w:rPr>
          <w:rStyle w:val="VerbatimChar"/>
          <w:bCs/>
          <w:b/>
        </w:rPr>
        <w:t xml:space="preserve">calc.alertas</w:t>
      </w:r>
      <w:r>
        <w:rPr>
          <w:bCs/>
          <w:b/>
        </w:rPr>
        <w:t xml:space="preserve">)</w:t>
      </w:r>
      <w:r>
        <w:t xml:space="preserve">:</w:t>
      </w:r>
      <w:r>
        <w:t xml:space="preserve"> </w:t>
      </w:r>
      <w:r>
        <w:t xml:space="preserve">-</w:t>
      </w:r>
      <w:r>
        <w:t xml:space="preserve"> </w:t>
      </w:r>
      <w:r>
        <w:rPr>
          <w:iCs/>
          <w:i/>
        </w:rPr>
        <w:t xml:space="preserve">Sin guía anual de 12 meses</w:t>
      </w:r>
      <w:r>
        <w:t xml:space="preserve">: Axsome no da guía de ventas, así que v9 no puede recortar la proyección.</w:t>
      </w:r>
      <w:r>
        <w:t xml:space="preserve"> </w:t>
      </w:r>
      <w:r>
        <w:rPr>
          <w:bCs/>
          <w:b/>
        </w:rPr>
        <w:t xml:space="preserve">No debilita la señal</w:t>
      </w:r>
      <w:r>
        <w:t xml:space="preserve">: v11 ya usa las ventas del informe, un 6 % por debajo de la mecánica y un 5 % por debajo del consenso.</w:t>
      </w:r>
      <w:r>
        <w:t xml:space="preserve"> </w:t>
      </w:r>
      <w:r>
        <w:t xml:space="preserve">-</w:t>
      </w:r>
      <w:r>
        <w:t xml:space="preserve"> </w:t>
      </w:r>
      <w:r>
        <w:rPr>
          <w:iCs/>
          <w:i/>
        </w:rPr>
        <w:t xml:space="preserve">Dos clientes suman el 66 % de las ventas</w:t>
      </w:r>
      <w:r>
        <w:t xml:space="preserve">: son los grandes mayoristas de medicamentos de EE. UU., no clientes finales; la demanda está repartida entre decenas de miles de médicos.</w:t>
      </w:r>
      <w:r>
        <w:t xml:space="preserve"> </w:t>
      </w:r>
      <w:r>
        <w:rPr>
          <w:bCs/>
          <w:b/>
        </w:rPr>
        <w:t xml:space="preserve">No debilita la señal</w:t>
      </w:r>
      <w:r>
        <w:t xml:space="preserve">; el riesgo es solo de cobro.</w:t>
      </w:r>
    </w:p>
    <w:p>
      <w:pPr>
        <w:pStyle w:val="BodyText"/>
      </w:pPr>
      <w:r>
        <w:rPr>
          <w:bCs/>
          <w:b/>
        </w:rPr>
        <w:t xml:space="preserve">Prueba de robustez</w:t>
      </w:r>
      <w:r>
        <w:t xml:space="preserve"> </w:t>
      </w:r>
      <w:r>
        <w:t xml:space="preserve">(</w:t>
      </w:r>
      <w:r>
        <w:rPr>
          <w:rStyle w:val="VerbatimChar"/>
        </w:rPr>
        <w:t xml:space="preserve">herramientas/robustez-growth.mjs --precios</w:t>
      </w:r>
      <w:r>
        <w:t xml:space="preserve">):</w:t>
      </w:r>
      <w:r>
        <w:t xml:space="preserve"> </w:t>
      </w:r>
      <w:r>
        <w:rPr>
          <w:bCs/>
          <w:b/>
        </w:rPr>
        <w:t xml:space="preserve">SÓLIDA, Mantener</w:t>
      </w:r>
      <w:r>
        <w:t xml:space="preserve">. Ninguna variante da Comprar: v7 (−2,0 %), las ventas del informe (−4,9 %), pesos 25/50/25 (+9,1 %, pero la puntuación sigue por debajo de 60 y el bajista por debajo de −50 %) y el precio de hoy con el objetivo fijo (−8,8 %). Avisos: el objetivo se deja fijo (147,9 USD) al revisar el precio; sin guía, v9 es igual que v7; el bajista es del −55 %, así que, si algún día entra, en tramos y con poco peso.</w:t>
      </w:r>
    </w:p>
    <w:p>
      <w:pPr>
        <w:pStyle w:val="BodyText"/>
      </w:pPr>
      <w:r>
        <w:rPr>
          <w:bCs/>
          <w:b/>
        </w:rPr>
        <w:t xml:space="preserve">Riesgos principales</w:t>
      </w:r>
      <w:r>
        <w:t xml:space="preserve">:</w:t>
      </w:r>
      <w:r>
        <w:t xml:space="preserve"> </w:t>
      </w:r>
      <w:r>
        <w:t xml:space="preserve">-</w:t>
      </w:r>
      <w:r>
        <w:t xml:space="preserve"> </w:t>
      </w:r>
      <w:r>
        <w:rPr>
          <w:bCs/>
          <w:b/>
        </w:rPr>
        <w:t xml:space="preserve">Lanzamiento en agitación</w:t>
      </w:r>
      <w:r>
        <w:t xml:space="preserve">: si el 3T y el 4T no muestran el despegue, el consenso de 2027 (+60 %) caerá y con él el múltiplo.</w:t>
      </w:r>
      <w:r>
        <w:t xml:space="preserve"> </w:t>
      </w:r>
      <w:r>
        <w:t xml:space="preserve">-</w:t>
      </w:r>
      <w:r>
        <w:t xml:space="preserve"> </w:t>
      </w:r>
      <w:r>
        <w:rPr>
          <w:bCs/>
          <w:b/>
        </w:rPr>
        <w:t xml:space="preserve">Un solo producto</w:t>
      </w:r>
      <w:r>
        <w:t xml:space="preserve">: Auvelity es el 80 % de las ventas; un problema de seguridad, de precio o de cobertura afecta a todo.</w:t>
      </w:r>
      <w:r>
        <w:t xml:space="preserve"> </w:t>
      </w:r>
      <w:r>
        <w:t xml:space="preserve">-</w:t>
      </w:r>
      <w:r>
        <w:t xml:space="preserve"> </w:t>
      </w:r>
      <w:r>
        <w:rPr>
          <w:bCs/>
          <w:b/>
        </w:rPr>
        <w:t xml:space="preserve">Descuentos</w:t>
      </w:r>
      <w:r>
        <w:t xml:space="preserve">: el precio neto ya es la mitad del de lista; más descuentos para ganar cobertura frenarían los ingresos aunque suban las recetas.</w:t>
      </w:r>
      <w:r>
        <w:t xml:space="preserve"> </w:t>
      </w:r>
      <w:r>
        <w:t xml:space="preserve">-</w:t>
      </w:r>
      <w:r>
        <w:t xml:space="preserve"> </w:t>
      </w:r>
      <w:r>
        <w:rPr>
          <w:bCs/>
          <w:b/>
        </w:rPr>
        <w:t xml:space="preserve">Competencia</w:t>
      </w:r>
      <w:r>
        <w:t xml:space="preserve">: Rexulti en agitación; nuevos fármacos para la somnolencia (agonistas de orexina) contra Sunosi.</w:t>
      </w:r>
      <w:r>
        <w:t xml:space="preserve"> </w:t>
      </w:r>
      <w:r>
        <w:t xml:space="preserve">-</w:t>
      </w:r>
      <w:r>
        <w:t xml:space="preserve"> </w:t>
      </w:r>
      <w:r>
        <w:rPr>
          <w:bCs/>
          <w:b/>
        </w:rPr>
        <w:t xml:space="preserve">Gasto</w:t>
      </w:r>
      <w:r>
        <w:t xml:space="preserve">: la red de ventas se ha duplicado; si las ventas no responden, la pérdida se alarga y puede hacer falta capital.</w:t>
      </w:r>
      <w:r>
        <w:t xml:space="preserve"> </w:t>
      </w:r>
      <w:r>
        <w:t xml:space="preserve">-</w:t>
      </w:r>
      <w:r>
        <w:t xml:space="preserve"> </w:t>
      </w:r>
      <w:r>
        <w:rPr>
          <w:bCs/>
          <w:b/>
        </w:rPr>
        <w:t xml:space="preserve">Patentes</w:t>
      </w:r>
      <w:r>
        <w:t xml:space="preserve">: Auvelity protegida hasta 2038 por acuerdo; Symbravo tiene un pleito abierto con Apotex (poco peso).</w:t>
      </w:r>
    </w:p>
    <w:p>
      <w:pPr>
        <w:pStyle w:val="BodyText"/>
      </w:pPr>
      <w:r>
        <w:rPr>
          <w:bCs/>
          <w:b/>
        </w:rPr>
        <w:t xml:space="preserve">Señales de venta concretas</w:t>
      </w:r>
      <w:r>
        <w:t xml:space="preserve">: dos trimestres seguidos con Auvelity creciendo menos del 25 %; recetas en agitación sin subir tras el 4T26; necesidad de ampliar capital; rechazo de AXS-12 junto con un 3T flojo.</w:t>
      </w:r>
    </w:p>
    <w:bookmarkEnd w:id="30"/>
    <w:bookmarkStart w:id="31" w:name="catalizadores-con-fecha"/>
    <w:p>
      <w:pPr>
        <w:pStyle w:val="Heading2"/>
      </w:pPr>
      <w:r>
        <w:t xml:space="preserve">12. Catalizadores con fecha</w:t>
      </w:r>
    </w:p>
    <w:p>
      <w:pPr>
        <w:numPr>
          <w:ilvl w:val="0"/>
          <w:numId w:val="1010"/>
        </w:numPr>
        <w:pStyle w:val="Compact"/>
      </w:pPr>
      <w:r>
        <w:t xml:space="preserve">2-nov-2026: resultados del 3T (primer trimestre completo de Auvelity en agitación).</w:t>
      </w:r>
    </w:p>
    <w:p>
      <w:pPr>
        <w:numPr>
          <w:ilvl w:val="0"/>
          <w:numId w:val="1010"/>
        </w:numPr>
        <w:pStyle w:val="Compact"/>
      </w:pPr>
      <w:r>
        <w:t xml:space="preserve">4T 2026: datos de fase 3 de solriamfetol en atracones (ENGAGE); inicio del ensayo de Auvelity para dejar de fumar.</w:t>
      </w:r>
    </w:p>
    <w:p>
      <w:pPr>
        <w:numPr>
          <w:ilvl w:val="0"/>
          <w:numId w:val="1010"/>
        </w:numPr>
        <w:pStyle w:val="Compact"/>
      </w:pPr>
      <w:r>
        <w:t xml:space="preserve">Febrero de 2027: resultados del 4T y del año.</w:t>
      </w:r>
    </w:p>
    <w:p>
      <w:pPr>
        <w:numPr>
          <w:ilvl w:val="0"/>
          <w:numId w:val="1010"/>
        </w:numPr>
        <w:pStyle w:val="Compact"/>
      </w:pPr>
      <w:r>
        <w:t xml:space="preserve">1-may-2027: decisión de la FDA sobre AXS-12 en cataplejía (sin comité asesor).</w:t>
      </w:r>
    </w:p>
    <w:p>
      <w:pPr>
        <w:numPr>
          <w:ilvl w:val="0"/>
          <w:numId w:val="1010"/>
        </w:numPr>
        <w:pStyle w:val="Compact"/>
      </w:pPr>
      <w:r>
        <w:t xml:space="preserve">2027: fase 3 de solriamfetol en trabajo por turnos (SUSTAIN).</w:t>
      </w:r>
    </w:p>
    <w:bookmarkEnd w:id="31"/>
    <w:bookmarkStart w:id="32" w:name="encaje-en-cartera"/>
    <w:p>
      <w:pPr>
        <w:pStyle w:val="Heading2"/>
      </w:pPr>
      <w:r>
        <w:t xml:space="preserve">13. Encaje en cartera</w:t>
      </w:r>
    </w:p>
    <w:p>
      <w:pPr>
        <w:numPr>
          <w:ilvl w:val="0"/>
          <w:numId w:val="1011"/>
        </w:numPr>
        <w:pStyle w:val="Compact"/>
      </w:pPr>
      <w:r>
        <w:rPr>
          <w:bCs/>
          <w:b/>
        </w:rPr>
        <w:t xml:space="preserve">No entra.</w:t>
      </w:r>
      <w:r>
        <w:t xml:space="preserve"> </w:t>
      </w:r>
      <w:r>
        <w:t xml:space="preserve">Señal Mantener: ponderada −5,4 % con el método vigente y −8,8 % al precio actual con el objetivo fijo. Le faltan rentabilidad y puntuación (58, el mínimo es 60). Compraría por debajo de 139,5 USD (un 14 % por debajo del precio de hoy), y aun así solo si la puntuación pasa de 60 con el 3T.</w:t>
      </w:r>
    </w:p>
    <w:p>
      <w:pPr>
        <w:numPr>
          <w:ilvl w:val="0"/>
          <w:numId w:val="1011"/>
        </w:numPr>
        <w:pStyle w:val="Compact"/>
      </w:pPr>
      <w:r>
        <w:rPr>
          <w:bCs/>
          <w:b/>
        </w:rPr>
        <w:t xml:space="preserve">Bolsillo growth lleno</w:t>
      </w:r>
      <w:r>
        <w:t xml:space="preserve"> </w:t>
      </w:r>
      <w:r>
        <w:t xml:space="preserve">(~20 %): Nu (+19 %), Axon (+36 %), Shopify (+18 %), Snowflake (+13 %) y Samsara (+15 %), con v11 al precio actual. Liquidez libre casi nula: solo se podría entrar sustituyendo a una. Axsome no sustituye a ninguna: su rentabilidad esperada es negativa.</w:t>
      </w:r>
    </w:p>
    <w:p>
      <w:pPr>
        <w:numPr>
          <w:ilvl w:val="0"/>
          <w:numId w:val="1011"/>
        </w:numPr>
        <w:pStyle w:val="Compact"/>
      </w:pPr>
      <w:r>
        <w:rPr>
          <w:bCs/>
          <w:b/>
        </w:rPr>
        <w:t xml:space="preserve">Suplentes</w:t>
      </w:r>
      <w:r>
        <w:t xml:space="preserve">: no entra en la lista (MongoDB, Toast, Zscaler, dLocal, Dexcom, argenx, Datadog, Saab, Natera). Va a «Mantener», junto a TG Therapeutics y Madrigal, sin vigilancia (ponderada negativa).</w:t>
      </w:r>
    </w:p>
    <w:p>
      <w:pPr>
        <w:numPr>
          <w:ilvl w:val="0"/>
          <w:numId w:val="1011"/>
        </w:numPr>
        <w:pStyle w:val="Compact"/>
      </w:pPr>
      <w:r>
        <w:rPr>
          <w:bCs/>
          <w:b/>
        </w:rPr>
        <w:t xml:space="preserve">Exposición</w:t>
      </w:r>
      <w:r>
        <w:t xml:space="preserve">: sería otra farmacéutica de un solo producto, como argenx (suplente). No suma exposición a IA (la venta de Alphabet de mañana no cambia nada aquí).</w:t>
      </w:r>
    </w:p>
    <w:p>
      <w:pPr>
        <w:numPr>
          <w:ilvl w:val="0"/>
          <w:numId w:val="1011"/>
        </w:numPr>
        <w:pStyle w:val="Compact"/>
      </w:pPr>
      <w:r>
        <w:t xml:space="preserve">Se revisa con los resultados del 3T (2-nov).</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16,7</w:t>
            </w:r>
          </w:p>
        </w:tc>
        <w:tc>
          <w:tcPr/>
          <w:p>
            <w:pPr>
              <w:pStyle w:val="Compact"/>
              <w:jc w:val="left"/>
            </w:pPr>
            <w:r>
              <w:t xml:space="preserve">25</w:t>
            </w:r>
          </w:p>
        </w:tc>
        <w:tc>
          <w:tcPr/>
          <w:p>
            <w:pPr>
              <w:pStyle w:val="Compact"/>
              <w:jc w:val="left"/>
            </w:pPr>
            <w:r>
              <w:t xml:space="preserve">Ventas de 12 meses +57 %, CAGR a 2 años 63 %, aceleración −18,8 puntos</w:t>
            </w:r>
          </w:p>
        </w:tc>
      </w:tr>
      <w:tr>
        <w:tc>
          <w:tcPr/>
          <w:p>
            <w:pPr>
              <w:pStyle w:val="Compact"/>
              <w:jc w:val="left"/>
            </w:pPr>
            <w:r>
              <w:t xml:space="preserve">B. Mercado y tecnología</w:t>
            </w:r>
          </w:p>
        </w:tc>
        <w:tc>
          <w:tcPr/>
          <w:p>
            <w:pPr>
              <w:pStyle w:val="Compact"/>
              <w:jc w:val="left"/>
            </w:pPr>
            <w:r>
              <w:t xml:space="preserve">12,0</w:t>
            </w:r>
          </w:p>
        </w:tc>
        <w:tc>
          <w:tcPr/>
          <w:p>
            <w:pPr>
              <w:pStyle w:val="Compact"/>
              <w:jc w:val="left"/>
            </w:pPr>
            <w:r>
              <w:t xml:space="preserve">20</w:t>
            </w:r>
          </w:p>
        </w:tc>
        <w:tc>
          <w:tcPr/>
          <w:p>
            <w:pPr>
              <w:pStyle w:val="Compact"/>
              <w:jc w:val="left"/>
            </w:pPr>
            <w:r>
              <w:t xml:space="preserve">Penetración 6,5 %, tecnología 3, posición 3</w:t>
            </w:r>
          </w:p>
        </w:tc>
      </w:tr>
      <w:tr>
        <w:tc>
          <w:tcPr/>
          <w:p>
            <w:pPr>
              <w:pStyle w:val="Compact"/>
              <w:jc w:val="left"/>
            </w:pPr>
            <w:r>
              <w:t xml:space="preserve">C. Cambio de tendencia</w:t>
            </w:r>
          </w:p>
        </w:tc>
        <w:tc>
          <w:tcPr/>
          <w:p>
            <w:pPr>
              <w:pStyle w:val="Compact"/>
              <w:jc w:val="left"/>
            </w:pPr>
            <w:r>
              <w:t xml:space="preserve">5,0</w:t>
            </w:r>
          </w:p>
        </w:tc>
        <w:tc>
          <w:tcPr/>
          <w:p>
            <w:pPr>
              <w:pStyle w:val="Compact"/>
              <w:jc w:val="left"/>
            </w:pPr>
            <w:r>
              <w:t xml:space="preserve">20</w:t>
            </w:r>
          </w:p>
        </w:tc>
        <w:tc>
          <w:tcPr/>
          <w:p>
            <w:pPr>
              <w:pStyle w:val="Compact"/>
              <w:jc w:val="left"/>
            </w:pPr>
            <w:r>
              <w:t xml:space="preserve">2 de 8 señales, sin euforia</w:t>
            </w:r>
          </w:p>
        </w:tc>
      </w:tr>
      <w:tr>
        <w:tc>
          <w:tcPr/>
          <w:p>
            <w:pPr>
              <w:pStyle w:val="Compact"/>
              <w:jc w:val="left"/>
            </w:pPr>
            <w:r>
              <w:t xml:space="preserve">D. Economía unitaria</w:t>
            </w:r>
          </w:p>
        </w:tc>
        <w:tc>
          <w:tcPr/>
          <w:p>
            <w:pPr>
              <w:pStyle w:val="Compact"/>
              <w:jc w:val="left"/>
            </w:pPr>
            <w:r>
              <w:t xml:space="preserve">11,0</w:t>
            </w:r>
          </w:p>
        </w:tc>
        <w:tc>
          <w:tcPr/>
          <w:p>
            <w:pPr>
              <w:pStyle w:val="Compact"/>
              <w:jc w:val="left"/>
            </w:pPr>
            <w:r>
              <w:t xml:space="preserve">15</w:t>
            </w:r>
          </w:p>
        </w:tc>
        <w:tc>
          <w:tcPr/>
          <w:p>
            <w:pPr>
              <w:pStyle w:val="Compact"/>
              <w:jc w:val="left"/>
            </w:pPr>
            <w:r>
              <w:t xml:space="preserve">Margen bruto 93 %, regla del 40 de 48, equilibrio en 12 meses</w:t>
            </w:r>
          </w:p>
        </w:tc>
      </w:tr>
      <w:tr>
        <w:tc>
          <w:tcPr/>
          <w:p>
            <w:pPr>
              <w:pStyle w:val="Compact"/>
              <w:jc w:val="left"/>
            </w:pPr>
            <w:r>
              <w:t xml:space="preserve">E. Caja y dilución</w:t>
            </w:r>
          </w:p>
        </w:tc>
        <w:tc>
          <w:tcPr/>
          <w:p>
            <w:pPr>
              <w:pStyle w:val="Compact"/>
              <w:jc w:val="left"/>
            </w:pPr>
            <w:r>
              <w:t xml:space="preserve">6,0</w:t>
            </w:r>
          </w:p>
        </w:tc>
        <w:tc>
          <w:tcPr/>
          <w:p>
            <w:pPr>
              <w:pStyle w:val="Compact"/>
              <w:jc w:val="left"/>
            </w:pPr>
            <w:r>
              <w:t xml:space="preserve">10</w:t>
            </w:r>
          </w:p>
        </w:tc>
        <w:tc>
          <w:tcPr/>
          <w:p>
            <w:pPr>
              <w:pStyle w:val="Compact"/>
              <w:jc w:val="left"/>
            </w:pPr>
            <w:r>
              <w:t xml:space="preserve">Pista de 53 meses, dilución del 4,8 %</w:t>
            </w:r>
          </w:p>
        </w:tc>
      </w:tr>
      <w:tr>
        <w:tc>
          <w:tcPr/>
          <w:p>
            <w:pPr>
              <w:pStyle w:val="Compact"/>
              <w:jc w:val="left"/>
            </w:pPr>
            <w:r>
              <w:t xml:space="preserve">F. Ejecución y dirección</w:t>
            </w:r>
          </w:p>
        </w:tc>
        <w:tc>
          <w:tcPr/>
          <w:p>
            <w:pPr>
              <w:pStyle w:val="Compact"/>
              <w:jc w:val="left"/>
            </w:pPr>
            <w:r>
              <w:t xml:space="preserve">7,0</w:t>
            </w:r>
          </w:p>
        </w:tc>
        <w:tc>
          <w:tcPr/>
          <w:p>
            <w:pPr>
              <w:pStyle w:val="Compact"/>
              <w:jc w:val="left"/>
            </w:pPr>
            <w:r>
              <w:t xml:space="preserve">10</w:t>
            </w:r>
          </w:p>
        </w:tc>
        <w:tc>
          <w:tcPr/>
          <w:p>
            <w:pPr>
              <w:pStyle w:val="Compact"/>
              <w:jc w:val="left"/>
            </w:pPr>
            <w:r>
              <w:t xml:space="preserve">Historial 3, dirección 4</w:t>
            </w:r>
          </w:p>
        </w:tc>
      </w:tr>
      <w:tr>
        <w:tc>
          <w:tcPr/>
          <w:p>
            <w:pPr>
              <w:pStyle w:val="Compact"/>
              <w:jc w:val="left"/>
            </w:pPr>
            <w:r>
              <w:rPr>
                <w:bCs/>
                <w:b/>
              </w:rPr>
              <w:t xml:space="preserve">Total</w:t>
            </w:r>
          </w:p>
        </w:tc>
        <w:tc>
          <w:tcPr/>
          <w:p>
            <w:pPr>
              <w:pStyle w:val="Compact"/>
              <w:jc w:val="left"/>
            </w:pPr>
            <w:r>
              <w:rPr>
                <w:bCs/>
                <w:b/>
              </w:rPr>
              <w:t xml:space="preserve">57,7</w:t>
            </w:r>
          </w:p>
        </w:tc>
        <w:tc>
          <w:tcPr/>
          <w:p>
            <w:pPr>
              <w:pStyle w:val="Compact"/>
              <w:jc w:val="left"/>
            </w:pPr>
            <w:r>
              <w:t xml:space="preserve">100</w:t>
            </w:r>
          </w:p>
        </w:tc>
        <w:tc>
          <w:tcPr/>
          <w:p>
            <w:pPr>
              <w:pStyle w:val="Compact"/>
            </w:pPr>
          </w:p>
        </w:tc>
      </w:tr>
    </w:tbl>
    <w:p>
      <w:pPr>
        <w:pStyle w:val="BodyText"/>
      </w:pPr>
      <w:r>
        <w:rPr>
          <w:bCs/>
          <w:b/>
        </w:rPr>
        <w:t xml:space="preserve">Mejoras de método propuestas</w:t>
      </w:r>
      <w:r>
        <w:t xml:space="preserve"> </w:t>
      </w:r>
      <w:r>
        <w:t xml:space="preserve">(no aplicadas; para el backtest):</w:t>
      </w:r>
      <w:r>
        <w:t xml:space="preserve"> </w:t>
      </w:r>
      <w:r>
        <w:t xml:space="preserve">1.</w:t>
      </w:r>
      <w:r>
        <w:t xml:space="preserve"> </w:t>
      </w:r>
      <w:r>
        <w:rPr>
          <w:bCs/>
          <w:b/>
        </w:rPr>
        <w:t xml:space="preserve">Empresas sin guía de ventas</w:t>
      </w:r>
      <w:r>
        <w:t xml:space="preserve">: hoy v9 no recorta nada si la empresa no da guía (Axsome, varias farmacéuticas). Se propone usar como tope de partida el crecimiento del consenso de los 12 meses siguientes más un margen fijo (por ejemplo, 5 puntos), con alerta. Aquí no cambiaría nada (consenso +60 %, mecánica +57 %), pero evitaría proyectar el pasado en empresas que ya frenan sin decirlo.</w:t>
      </w:r>
      <w:r>
        <w:t xml:space="preserve"> </w:t>
      </w:r>
      <w:r>
        <w:t xml:space="preserve">2.</w:t>
      </w:r>
      <w:r>
        <w:t xml:space="preserve"> </w:t>
      </w:r>
      <w:r>
        <w:rPr>
          <w:bCs/>
          <w:b/>
        </w:rPr>
        <w:t xml:space="preserve">Alerta de lanzamiento en curso</w:t>
      </w:r>
      <w:r>
        <w:t xml:space="preserve">: cuando más de la mitad del crecimiento del caso base depende de una indicación lanzada hace menos de dos trimestres, avisar de que la proyección descansa en un hecho aún no visto en las ventas. No cambia cifras.</w:t>
      </w:r>
    </w:p>
    <w:bookmarkEnd w:id="33"/>
    <w:bookmarkStart w:id="34" w:name="fuentes"/>
    <w:p>
      <w:pPr>
        <w:pStyle w:val="Heading2"/>
      </w:pPr>
      <w:r>
        <w:t xml:space="preserve">Fuentes</w:t>
      </w:r>
    </w:p>
    <w:p>
      <w:pPr>
        <w:pStyle w:val="FirstParagraph"/>
      </w:pPr>
      <w:r>
        <w:t xml:space="preserve">[1] Axsome Therapeutics, resultados del 2T 2026 (10-ago-2026), 8-K ex. 99.1 (SEC): ingresos 218,4 M; Auvelity 180,3 M; Sunosi 35,8 M; Symbravo 2,3 M; caja 319,9 M; recetas y cobertura; calendario.</w:t>
      </w:r>
      <w:r>
        <w:t xml:space="preserve"> </w:t>
      </w:r>
      <w:r>
        <w:t xml:space="preserve">[2] Axsome Therapeutics, 10-Q del 2T 2026 (SEC): préstamo de Blackstone, opciones y acciones restringidas, ventas en bolsa, pleitos de Sunosi y Symbravo, acciones a 3-ago-2026.</w:t>
      </w:r>
      <w:r>
        <w:t xml:space="preserve"> </w:t>
      </w:r>
      <w:r>
        <w:t xml:space="preserve">[3] Axsome Therapeutics, 10-K de 2025 (SEC): clientes 35 %, 31 % y 25 %; acuerdo con Teva sobre el genérico de Auvelity (2038-2039).</w:t>
      </w:r>
      <w:r>
        <w:t xml:space="preserve"> </w:t>
      </w:r>
      <w:r>
        <w:t xml:space="preserve">[4] Axsome Therapeutics, resultados del 3T 2025, 4T 2025 y 1T 2026 (8-K, SEC).</w:t>
      </w:r>
      <w:r>
        <w:t xml:space="preserve"> </w:t>
      </w:r>
      <w:r>
        <w:t xml:space="preserve">[5] Axsome Therapeutics, 8-K de 12-ene-2026, 17-feb-2026 y 3-jun-2026 (SEC).</w:t>
      </w:r>
      <w:r>
        <w:t xml:space="preserve"> </w:t>
      </w:r>
      <w:r>
        <w:t xml:space="preserve">[6] Axsome Therapeutics, proxy (DEF 14A, 24-abr-2026, SEC).</w:t>
      </w:r>
      <w:r>
        <w:t xml:space="preserve"> </w:t>
      </w:r>
      <w:r>
        <w:t xml:space="preserve">[7] Investing.com, conferencia de Cantor Fitzgerald (10-sep-2026).</w:t>
      </w:r>
      <w:r>
        <w:t xml:space="preserve"> </w:t>
      </w:r>
      <w:r>
        <w:t xml:space="preserve">[8] Axsome Therapeutics, 8-K de 30-abr-2026, 1-abr-2026, 15-jul-2026 y 31-dic-2025 (SEC); Yahoo Finance y Zacks, conferencia y consenso del 2T 2026.</w:t>
      </w:r>
      <w:r>
        <w:t xml:space="preserve"> </w:t>
      </w:r>
      <w:r>
        <w:t xml:space="preserve">[9] Yahoo Finance chart API (AXSM, QQQ, IBB, XBI): cierres, medias, intradía del 14-oct.</w:t>
      </w:r>
      <w:r>
        <w:t xml:space="preserve"> </w:t>
      </w:r>
      <w:r>
        <w:t xml:space="preserve">[10] Nasdaq.com, histórico de AXSM: cierre del 13-oct-2026 156,32 USD.</w:t>
      </w:r>
      <w:r>
        <w:t xml:space="preserve"> </w:t>
      </w:r>
      <w:r>
        <w:t xml:space="preserve">[11] StockAnalysis, previsiones y precios objetivo de AXSM (14-oct-2026).</w:t>
      </w:r>
      <w:r>
        <w:t xml:space="preserve"> </w:t>
      </w:r>
      <w:r>
        <w:t xml:space="preserve">[12] StockAnalysis, estadísticas de AXSM (14-oct-2026).</w:t>
      </w:r>
      <w:r>
        <w:t xml:space="preserve"> </w:t>
      </w:r>
      <w:r>
        <w:t xml:space="preserve">[13] SEC XBRL companyfacts (CIK 1579428).</w:t>
      </w:r>
      <w:r>
        <w:t xml:space="preserve"> </w:t>
      </w:r>
      <w:r>
        <w:t xml:space="preserve">[14] StockTwits, flujo de AXSM (13-14 oct-2026), con la nota de RBC del 14-oct.</w:t>
      </w:r>
      <w:r>
        <w:t xml:space="preserve"> </w:t>
      </w:r>
      <w:r>
        <w:t xml:space="preserve">[15] Weiss Ratings, alerta sobre la caída tras la conferencia de Morgan Stanley (14-sep-2026).</w:t>
      </w:r>
      <w:r>
        <w:t xml:space="preserve"> </w:t>
      </w:r>
      <w:r>
        <w:t xml:space="preserve">[16] Cálculo propio de EV, ventas NTM, serie histórica del múltiplo y DCF inverso (detalle en</w:t>
      </w:r>
      <w:r>
        <w:t xml:space="preserve"> </w:t>
      </w:r>
      <w:r>
        <w:rPr>
          <w:rStyle w:val="VerbatimChar"/>
        </w:rPr>
        <w:t xml:space="preserve">datos.json</w:t>
      </w:r>
      <w:r>
        <w:t xml:space="preserve">).</w:t>
      </w:r>
      <w:r>
        <w:t xml:space="preserve"> </w:t>
      </w:r>
      <w:r>
        <w:t xml:space="preserve">[17] SEC, Formularios 4 de 2026.</w:t>
      </w:r>
      <w:r>
        <w:t xml:space="preserve"> </w:t>
      </w:r>
      <w:r>
        <w:t xml:space="preserve">[18] De memoria, sin verificar en esta sesión: Rexulti en agitación por alzhéimer (2023) con aviso de mortalidad; rechazo de AXS-07 en 2022; regla de 7 años de la ley IRA; tamaños de mercado.</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2026-10-14T21:41:14Z</dcterms:created>
  <dcterms:modified xsi:type="dcterms:W3CDTF">2026-10-14T21:41:14Z</dcterms:modified>
</cp:coreProperties>
</file>

<file path=docProps/custom.xml><?xml version="1.0" encoding="utf-8"?>
<Properties xmlns="http://schemas.openxmlformats.org/officeDocument/2006/custom-properties" xmlns:vt="http://schemas.openxmlformats.org/officeDocument/2006/docPropsVTypes"/>
</file>