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6d264cb59aec216141b251b61a5fb7aa5d1943d"/>
    <w:p>
      <w:pPr>
        <w:pStyle w:val="Heading1"/>
      </w:pPr>
      <w:r>
        <w:t xml:space="preserve">BE Semiconductor Industries (BESI): análisis growth, 14-oct-2026</w:t>
      </w:r>
    </w:p>
    <w:p>
      <w:pPr>
        <w:pStyle w:val="FirstParagraph"/>
      </w:pPr>
      <w:r>
        <w:rPr>
          <w:bCs/>
          <w:b/>
        </w:rPr>
        <w:t xml:space="preserve">Señal (método v7): Vender (no comprar)</w:t>
      </w:r>
      <w:r>
        <w:t xml:space="preserve"> </w:t>
      </w:r>
      <w:r>
        <w:t xml:space="preserve">· Puntuación 63,3/100 · Señales de cambio de tendencia 2/8 · EV/beneficio bruto 18,7x</w:t>
      </w:r>
      <w:r>
        <w:t xml:space="preserve"> </w:t>
      </w:r>
      <w:r>
        <w:t xml:space="preserve">Precio 172,5 EUR · Objetivo 12 m 131,3 EUR (ponderada −23,0 %, base −26,9 %, bajista −63,8 %, alcista +25,5 %) · Compra hasta 125,7 EUR</w:t>
      </w:r>
      <w:r>
        <w:t xml:space="preserve"> </w:t>
      </w:r>
      <w:r>
        <w:t xml:space="preserve">Peso orientativo: no entra · Por qué: ponderada ≤ −10 %</w:t>
      </w:r>
    </w:p>
    <w:p>
      <w:pPr>
        <w:pStyle w:val="BlockText"/>
      </w:pPr>
      <w:r>
        <w:rPr>
          <w:bCs/>
          <w:b/>
        </w:rPr>
        <w:t xml:space="preserve">Calculado con el método v7</w:t>
      </w:r>
      <w:r>
        <w:t xml:space="preserve"> </w:t>
      </w:r>
      <w:r>
        <w:t xml:space="preserve">(</w:t>
      </w:r>
      <w:r>
        <w:rPr>
          <w:rStyle w:val="VerbatimChar"/>
        </w:rPr>
        <w:t xml:space="preserve">verticales/growth/metodo.md</w:t>
      </w:r>
      <w:r>
        <w:t xml:space="preserve">). Ventas con la regla mecánica (1.178 M EUR en el base, 943 M en el bajista y 1.279 M en el alcista para los 12 meses a jun-2028) y múltiplo de hoy con la rebaja máxima por desaceleración (5,0x / 8,4x / 13,4x EV/ventas NTM). La proyección del analista (1.150 / 1.450 / 1.700 M) y el consenso (~1.670 M en 2028) quedan solo como contraste. La conclusión aguanta las variantes razonables de los datos (sección 9).</w:t>
      </w:r>
    </w:p>
    <w:bookmarkStart w:id="20" w:name="la-tesis-en-cinco-líneas"/>
    <w:p>
      <w:pPr>
        <w:pStyle w:val="Heading2"/>
      </w:pPr>
      <w:r>
        <w:t xml:space="preserve">1. La tesis en cinco líneas</w:t>
      </w:r>
    </w:p>
    <w:p>
      <w:pPr>
        <w:numPr>
          <w:ilvl w:val="0"/>
          <w:numId w:val="1001"/>
        </w:numPr>
        <w:pStyle w:val="Compact"/>
      </w:pPr>
      <w:r>
        <w:t xml:space="preserve">Besi es el líder mundial del</w:t>
      </w:r>
      <w:r>
        <w:t xml:space="preserve"> </w:t>
      </w:r>
      <w:r>
        <w:rPr>
          <w:iCs/>
          <w:i/>
        </w:rPr>
        <w:t xml:space="preserve">hybrid bonding</w:t>
      </w:r>
      <w:r>
        <w:t xml:space="preserve">, la unión directa cobre con cobre de chips apilados, que es la siguiente generación del empaquetado avanzado para IA (lógica, HBM y óptica coempaquetada). Además es número uno en</w:t>
      </w:r>
      <w:r>
        <w:t xml:space="preserve"> </w:t>
      </w:r>
      <w:r>
        <w:rPr>
          <w:iCs/>
          <w:i/>
        </w:rPr>
        <w:t xml:space="preserve">die attach</w:t>
      </w:r>
      <w:r>
        <w:t xml:space="preserve"> </w:t>
      </w:r>
      <w:r>
        <w:t xml:space="preserve">clásico. Margen bruto del 64-66 %, margen operativo del ~44 % y caja neta.</w:t>
      </w:r>
    </w:p>
    <w:p>
      <w:pPr>
        <w:numPr>
          <w:ilvl w:val="0"/>
          <w:numId w:val="1001"/>
        </w:numPr>
        <w:pStyle w:val="Compact"/>
      </w:pPr>
      <w:r>
        <w:t xml:space="preserve">El negocio acaba de salir del valle de 2025: ventas del 2T26 +68,7 %, pedidos +128,8 % y guía del 3T de +10-15 % trimestral (~+112 % interanual). La aceleración es de +64 pp. Pero las ventas de 12 meses solo crecen un 21,9 % y el CAGR a 2 años es del 12,4 %, porque 2025 fue un año flojo.</w:t>
      </w:r>
    </w:p>
    <w:p>
      <w:pPr>
        <w:numPr>
          <w:ilvl w:val="0"/>
          <w:numId w:val="1001"/>
        </w:numPr>
        <w:pStyle w:val="Compact"/>
      </w:pPr>
      <w:r>
        <w:t xml:space="preserve">La percepción ha girado a peor, no a mejor: −47,5 % desde el máximo de 328 EUR de junio. SK hynix retrasa el</w:t>
      </w:r>
      <w:r>
        <w:t xml:space="preserve"> </w:t>
      </w:r>
      <w:r>
        <w:rPr>
          <w:iCs/>
          <w:i/>
        </w:rPr>
        <w:t xml:space="preserve">hybrid bonding</w:t>
      </w:r>
      <w:r>
        <w:t xml:space="preserve"> </w:t>
      </w:r>
      <w:r>
        <w:t xml:space="preserve">en HBM hasta las pilas de 20 capas, BofA (6-oct) y UBS (7-oct, Vender, objetivo de 159 EUR) recortan, y ASML ha anunciado que entra en el</w:t>
      </w:r>
      <w:r>
        <w:t xml:space="preserve"> </w:t>
      </w:r>
      <w:r>
        <w:rPr>
          <w:iCs/>
          <w:i/>
        </w:rPr>
        <w:t xml:space="preserve">hybrid bonding</w:t>
      </w:r>
      <w:r>
        <w:t xml:space="preserve">. Solo 2 de 8 señales están activas.</w:t>
      </w:r>
    </w:p>
    <w:p>
      <w:pPr>
        <w:numPr>
          <w:ilvl w:val="0"/>
          <w:numId w:val="1001"/>
        </w:numPr>
        <w:pStyle w:val="Compact"/>
      </w:pPr>
      <w:r>
        <w:t xml:space="preserve">A 12x EV/ventas NTM, la acción no es cara para lo que gana (18,7x el beneficio bruto, por debajo del tope de 35x), pero la regla mecánica valora a 8,4x unas ventas de 1.178 M en jun-2028, casi lo mismo que ya da la cartera de pedidos para los próximos 12 meses. Resultado: ponderada −23 % y bajista −64 %.</w:t>
      </w:r>
    </w:p>
    <w:p>
      <w:pPr>
        <w:numPr>
          <w:ilvl w:val="0"/>
          <w:numId w:val="1001"/>
        </w:numPr>
        <w:pStyle w:val="Compact"/>
      </w:pPr>
      <w:r>
        <w:t xml:space="preserve">Conclusión: es un negocio de primera en plena caída de percepción, pero el método no ve aún un cambio de tendencia ni margen de seguridad. Vender / no comprar; se revisa tras los resultados del 3T (22-oct) o por debajo de ~126 EUR.</w:t>
      </w:r>
    </w:p>
    <w:bookmarkEnd w:id="20"/>
    <w:bookmarkStart w:id="21" w:name="negocio-y-tecnología"/>
    <w:p>
      <w:pPr>
        <w:pStyle w:val="Heading2"/>
      </w:pPr>
      <w:r>
        <w:t xml:space="preserve">2. Negocio y tecnología</w:t>
      </w:r>
    </w:p>
    <w:p>
      <w:pPr>
        <w:pStyle w:val="FirstParagraph"/>
      </w:pPr>
      <w:r>
        <w:t xml:space="preserve">Besi (Duiven, Países Bajos) diseña y fabrica equipos de ensamblaje de semiconductores (</w:t>
      </w:r>
      <w:r>
        <w:rPr>
          <w:iCs/>
          <w:i/>
        </w:rPr>
        <w:t xml:space="preserve">back-end</w:t>
      </w:r>
      <w:r>
        <w:t xml:space="preserve">):</w:t>
      </w:r>
      <w:r>
        <w:t xml:space="preserve"> </w:t>
      </w:r>
      <w:r>
        <w:rPr>
          <w:iCs/>
          <w:i/>
        </w:rPr>
        <w:t xml:space="preserve">die attach</w:t>
      </w:r>
      <w:r>
        <w:t xml:space="preserve"> </w:t>
      </w:r>
      <w:r>
        <w:t xml:space="preserve">(colocar y unir chips), empaquetado y chapado. Sus clientes son subcontratistas asiáticos de ensamblaje (OSAT), fabricantes de lógica y memoria (TSMC, Intel, Samsung, SK hynix, Micron), fabricantes de electrónica de consumo y de automoción [1][2].</w:t>
      </w:r>
    </w:p>
    <w:p>
      <w:pPr>
        <w:pStyle w:val="BodyText"/>
      </w:pPr>
      <w:r>
        <w:t xml:space="preserve">Lo nuevo es el</w:t>
      </w:r>
      <w:r>
        <w:t xml:space="preserve"> </w:t>
      </w:r>
      <w:r>
        <w:rPr>
          <w:bCs/>
          <w:b/>
        </w:rPr>
        <w:t xml:space="preserve">hybrid bonding</w:t>
      </w:r>
      <w:r>
        <w:t xml:space="preserve">: une dos chips directamente por sus contactos de cobre, sin microsoldaduras. Así consigue más densidad de conexiones, menos consumo y pilas más delgadas. Se usa ya en procesadores de IA (SoIC de TSMC), en móviles de gama alta y en</w:t>
      </w:r>
      <w:r>
        <w:t xml:space="preserve"> </w:t>
      </w:r>
      <w:r>
        <w:rPr>
          <w:iCs/>
          <w:i/>
        </w:rPr>
        <w:t xml:space="preserve">chiplets</w:t>
      </w:r>
      <w:r>
        <w:t xml:space="preserve">, y se espera en HBM de 20 o más capas y en óptica coempaquetada. Besi tiene la plataforma más instalada (más de 150 sistemas) y con Applied Materials ofrece</w:t>
      </w:r>
      <w:r>
        <w:t xml:space="preserve"> </w:t>
      </w:r>
      <w:r>
        <w:rPr>
          <w:bCs/>
          <w:b/>
        </w:rPr>
        <w:t xml:space="preserve">Kinex</w:t>
      </w:r>
      <w:r>
        <w:t xml:space="preserve">, la primera línea integrada (preparación de superficie, unión y metrología). SK hynix encargó un Kinex en línea en marzo de 2026 [15][16]. Los clientes de</w:t>
      </w:r>
      <w:r>
        <w:t xml:space="preserve"> </w:t>
      </w:r>
      <w:r>
        <w:rPr>
          <w:iCs/>
          <w:i/>
        </w:rPr>
        <w:t xml:space="preserve">hybrid bonding</w:t>
      </w:r>
      <w:r>
        <w:t xml:space="preserve"> </w:t>
      </w:r>
      <w:r>
        <w:t xml:space="preserve">pasaron de 15 a 21 en el primer semestre, con un nuevo cliente hiperescalador en el 2T [1].</w:t>
      </w:r>
    </w:p>
    <w:p>
      <w:pPr>
        <w:pStyle w:val="BodyText"/>
      </w:pPr>
      <w:r>
        <w:t xml:space="preserve">La tecnología se puntúa con</w:t>
      </w:r>
      <w:r>
        <w:t xml:space="preserve"> </w:t>
      </w:r>
      <w:r>
        <w:rPr>
          <w:bCs/>
          <w:b/>
        </w:rPr>
        <w:t xml:space="preserve">4/5</w:t>
      </w:r>
      <w:r>
        <w:t xml:space="preserve">: va por delante y tiene la alianza con Applied, pero hay unas 20 plataformas rivales en desarrollo (ASMPT, SET, Shibaura, Hanmi, Hanwha, SEMES, LG, fabricantes chinos) y ahora ASML [8][16]. La posición se puntúa con</w:t>
      </w:r>
      <w:r>
        <w:t xml:space="preserve"> </w:t>
      </w:r>
      <w:r>
        <w:rPr>
          <w:bCs/>
          <w:b/>
        </w:rPr>
        <w:t xml:space="preserve">4/5</w:t>
      </w:r>
      <w:r>
        <w:t xml:space="preserve">: líder claro en</w:t>
      </w:r>
      <w:r>
        <w:t xml:space="preserve"> </w:t>
      </w:r>
      <w:r>
        <w:rPr>
          <w:iCs/>
          <w:i/>
        </w:rPr>
        <w:t xml:space="preserve">hybrid bonding</w:t>
      </w:r>
      <w:r>
        <w:t xml:space="preserve"> </w:t>
      </w:r>
      <w:r>
        <w:t xml:space="preserve">(Bernstein: 3 de cada 4 equipos de 2028 serán de Besi [8]) y en</w:t>
      </w:r>
      <w:r>
        <w:t xml:space="preserve"> </w:t>
      </w:r>
      <w:r>
        <w:rPr>
          <w:iCs/>
          <w:i/>
        </w:rPr>
        <w:t xml:space="preserve">die attach</w:t>
      </w:r>
      <w:r>
        <w:t xml:space="preserve">, pero en TCB para HBM dominan Hanmi y ASMPT.</w:t>
      </w:r>
    </w:p>
    <w:bookmarkEnd w:id="21"/>
    <w:bookmarkStart w:id="22" w:name="crecimiento"/>
    <w:p>
      <w:pPr>
        <w:pStyle w:val="Heading2"/>
      </w:pPr>
      <w:r>
        <w:t xml:space="preserve">3. Crecimiento</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Trimestre</w:t>
            </w:r>
          </w:p>
        </w:tc>
        <w:tc>
          <w:tcPr/>
          <w:p>
            <w:pPr>
              <w:pStyle w:val="Compact"/>
              <w:jc w:val="left"/>
            </w:pPr>
            <w:r>
              <w:t xml:space="preserve">Ventas (M EUR)</w:t>
            </w:r>
          </w:p>
        </w:tc>
        <w:tc>
          <w:tcPr/>
          <w:p>
            <w:pPr>
              <w:pStyle w:val="Compact"/>
              <w:jc w:val="left"/>
            </w:pPr>
            <w:r>
              <w:t xml:space="preserve">Crec. interanual</w:t>
            </w:r>
          </w:p>
        </w:tc>
        <w:tc>
          <w:tcPr/>
          <w:p>
            <w:pPr>
              <w:pStyle w:val="Compact"/>
              <w:jc w:val="left"/>
            </w:pPr>
            <w:r>
              <w:t xml:space="preserve">Pedidos (M EUR)</w:t>
            </w:r>
          </w:p>
        </w:tc>
      </w:tr>
      <w:tr>
        <w:tc>
          <w:tcPr/>
          <w:p>
            <w:pPr>
              <w:pStyle w:val="Compact"/>
              <w:jc w:val="left"/>
            </w:pPr>
            <w:r>
              <w:t xml:space="preserve">2T25</w:t>
            </w:r>
          </w:p>
        </w:tc>
        <w:tc>
          <w:tcPr/>
          <w:p>
            <w:pPr>
              <w:pStyle w:val="Compact"/>
              <w:jc w:val="left"/>
            </w:pPr>
            <w:r>
              <w:t xml:space="preserve">148,1</w:t>
            </w:r>
          </w:p>
        </w:tc>
        <w:tc>
          <w:tcPr/>
          <w:p>
            <w:pPr>
              <w:pStyle w:val="Compact"/>
              <w:jc w:val="left"/>
            </w:pPr>
            <w:r>
              <w:t xml:space="preserve">−2,1 %</w:t>
            </w:r>
          </w:p>
        </w:tc>
        <w:tc>
          <w:tcPr/>
          <w:p>
            <w:pPr>
              <w:pStyle w:val="Compact"/>
              <w:jc w:val="left"/>
            </w:pPr>
            <w:r>
              <w:t xml:space="preserve">128</w:t>
            </w:r>
          </w:p>
        </w:tc>
      </w:tr>
      <w:tr>
        <w:tc>
          <w:tcPr/>
          <w:p>
            <w:pPr>
              <w:pStyle w:val="Compact"/>
              <w:jc w:val="left"/>
            </w:pPr>
            <w:r>
              <w:t xml:space="preserve">3T25</w:t>
            </w:r>
          </w:p>
        </w:tc>
        <w:tc>
          <w:tcPr/>
          <w:p>
            <w:pPr>
              <w:pStyle w:val="Compact"/>
              <w:jc w:val="left"/>
            </w:pPr>
            <w:r>
              <w:t xml:space="preserve">132,7</w:t>
            </w:r>
          </w:p>
        </w:tc>
        <w:tc>
          <w:tcPr/>
          <w:p>
            <w:pPr>
              <w:pStyle w:val="Compact"/>
              <w:jc w:val="left"/>
            </w:pPr>
            <w:r>
              <w:t xml:space="preserve">−15,3 %</w:t>
            </w:r>
          </w:p>
        </w:tc>
        <w:tc>
          <w:tcPr/>
          <w:p>
            <w:pPr>
              <w:pStyle w:val="Compact"/>
              <w:jc w:val="left"/>
            </w:pPr>
            <w:r>
              <w:t xml:space="preserve">174,7</w:t>
            </w:r>
          </w:p>
        </w:tc>
      </w:tr>
      <w:tr>
        <w:tc>
          <w:tcPr/>
          <w:p>
            <w:pPr>
              <w:pStyle w:val="Compact"/>
              <w:jc w:val="left"/>
            </w:pPr>
            <w:r>
              <w:t xml:space="preserve">4T25</w:t>
            </w:r>
          </w:p>
        </w:tc>
        <w:tc>
          <w:tcPr/>
          <w:p>
            <w:pPr>
              <w:pStyle w:val="Compact"/>
              <w:jc w:val="left"/>
            </w:pPr>
            <w:r>
              <w:t xml:space="preserve">166,4</w:t>
            </w:r>
          </w:p>
        </w:tc>
        <w:tc>
          <w:tcPr/>
          <w:p>
            <w:pPr>
              <w:pStyle w:val="Compact"/>
              <w:jc w:val="left"/>
            </w:pPr>
            <w:r>
              <w:t xml:space="preserve">+8,5 %</w:t>
            </w:r>
          </w:p>
        </w:tc>
        <w:tc>
          <w:tcPr/>
          <w:p>
            <w:pPr>
              <w:pStyle w:val="Compact"/>
              <w:jc w:val="left"/>
            </w:pPr>
            <w:r>
              <w:t xml:space="preserve">250,4</w:t>
            </w:r>
          </w:p>
        </w:tc>
      </w:tr>
      <w:tr>
        <w:tc>
          <w:tcPr/>
          <w:p>
            <w:pPr>
              <w:pStyle w:val="Compact"/>
              <w:jc w:val="left"/>
            </w:pPr>
            <w:r>
              <w:t xml:space="preserve">1T26</w:t>
            </w:r>
          </w:p>
        </w:tc>
        <w:tc>
          <w:tcPr/>
          <w:p>
            <w:pPr>
              <w:pStyle w:val="Compact"/>
              <w:jc w:val="left"/>
            </w:pPr>
            <w:r>
              <w:t xml:space="preserve">184,9</w:t>
            </w:r>
          </w:p>
        </w:tc>
        <w:tc>
          <w:tcPr/>
          <w:p>
            <w:pPr>
              <w:pStyle w:val="Compact"/>
              <w:jc w:val="left"/>
            </w:pPr>
            <w:r>
              <w:t xml:space="preserve">+28,3 %</w:t>
            </w:r>
          </w:p>
        </w:tc>
        <w:tc>
          <w:tcPr/>
          <w:p>
            <w:pPr>
              <w:pStyle w:val="Compact"/>
              <w:jc w:val="left"/>
            </w:pPr>
            <w:r>
              <w:t xml:space="preserve">269,7</w:t>
            </w:r>
          </w:p>
        </w:tc>
      </w:tr>
      <w:tr>
        <w:tc>
          <w:tcPr/>
          <w:p>
            <w:pPr>
              <w:pStyle w:val="Compact"/>
              <w:jc w:val="left"/>
            </w:pPr>
            <w:r>
              <w:t xml:space="preserve">2T26</w:t>
            </w:r>
          </w:p>
        </w:tc>
        <w:tc>
          <w:tcPr/>
          <w:p>
            <w:pPr>
              <w:pStyle w:val="Compact"/>
              <w:jc w:val="left"/>
            </w:pPr>
            <w:r>
              <w:t xml:space="preserve">249,9</w:t>
            </w:r>
          </w:p>
        </w:tc>
        <w:tc>
          <w:tcPr/>
          <w:p>
            <w:pPr>
              <w:pStyle w:val="Compact"/>
              <w:jc w:val="left"/>
            </w:pPr>
            <w:r>
              <w:t xml:space="preserve">+68,7 %</w:t>
            </w:r>
          </w:p>
        </w:tc>
        <w:tc>
          <w:tcPr/>
          <w:p>
            <w:pPr>
              <w:pStyle w:val="Compact"/>
              <w:jc w:val="left"/>
            </w:pPr>
            <w:r>
              <w:t xml:space="preserve">292,9</w:t>
            </w:r>
          </w:p>
        </w:tc>
      </w:tr>
      <w:tr>
        <w:tc>
          <w:tcPr/>
          <w:p>
            <w:pPr>
              <w:pStyle w:val="Compact"/>
              <w:jc w:val="left"/>
            </w:pPr>
            <w:r>
              <w:t xml:space="preserve">Guía 3T26</w:t>
            </w:r>
          </w:p>
        </w:tc>
        <w:tc>
          <w:tcPr/>
          <w:p>
            <w:pPr>
              <w:pStyle w:val="Compact"/>
              <w:jc w:val="left"/>
            </w:pPr>
            <w:r>
              <w:t xml:space="preserve">275-287</w:t>
            </w:r>
          </w:p>
        </w:tc>
        <w:tc>
          <w:tcPr/>
          <w:p>
            <w:pPr>
              <w:pStyle w:val="Compact"/>
              <w:jc w:val="left"/>
            </w:pPr>
            <w:r>
              <w:t xml:space="preserve">+107-117 %</w:t>
            </w:r>
          </w:p>
        </w:tc>
        <w:tc>
          <w:tcPr/>
          <w:p>
            <w:pPr>
              <w:pStyle w:val="Compact"/>
              <w:jc w:val="left"/>
            </w:pPr>
            <w:r>
              <w:t xml:space="preserve">—</w:t>
            </w:r>
          </w:p>
        </w:tc>
      </w:tr>
    </w:tbl>
    <w:p>
      <w:pPr>
        <w:pStyle w:val="BodyText"/>
      </w:pPr>
      <w:r>
        <w:t xml:space="preserve">Fuentes: [1][2].</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Ejercicio</w:t>
            </w:r>
          </w:p>
        </w:tc>
        <w:tc>
          <w:tcPr/>
          <w:p>
            <w:pPr>
              <w:pStyle w:val="Compact"/>
              <w:jc w:val="left"/>
            </w:pPr>
            <w:r>
              <w:t xml:space="preserve">Ventas (M EUR)</w:t>
            </w:r>
          </w:p>
        </w:tc>
        <w:tc>
          <w:tcPr/>
          <w:p>
            <w:pPr>
              <w:pStyle w:val="Compact"/>
              <w:jc w:val="left"/>
            </w:pPr>
            <w:r>
              <w:t xml:space="preserve">Crec.</w:t>
            </w:r>
          </w:p>
        </w:tc>
      </w:tr>
      <w:tr>
        <w:tc>
          <w:tcPr/>
          <w:p>
            <w:pPr>
              <w:pStyle w:val="Compact"/>
              <w:jc w:val="left"/>
            </w:pPr>
            <w:r>
              <w:t xml:space="preserve">2023</w:t>
            </w:r>
          </w:p>
        </w:tc>
        <w:tc>
          <w:tcPr/>
          <w:p>
            <w:pPr>
              <w:pStyle w:val="Compact"/>
              <w:jc w:val="left"/>
            </w:pPr>
            <w:r>
              <w:t xml:space="preserve">~579</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607,5</w:t>
            </w:r>
          </w:p>
        </w:tc>
        <w:tc>
          <w:tcPr/>
          <w:p>
            <w:pPr>
              <w:pStyle w:val="Compact"/>
              <w:jc w:val="left"/>
            </w:pPr>
            <w:r>
              <w:t xml:space="preserve">+4,9 %</w:t>
            </w:r>
          </w:p>
        </w:tc>
      </w:tr>
      <w:tr>
        <w:tc>
          <w:tcPr/>
          <w:p>
            <w:pPr>
              <w:pStyle w:val="Compact"/>
              <w:jc w:val="left"/>
            </w:pPr>
            <w:r>
              <w:t xml:space="preserve">2025</w:t>
            </w:r>
          </w:p>
        </w:tc>
        <w:tc>
          <w:tcPr/>
          <w:p>
            <w:pPr>
              <w:pStyle w:val="Compact"/>
              <w:jc w:val="left"/>
            </w:pPr>
            <w:r>
              <w:t xml:space="preserve">591,3</w:t>
            </w:r>
          </w:p>
        </w:tc>
        <w:tc>
          <w:tcPr/>
          <w:p>
            <w:pPr>
              <w:pStyle w:val="Compact"/>
              <w:jc w:val="left"/>
            </w:pPr>
            <w:r>
              <w:t xml:space="preserve">−2,7 %</w:t>
            </w:r>
          </w:p>
        </w:tc>
      </w:tr>
      <w:tr>
        <w:tc>
          <w:tcPr/>
          <w:p>
            <w:pPr>
              <w:pStyle w:val="Compact"/>
              <w:jc w:val="left"/>
            </w:pPr>
            <w:r>
              <w:t xml:space="preserve">2026 consenso</w:t>
            </w:r>
          </w:p>
        </w:tc>
        <w:tc>
          <w:tcPr/>
          <w:p>
            <w:pPr>
              <w:pStyle w:val="Compact"/>
              <w:jc w:val="left"/>
            </w:pPr>
            <w:r>
              <w:t xml:space="preserve">~1.000</w:t>
            </w:r>
          </w:p>
        </w:tc>
        <w:tc>
          <w:tcPr/>
          <w:p>
            <w:pPr>
              <w:pStyle w:val="Compact"/>
              <w:jc w:val="left"/>
            </w:pPr>
            <w:r>
              <w:t xml:space="preserve">~+69 %</w:t>
            </w:r>
          </w:p>
        </w:tc>
      </w:tr>
      <w:tr>
        <w:tc>
          <w:tcPr/>
          <w:p>
            <w:pPr>
              <w:pStyle w:val="Compact"/>
              <w:jc w:val="left"/>
            </w:pPr>
            <w:r>
              <w:t xml:space="preserve">2027 consenso</w:t>
            </w:r>
          </w:p>
        </w:tc>
        <w:tc>
          <w:tcPr/>
          <w:p>
            <w:pPr>
              <w:pStyle w:val="Compact"/>
              <w:jc w:val="left"/>
            </w:pPr>
            <w:r>
              <w:t xml:space="preserve">~1.340</w:t>
            </w:r>
          </w:p>
        </w:tc>
        <w:tc>
          <w:tcPr/>
          <w:p>
            <w:pPr>
              <w:pStyle w:val="Compact"/>
              <w:jc w:val="left"/>
            </w:pPr>
            <w:r>
              <w:t xml:space="preserve">~+34 %</w:t>
            </w:r>
          </w:p>
        </w:tc>
      </w:tr>
    </w:tbl>
    <w:p>
      <w:pPr>
        <w:numPr>
          <w:ilvl w:val="0"/>
          <w:numId w:val="1002"/>
        </w:numPr>
        <w:pStyle w:val="Compact"/>
      </w:pPr>
      <w:r>
        <w:rPr>
          <w:bCs/>
          <w:b/>
        </w:rPr>
        <w:t xml:space="preserve">Ventas de los últimos 12 meses</w:t>
      </w:r>
      <w:r>
        <w:t xml:space="preserve"> </w:t>
      </w:r>
      <w:r>
        <w:t xml:space="preserve">(3T25-2T26): 733,9 M EUR,</w:t>
      </w:r>
      <w:r>
        <w:t xml:space="preserve"> </w:t>
      </w:r>
      <w:r>
        <w:rPr>
          <w:bCs/>
          <w:b/>
        </w:rPr>
        <w:t xml:space="preserve">+21,9 %</w:t>
      </w:r>
      <w:r>
        <w:t xml:space="preserve"> </w:t>
      </w:r>
      <w:r>
        <w:t xml:space="preserve">sobre los 602,2 M de un año antes.</w:t>
      </w:r>
      <w:r>
        <w:t xml:space="preserve"> </w:t>
      </w:r>
      <w:r>
        <w:rPr>
          <w:bCs/>
          <w:b/>
        </w:rPr>
        <w:t xml:space="preserve">CAGR propio a 2 años</w:t>
      </w:r>
      <w:r>
        <w:t xml:space="preserve">:</w:t>
      </w:r>
      <w:r>
        <w:t xml:space="preserve"> </w:t>
      </w:r>
      <w:r>
        <w:rPr>
          <w:bCs/>
          <w:b/>
        </w:rPr>
        <w:t xml:space="preserve">12,4 %</w:t>
      </w:r>
      <w:r>
        <w:t xml:space="preserve"> </w:t>
      </w:r>
      <w:r>
        <w:t xml:space="preserve">(580,4 M en los 12 meses a jun-2024).</w:t>
      </w:r>
    </w:p>
    <w:p>
      <w:pPr>
        <w:numPr>
          <w:ilvl w:val="0"/>
          <w:numId w:val="1002"/>
        </w:numPr>
        <w:pStyle w:val="Compact"/>
      </w:pPr>
      <w:r>
        <w:rPr>
          <w:bCs/>
          <w:b/>
        </w:rPr>
        <w:t xml:space="preserve">Aceleración</w:t>
      </w:r>
      <w:r>
        <w:t xml:space="preserve">: el 2T26 creció un 68,7 % frente a una media del 4,9 % en los cuatro trimestres anteriores:</w:t>
      </w:r>
      <w:r>
        <w:t xml:space="preserve"> </w:t>
      </w:r>
      <w:r>
        <w:rPr>
          <w:bCs/>
          <w:b/>
        </w:rPr>
        <w:t xml:space="preserve">+63,9 pp</w:t>
      </w:r>
      <w:r>
        <w:t xml:space="preserve">.</w:t>
      </w:r>
    </w:p>
    <w:p>
      <w:pPr>
        <w:numPr>
          <w:ilvl w:val="0"/>
          <w:numId w:val="1002"/>
        </w:numPr>
        <w:pStyle w:val="Compact"/>
      </w:pPr>
      <w:r>
        <w:rPr>
          <w:bCs/>
          <w:b/>
        </w:rPr>
        <w:t xml:space="preserve">Pedidos</w:t>
      </w:r>
      <w:r>
        <w:t xml:space="preserve">: 987,7 M en 12 meses; relación pedidos/ventas de</w:t>
      </w:r>
      <w:r>
        <w:t xml:space="preserve"> </w:t>
      </w:r>
      <w:r>
        <w:rPr>
          <w:bCs/>
          <w:b/>
        </w:rPr>
        <w:t xml:space="preserve">1,35</w:t>
      </w:r>
      <w:r>
        <w:t xml:space="preserve">. Es lo que sostiene la guía del 3T y lo que la regla mecánica no ve (sección 9).</w:t>
      </w:r>
    </w:p>
    <w:p>
      <w:pPr>
        <w:numPr>
          <w:ilvl w:val="0"/>
          <w:numId w:val="1002"/>
        </w:numPr>
        <w:pStyle w:val="Compact"/>
      </w:pPr>
      <w:r>
        <w:rPr>
          <w:bCs/>
          <w:b/>
        </w:rPr>
        <w:t xml:space="preserve">Retención</w:t>
      </w:r>
      <w:r>
        <w:t xml:space="preserve">: no aplica (equipos, no suscripción);</w:t>
      </w:r>
      <w:r>
        <w:t xml:space="preserve"> </w:t>
      </w:r>
      <w:r>
        <w:rPr>
          <w:rStyle w:val="VerbatimChar"/>
        </w:rPr>
        <w:t xml:space="preserve">nrr_pct</w:t>
      </w:r>
      <w:r>
        <w:t xml:space="preserve"> </w:t>
      </w:r>
      <w:r>
        <w:t xml:space="preserve">= null.</w:t>
      </w:r>
    </w:p>
    <w:p>
      <w:pPr>
        <w:numPr>
          <w:ilvl w:val="0"/>
          <w:numId w:val="1002"/>
        </w:numPr>
        <w:pStyle w:val="Compact"/>
      </w:pPr>
      <w:r>
        <w:rPr>
          <w:bCs/>
          <w:b/>
        </w:rPr>
        <w:t xml:space="preserve">Guía larga</w:t>
      </w:r>
      <w:r>
        <w:t xml:space="preserve"> </w:t>
      </w:r>
      <w:r>
        <w:t xml:space="preserve">(Día del Inversor, jun-2026): ventas de 1.700-2.200 M EUR en 2030 y margen operativo del 45-55 % [16]. Degroof Petercam recuerda que la empresa sube los objetivos antes de haber alcanzado los anteriores.</w:t>
      </w:r>
    </w:p>
    <w:bookmarkEnd w:id="22"/>
    <w:bookmarkStart w:id="23" w:name="mercado-y-competencia"/>
    <w:p>
      <w:pPr>
        <w:pStyle w:val="Heading2"/>
      </w:pPr>
      <w:r>
        <w:t xml:space="preserve">4. Mercado y competencia</w:t>
      </w:r>
    </w:p>
    <w:p>
      <w:pPr>
        <w:numPr>
          <w:ilvl w:val="0"/>
          <w:numId w:val="1003"/>
        </w:numPr>
        <w:pStyle w:val="Compact"/>
      </w:pPr>
      <w:r>
        <w:rPr>
          <w:bCs/>
          <w:b/>
        </w:rPr>
        <w:t xml:space="preserve">Mercado alcanzable</w:t>
      </w:r>
      <w:r>
        <w:t xml:space="preserve">:</w:t>
      </w:r>
      <w:r>
        <w:t xml:space="preserve"> </w:t>
      </w:r>
      <w:r>
        <w:rPr>
          <w:bCs/>
          <w:b/>
        </w:rPr>
        <w:t xml:space="preserve">5.000 M EUR</w:t>
      </w:r>
      <w:r>
        <w:t xml:space="preserve"> </w:t>
      </w:r>
      <w:r>
        <w:t xml:space="preserve">en 2028. Es una estimación propia del equipo de ensamblaje que Besi puede vender (</w:t>
      </w:r>
      <w:r>
        <w:rPr>
          <w:iCs/>
          <w:i/>
        </w:rPr>
        <w:t xml:space="preserve">die attach</w:t>
      </w:r>
      <w:r>
        <w:t xml:space="preserve">,</w:t>
      </w:r>
      <w:r>
        <w:t xml:space="preserve"> </w:t>
      </w:r>
      <w:r>
        <w:rPr>
          <w:iCs/>
          <w:i/>
        </w:rPr>
        <w:t xml:space="preserve">flip chip</w:t>
      </w:r>
      <w:r>
        <w:t xml:space="preserve">, TCB,</w:t>
      </w:r>
      <w:r>
        <w:t xml:space="preserve"> </w:t>
      </w:r>
      <w:r>
        <w:rPr>
          <w:iCs/>
          <w:i/>
        </w:rPr>
        <w:t xml:space="preserve">hybrid bonding</w:t>
      </w:r>
      <w:r>
        <w:t xml:space="preserve">, empaquetado y chapado). Yole sitúa todo el equipo de</w:t>
      </w:r>
      <w:r>
        <w:t xml:space="preserve"> </w:t>
      </w:r>
      <w:r>
        <w:rPr>
          <w:iCs/>
          <w:i/>
        </w:rPr>
        <w:t xml:space="preserve">back-end</w:t>
      </w:r>
      <w:r>
        <w:t xml:space="preserve"> </w:t>
      </w:r>
      <w:r>
        <w:t xml:space="preserve">por encima de 9.000 M USD en 2030, con 936 M USD de TCB y 397 M USD de</w:t>
      </w:r>
      <w:r>
        <w:t xml:space="preserve"> </w:t>
      </w:r>
      <w:r>
        <w:rPr>
          <w:iCs/>
          <w:i/>
        </w:rPr>
        <w:t xml:space="preserve">hybrid bonders</w:t>
      </w:r>
      <w:r>
        <w:t xml:space="preserve">. TrendForce da hasta ~2.000 M USD de</w:t>
      </w:r>
      <w:r>
        <w:t xml:space="preserve"> </w:t>
      </w:r>
      <w:r>
        <w:rPr>
          <w:iCs/>
          <w:i/>
        </w:rPr>
        <w:t xml:space="preserve">hybrid bonders</w:t>
      </w:r>
      <w:r>
        <w:t xml:space="preserve"> </w:t>
      </w:r>
      <w:r>
        <w:t xml:space="preserve">en 2028 si la mitad del HBM lo adopta [18]. Las cifras del</w:t>
      </w:r>
      <w:r>
        <w:t xml:space="preserve"> </w:t>
      </w:r>
      <w:r>
        <w:rPr>
          <w:iCs/>
          <w:i/>
        </w:rPr>
        <w:t xml:space="preserve">hybrid bonding</w:t>
      </w:r>
      <w:r>
        <w:t xml:space="preserve"> </w:t>
      </w:r>
      <w:r>
        <w:t xml:space="preserve">varían por cinco según la fuente: es la gran incógnita.</w:t>
      </w:r>
    </w:p>
    <w:p>
      <w:pPr>
        <w:numPr>
          <w:ilvl w:val="0"/>
          <w:numId w:val="1003"/>
        </w:numPr>
        <w:pStyle w:val="Compact"/>
      </w:pPr>
      <w:r>
        <w:rPr>
          <w:bCs/>
          <w:b/>
        </w:rPr>
        <w:t xml:space="preserve">Penetración</w:t>
      </w:r>
      <w:r>
        <w:t xml:space="preserve">: 733,9 / 5.000 =</w:t>
      </w:r>
      <w:r>
        <w:t xml:space="preserve"> </w:t>
      </w:r>
      <w:r>
        <w:rPr>
          <w:bCs/>
          <w:b/>
        </w:rPr>
        <w:t xml:space="preserve">14,7 %</w:t>
      </w:r>
      <w:r>
        <w:t xml:space="preserve">: Besi ya es grande en su nicho.</w:t>
      </w:r>
    </w:p>
    <w:p>
      <w:pPr>
        <w:numPr>
          <w:ilvl w:val="0"/>
          <w:numId w:val="1003"/>
        </w:numPr>
        <w:pStyle w:val="Compact"/>
      </w:pPr>
      <w:r>
        <w:rPr>
          <w:bCs/>
          <w:b/>
        </w:rPr>
        <w:t xml:space="preserve">Rivales</w:t>
      </w:r>
      <w:r>
        <w:t xml:space="preserve">: ASMPT, Hanmi y Hanwha (TCB para HBM), SET, Shibaura, SEMES (Samsung), EV Group y Tokyo Electron (oblea con oblea), y ASML, que ha dicho públicamente que entra en el</w:t>
      </w:r>
      <w:r>
        <w:t xml:space="preserve"> </w:t>
      </w:r>
      <w:r>
        <w:rPr>
          <w:iCs/>
          <w:i/>
        </w:rPr>
        <w:t xml:space="preserve">hybrid bonding</w:t>
      </w:r>
      <w:r>
        <w:t xml:space="preserve"> </w:t>
      </w:r>
      <w:r>
        <w:t xml:space="preserve">[8][16].</w:t>
      </w:r>
    </w:p>
    <w:p>
      <w:pPr>
        <w:numPr>
          <w:ilvl w:val="0"/>
          <w:numId w:val="1003"/>
        </w:numPr>
        <w:pStyle w:val="Compact"/>
      </w:pPr>
      <w:r>
        <w:rPr>
          <w:bCs/>
          <w:b/>
        </w:rPr>
        <w:t xml:space="preserve">Por qué gana</w:t>
      </w:r>
      <w:r>
        <w:t xml:space="preserve">: base instalada y años de producción en TSMC y en lógica, la precisión de colocación por debajo de 100 nm, y la alianza con Applied (Applied tiene ~9 % del capital). El riesgo es que la memoria, el mayor mercado potencial, retrase la adopción y que un gigante llegue a tiempo.</w:t>
      </w:r>
    </w:p>
    <w:bookmarkEnd w:id="23"/>
    <w:bookmarkStart w:id="24" w:name="cambio-de-tendencia"/>
    <w:p>
      <w:pPr>
        <w:pStyle w:val="Heading2"/>
      </w:pPr>
      <w:r>
        <w:t xml:space="preserve">5. Cambio de tendencia</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Señal</w:t>
            </w:r>
          </w:p>
        </w:tc>
        <w:tc>
          <w:tcPr/>
          <w:p>
            <w:pPr>
              <w:pStyle w:val="Compact"/>
              <w:jc w:val="left"/>
            </w:pPr>
            <w:r>
              <w:t xml:space="preserve">Sí/No</w:t>
            </w:r>
          </w:p>
        </w:tc>
        <w:tc>
          <w:tcPr/>
          <w:p>
            <w:pPr>
              <w:pStyle w:val="Compact"/>
              <w:jc w:val="left"/>
            </w:pPr>
            <w:r>
              <w:t xml:space="preserve">Prueba</w:t>
            </w:r>
          </w:p>
        </w:tc>
        <w:tc>
          <w:tcPr/>
          <w:p>
            <w:pPr>
              <w:pStyle w:val="Compact"/>
              <w:jc w:val="left"/>
            </w:pPr>
            <w:r>
              <w:t xml:space="preserve">Fuente</w:t>
            </w:r>
          </w:p>
        </w:tc>
      </w:tr>
      <w:tr>
        <w:tc>
          <w:tcPr/>
          <w:p>
            <w:pPr>
              <w:pStyle w:val="Compact"/>
              <w:jc w:val="left"/>
            </w:pPr>
            <w:r>
              <w:t xml:space="preserve">1</w:t>
            </w:r>
          </w:p>
        </w:tc>
        <w:tc>
          <w:tcPr/>
          <w:p>
            <w:pPr>
              <w:pStyle w:val="Compact"/>
              <w:jc w:val="left"/>
            </w:pPr>
            <w:r>
              <w:t xml:space="preserve">Revisiones al alza</w:t>
            </w:r>
          </w:p>
        </w:tc>
        <w:tc>
          <w:tcPr/>
          <w:p>
            <w:pPr>
              <w:pStyle w:val="Compact"/>
              <w:jc w:val="left"/>
            </w:pPr>
            <w:r>
              <w:t xml:space="preserve">No</w:t>
            </w:r>
          </w:p>
        </w:tc>
        <w:tc>
          <w:tcPr/>
          <w:p>
            <w:pPr>
              <w:pStyle w:val="Compact"/>
              <w:jc w:val="left"/>
            </w:pPr>
            <w:r>
              <w:t xml:space="preserve">A la baja: BofA, de 401 a 212 EUR y menos máquinas en 2027-2028; UBS a Vender, de 370 a 159 EUR, con</w:t>
            </w:r>
            <w:r>
              <w:t xml:space="preserve"> </w:t>
            </w:r>
            <w:r>
              <w:rPr>
                <w:iCs/>
                <w:i/>
              </w:rPr>
              <w:t xml:space="preserve">hybrid bonding</w:t>
            </w:r>
            <w:r>
              <w:t xml:space="preserve"> </w:t>
            </w:r>
            <w:r>
              <w:t xml:space="preserve">2027-2028 un 50-60 % bajo el consenso; Barclays recorta 2026.</w:t>
            </w:r>
          </w:p>
        </w:tc>
        <w:tc>
          <w:tcPr/>
          <w:p>
            <w:pPr>
              <w:pStyle w:val="Compact"/>
              <w:jc w:val="left"/>
            </w:pPr>
            <w:r>
              <w:t xml:space="preserve">[6][7][9]</w:t>
            </w:r>
          </w:p>
        </w:tc>
      </w:tr>
      <w:tr>
        <w:tc>
          <w:tcPr/>
          <w:p>
            <w:pPr>
              <w:pStyle w:val="Compact"/>
              <w:jc w:val="left"/>
            </w:pPr>
            <w:r>
              <w:t xml:space="preserve">2</w:t>
            </w:r>
          </w:p>
        </w:tc>
        <w:tc>
          <w:tcPr/>
          <w:p>
            <w:pPr>
              <w:pStyle w:val="Compact"/>
              <w:jc w:val="left"/>
            </w:pPr>
            <w:r>
              <w:t xml:space="preserve">Precio sobre la media de 200 sesiones</w:t>
            </w:r>
          </w:p>
        </w:tc>
        <w:tc>
          <w:tcPr/>
          <w:p>
            <w:pPr>
              <w:pStyle w:val="Compact"/>
              <w:jc w:val="left"/>
            </w:pPr>
            <w:r>
              <w:t xml:space="preserve">No</w:t>
            </w:r>
          </w:p>
        </w:tc>
        <w:tc>
          <w:tcPr/>
          <w:p>
            <w:pPr>
              <w:pStyle w:val="Compact"/>
              <w:jc w:val="left"/>
            </w:pPr>
            <w:r>
              <w:t xml:space="preserve">172,5 EUR frente a una media de 227-235 EUR en jul-ago, ya bajando.</w:t>
            </w:r>
          </w:p>
        </w:tc>
        <w:tc>
          <w:tcPr/>
          <w:p>
            <w:pPr>
              <w:pStyle w:val="Compact"/>
              <w:jc w:val="left"/>
            </w:pPr>
            <w:r>
              <w:t xml:space="preserve">[3][10]</w:t>
            </w:r>
          </w:p>
        </w:tc>
      </w:tr>
      <w:tr>
        <w:tc>
          <w:tcPr/>
          <w:p>
            <w:pPr>
              <w:pStyle w:val="Compact"/>
              <w:jc w:val="left"/>
            </w:pPr>
            <w:r>
              <w:t xml:space="preserve">3</w:t>
            </w:r>
          </w:p>
        </w:tc>
        <w:tc>
          <w:tcPr/>
          <w:p>
            <w:pPr>
              <w:pStyle w:val="Compact"/>
              <w:jc w:val="left"/>
            </w:pPr>
            <w:r>
              <w:t xml:space="preserve">Fuerza relativa a 6 meses</w:t>
            </w:r>
          </w:p>
        </w:tc>
        <w:tc>
          <w:tcPr/>
          <w:p>
            <w:pPr>
              <w:pStyle w:val="Compact"/>
              <w:jc w:val="left"/>
            </w:pPr>
            <w:r>
              <w:t xml:space="preserve">No</w:t>
            </w:r>
          </w:p>
        </w:tc>
        <w:tc>
          <w:tcPr/>
          <w:p>
            <w:pPr>
              <w:pStyle w:val="Compact"/>
              <w:jc w:val="left"/>
            </w:pPr>
            <w:r>
              <w:t xml:space="preserve">De ~211-251 EUR en abril a 172,5 EUR (−20/−30 %), con el sector en máximos. Peor valor del Stoxx 600 en el 3T.</w:t>
            </w:r>
          </w:p>
        </w:tc>
        <w:tc>
          <w:tcPr/>
          <w:p>
            <w:pPr>
              <w:pStyle w:val="Compact"/>
              <w:jc w:val="left"/>
            </w:pPr>
            <w:r>
              <w:t xml:space="preserve">[8][11]</w:t>
            </w:r>
          </w:p>
        </w:tc>
      </w:tr>
      <w:tr>
        <w:tc>
          <w:tcPr/>
          <w:p>
            <w:pPr>
              <w:pStyle w:val="Compact"/>
              <w:jc w:val="left"/>
            </w:pPr>
            <w:r>
              <w:t xml:space="preserve">4</w:t>
            </w:r>
          </w:p>
        </w:tc>
        <w:tc>
          <w:tcPr/>
          <w:p>
            <w:pPr>
              <w:pStyle w:val="Compact"/>
              <w:jc w:val="left"/>
            </w:pPr>
            <w:r>
              <w:t xml:space="preserve">Mejora del múltiplo</w:t>
            </w:r>
          </w:p>
        </w:tc>
        <w:tc>
          <w:tcPr/>
          <w:p>
            <w:pPr>
              <w:pStyle w:val="Compact"/>
              <w:jc w:val="left"/>
            </w:pPr>
            <w:r>
              <w:t xml:space="preserve">No</w:t>
            </w:r>
          </w:p>
        </w:tc>
        <w:tc>
          <w:tcPr/>
          <w:p>
            <w:pPr>
              <w:pStyle w:val="Compact"/>
              <w:jc w:val="left"/>
            </w:pPr>
            <w:r>
              <w:t xml:space="preserve">EV/ventas NTM ~12x, en la zona baja de 12 meses (~22x en junio).</w:t>
            </w:r>
          </w:p>
        </w:tc>
        <w:tc>
          <w:tcPr/>
          <w:p>
            <w:pPr>
              <w:pStyle w:val="Compact"/>
              <w:jc w:val="left"/>
            </w:pPr>
            <w:r>
              <w:t xml:space="preserve">[3][12]</w:t>
            </w:r>
          </w:p>
        </w:tc>
      </w:tr>
      <w:tr>
        <w:tc>
          <w:tcPr/>
          <w:p>
            <w:pPr>
              <w:pStyle w:val="Compact"/>
              <w:jc w:val="left"/>
            </w:pPr>
            <w:r>
              <w:t xml:space="preserve">5</w:t>
            </w:r>
          </w:p>
        </w:tc>
        <w:tc>
          <w:tcPr/>
          <w:p>
            <w:pPr>
              <w:pStyle w:val="Compact"/>
              <w:jc w:val="left"/>
            </w:pPr>
            <w:r>
              <w:t xml:space="preserve">Inflexión operativa</w:t>
            </w:r>
          </w:p>
        </w:tc>
        <w:tc>
          <w:tcPr/>
          <w:p>
            <w:pPr>
              <w:pStyle w:val="Compact"/>
              <w:jc w:val="left"/>
            </w:pPr>
            <w:r>
              <w:t xml:space="preserve">Sí</w:t>
            </w:r>
          </w:p>
        </w:tc>
        <w:tc>
          <w:tcPr/>
          <w:p>
            <w:pPr>
              <w:pStyle w:val="Compact"/>
              <w:jc w:val="left"/>
            </w:pPr>
            <w:r>
              <w:t xml:space="preserve">Margen operativo del 2T26 ~43,6 % frente a ~29-30 % en el 2T25 (+14 pp).</w:t>
            </w:r>
          </w:p>
        </w:tc>
        <w:tc>
          <w:tcPr/>
          <w:p>
            <w:pPr>
              <w:pStyle w:val="Compact"/>
              <w:jc w:val="left"/>
            </w:pPr>
            <w:r>
              <w:t xml:space="preserve">[1]</w:t>
            </w:r>
          </w:p>
        </w:tc>
      </w:tr>
      <w:tr>
        <w:tc>
          <w:tcPr/>
          <w:p>
            <w:pPr>
              <w:pStyle w:val="Compact"/>
              <w:jc w:val="left"/>
            </w:pPr>
            <w:r>
              <w:t xml:space="preserve">6</w:t>
            </w:r>
          </w:p>
        </w:tc>
        <w:tc>
          <w:tcPr/>
          <w:p>
            <w:pPr>
              <w:pStyle w:val="Compact"/>
              <w:jc w:val="left"/>
            </w:pPr>
            <w:r>
              <w:t xml:space="preserve">Sentimiento mejorando</w:t>
            </w:r>
          </w:p>
        </w:tc>
        <w:tc>
          <w:tcPr/>
          <w:p>
            <w:pPr>
              <w:pStyle w:val="Compact"/>
              <w:jc w:val="left"/>
            </w:pPr>
            <w:r>
              <w:t xml:space="preserve">No</w:t>
            </w:r>
          </w:p>
        </w:tc>
        <w:tc>
          <w:tcPr/>
          <w:p>
            <w:pPr>
              <w:pStyle w:val="Compact"/>
              <w:jc w:val="left"/>
            </w:pPr>
            <w:r>
              <w:t xml:space="preserve">Empeora: rebajas, «memory crunch» (Bloomberg), «el sentimiento ha girado por completo» (De Belegger).</w:t>
            </w:r>
          </w:p>
        </w:tc>
        <w:tc>
          <w:tcPr/>
          <w:p>
            <w:pPr>
              <w:pStyle w:val="Compact"/>
              <w:jc w:val="left"/>
            </w:pPr>
            <w:r>
              <w:t xml:space="preserve">[13][14]</w:t>
            </w:r>
          </w:p>
        </w:tc>
      </w:tr>
      <w:tr>
        <w:tc>
          <w:tcPr/>
          <w:p>
            <w:pPr>
              <w:pStyle w:val="Compact"/>
              <w:jc w:val="left"/>
            </w:pPr>
            <w:r>
              <w:t xml:space="preserve">7</w:t>
            </w:r>
          </w:p>
        </w:tc>
        <w:tc>
          <w:tcPr/>
          <w:p>
            <w:pPr>
              <w:pStyle w:val="Compact"/>
              <w:jc w:val="left"/>
            </w:pPr>
            <w:r>
              <w:t xml:space="preserve">Compras de directivos o institucionales</w:t>
            </w:r>
          </w:p>
        </w:tc>
        <w:tc>
          <w:tcPr/>
          <w:p>
            <w:pPr>
              <w:pStyle w:val="Compact"/>
              <w:jc w:val="left"/>
            </w:pPr>
            <w:r>
              <w:t xml:space="preserve">No</w:t>
            </w:r>
          </w:p>
        </w:tc>
        <w:tc>
          <w:tcPr/>
          <w:p>
            <w:pPr>
              <w:pStyle w:val="Compact"/>
              <w:jc w:val="left"/>
            </w:pPr>
            <w:r>
              <w:t xml:space="preserve">Sin compras de directivos en 2026. La recompra de 60 M es de la propia empresa; el interés de Lam y Applied es de marzo.</w:t>
            </w:r>
          </w:p>
        </w:tc>
        <w:tc>
          <w:tcPr/>
          <w:p>
            <w:pPr>
              <w:pStyle w:val="Compact"/>
              <w:jc w:val="left"/>
            </w:pPr>
            <w:r>
              <w:t xml:space="preserve">[15]</w:t>
            </w:r>
          </w:p>
        </w:tc>
      </w:tr>
      <w:tr>
        <w:tc>
          <w:tcPr/>
          <w:p>
            <w:pPr>
              <w:pStyle w:val="Compact"/>
              <w:jc w:val="left"/>
            </w:pPr>
            <w:r>
              <w:t xml:space="preserve">8</w:t>
            </w:r>
          </w:p>
        </w:tc>
        <w:tc>
          <w:tcPr/>
          <w:p>
            <w:pPr>
              <w:pStyle w:val="Compact"/>
              <w:jc w:val="left"/>
            </w:pPr>
            <w:r>
              <w:t xml:space="preserve">Catalizador nuevo</w:t>
            </w:r>
          </w:p>
        </w:tc>
        <w:tc>
          <w:tcPr/>
          <w:p>
            <w:pPr>
              <w:pStyle w:val="Compact"/>
              <w:jc w:val="left"/>
            </w:pPr>
            <w:r>
              <w:t xml:space="preserve">Sí</w:t>
            </w:r>
          </w:p>
        </w:tc>
        <w:tc>
          <w:tcPr/>
          <w:p>
            <w:pPr>
              <w:pStyle w:val="Compact"/>
              <w:jc w:val="left"/>
            </w:pPr>
            <w:r>
              <w:t xml:space="preserve">Resultados del 3T el 22-oct (guía de ~281 M, +112 % interanual), nuevo cliente hiperescalador, pedido de Kinex de SK hynix.</w:t>
            </w:r>
          </w:p>
        </w:tc>
        <w:tc>
          <w:tcPr/>
          <w:p>
            <w:pPr>
              <w:pStyle w:val="Compact"/>
              <w:jc w:val="left"/>
            </w:pPr>
            <w:r>
              <w:t xml:space="preserve">[1][16]</w:t>
            </w:r>
          </w:p>
        </w:tc>
      </w:tr>
    </w:tbl>
    <w:p>
      <w:pPr>
        <w:pStyle w:val="BodyText"/>
      </w:pPr>
      <w:r>
        <w:rPr>
          <w:bCs/>
          <w:b/>
        </w:rPr>
        <w:t xml:space="preserve">Euforia: no.</w:t>
      </w:r>
      <w:r>
        <w:t xml:space="preserve"> </w:t>
      </w:r>
      <w:r>
        <w:t xml:space="preserve">Subida en 12 meses de ~+35 % (estimación) y EV/beneficio bruto de 18,7x. Lo que hay es lo contrario: el miedo.</w:t>
      </w:r>
    </w:p>
    <w:bookmarkEnd w:id="24"/>
    <w:bookmarkStart w:id="25" w:name="X6a3ced9ea5ed5bb9ac58f5e7c1bb09ad4718b77"/>
    <w:p>
      <w:pPr>
        <w:pStyle w:val="Heading2"/>
      </w:pPr>
      <w:r>
        <w:t xml:space="preserve">6. Economía unitaria y camino a la rentabilidad</w:t>
      </w:r>
    </w:p>
    <w:p>
      <w:pPr>
        <w:numPr>
          <w:ilvl w:val="0"/>
          <w:numId w:val="1004"/>
        </w:numPr>
        <w:pStyle w:val="Compact"/>
      </w:pPr>
      <w:r>
        <w:rPr>
          <w:bCs/>
          <w:b/>
        </w:rPr>
        <w:t xml:space="preserve">Margen bruto</w:t>
      </w:r>
      <w:r>
        <w:t xml:space="preserve">:</w:t>
      </w:r>
      <w:r>
        <w:t xml:space="preserve"> </w:t>
      </w:r>
      <w:r>
        <w:rPr>
          <w:bCs/>
          <w:b/>
        </w:rPr>
        <w:t xml:space="preserve">64,5 %</w:t>
      </w:r>
      <w:r>
        <w:t xml:space="preserve"> </w:t>
      </w:r>
      <w:r>
        <w:t xml:space="preserve">en los últimos 12 meses (63,5 % en el 1T26 y 65,7 % en el 2T26). Guía del 3T del 63-65 % por mezcla; objetivo a largo plazo del 64-68 % [1][16].</w:t>
      </w:r>
    </w:p>
    <w:p>
      <w:pPr>
        <w:numPr>
          <w:ilvl w:val="0"/>
          <w:numId w:val="1004"/>
        </w:numPr>
        <w:pStyle w:val="Compact"/>
      </w:pPr>
      <w:r>
        <w:rPr>
          <w:bCs/>
          <w:b/>
        </w:rPr>
        <w:t xml:space="preserve">FCF de los últimos 12 meses</w:t>
      </w:r>
      <w:r>
        <w:t xml:space="preserve">: flujo de operaciones de 248,5 M EUR menos inversiones de ~40 M = ~</w:t>
      </w:r>
      <w:r>
        <w:rPr>
          <w:bCs/>
          <w:b/>
        </w:rPr>
        <w:t xml:space="preserve">208 M EUR</w:t>
      </w:r>
      <w:r>
        <w:t xml:space="preserve">, un</w:t>
      </w:r>
      <w:r>
        <w:t xml:space="preserve"> </w:t>
      </w:r>
      <w:r>
        <w:rPr>
          <w:bCs/>
          <w:b/>
        </w:rPr>
        <w:t xml:space="preserve">28 %</w:t>
      </w:r>
      <w:r>
        <w:t xml:space="preserve"> </w:t>
      </w:r>
      <w:r>
        <w:t xml:space="preserve">de las ventas (FY25: ~136 M EUR, 23 %) [17]. FCF</w:t>
      </w:r>
      <w:r>
        <w:t xml:space="preserve"> </w:t>
      </w:r>
      <w:r>
        <w:rPr>
          <w:bCs/>
          <w:b/>
        </w:rPr>
        <w:t xml:space="preserve">creciente</w:t>
      </w:r>
      <w:r>
        <w:t xml:space="preserve">.</w:t>
      </w:r>
    </w:p>
    <w:p>
      <w:pPr>
        <w:numPr>
          <w:ilvl w:val="0"/>
          <w:numId w:val="1004"/>
        </w:numPr>
        <w:pStyle w:val="Compact"/>
      </w:pPr>
      <w:r>
        <w:rPr>
          <w:bCs/>
          <w:b/>
        </w:rPr>
        <w:t xml:space="preserve">Regla del 40</w:t>
      </w:r>
      <w:r>
        <w:t xml:space="preserve">: 21,9 + 28 =</w:t>
      </w:r>
      <w:r>
        <w:t xml:space="preserve"> </w:t>
      </w:r>
      <w:r>
        <w:rPr>
          <w:bCs/>
          <w:b/>
        </w:rPr>
        <w:t xml:space="preserve">49,9</w:t>
      </w:r>
      <w:r>
        <w:t xml:space="preserve">.</w:t>
      </w:r>
    </w:p>
    <w:p>
      <w:pPr>
        <w:numPr>
          <w:ilvl w:val="0"/>
          <w:numId w:val="1004"/>
        </w:numPr>
        <w:pStyle w:val="Compact"/>
      </w:pPr>
      <w:r>
        <w:rPr>
          <w:bCs/>
          <w:b/>
        </w:rPr>
        <w:t xml:space="preserve">Apalancamiento operativo</w:t>
      </w:r>
      <w:r>
        <w:t xml:space="preserve">: los gastos operativos del 2T26 fueron 55,3 M EUR; las ventas suben un 35 % en el trimestre y los gastos, como mucho un 5 %. Margen neto del 35,6 % frente al 21,6 % [1]. Es el apalancamiento típico de un fabricante de equipos en la subida del ciclo, y también funciona al revés.</w:t>
      </w:r>
    </w:p>
    <w:bookmarkEnd w:id="25"/>
    <w:bookmarkStart w:id="26" w:name="caja-deuda-y-dilución"/>
    <w:p>
      <w:pPr>
        <w:pStyle w:val="Heading2"/>
      </w:pPr>
      <w:r>
        <w:t xml:space="preserve">7. Caja, deuda y dilución</w:t>
      </w:r>
    </w:p>
    <w:p>
      <w:pPr>
        <w:numPr>
          <w:ilvl w:val="0"/>
          <w:numId w:val="1005"/>
        </w:numPr>
        <w:pStyle w:val="Compact"/>
      </w:pPr>
      <w:r>
        <w:rPr>
          <w:bCs/>
          <w:b/>
        </w:rPr>
        <w:t xml:space="preserve">Caja neta</w:t>
      </w:r>
      <w:r>
        <w:t xml:space="preserve">:</w:t>
      </w:r>
      <w:r>
        <w:t xml:space="preserve"> </w:t>
      </w:r>
      <w:r>
        <w:rPr>
          <w:bCs/>
          <w:b/>
        </w:rPr>
        <w:t xml:space="preserve">164,0 M EUR</w:t>
      </w:r>
      <w:r>
        <w:t xml:space="preserve"> </w:t>
      </w:r>
      <w:r>
        <w:t xml:space="preserve">a 30-jun-2026 (103,3 M en marzo), después de pagar 125,4 M de dividendo [1]. Por la caja neta, en el cálculo se usan ~514 M de caja y ~350 M de bonos senior; el desglose de los bonos es de memoria y no está confirmado [5].</w:t>
      </w:r>
    </w:p>
    <w:p>
      <w:pPr>
        <w:numPr>
          <w:ilvl w:val="0"/>
          <w:numId w:val="1005"/>
        </w:numPr>
        <w:pStyle w:val="Compact"/>
      </w:pPr>
      <w:r>
        <w:rPr>
          <w:bCs/>
          <w:b/>
        </w:rPr>
        <w:t xml:space="preserve">Convertibles</w:t>
      </w:r>
      <w:r>
        <w:t xml:space="preserve">: los de 175 M EUR con vencimiento en 2029 se convirtieron en mayo de 2026 con 1,5 M acciones de autocartera. Ya no queda deuda convertible [1].</w:t>
      </w:r>
    </w:p>
    <w:p>
      <w:pPr>
        <w:numPr>
          <w:ilvl w:val="0"/>
          <w:numId w:val="1005"/>
        </w:numPr>
        <w:pStyle w:val="Compact"/>
      </w:pPr>
      <w:r>
        <w:rPr>
          <w:bCs/>
          <w:b/>
        </w:rPr>
        <w:t xml:space="preserve">Pista</w:t>
      </w:r>
      <w:r>
        <w:t xml:space="preserve">: el FCF es positivo, así que no hay quema.</w:t>
      </w:r>
    </w:p>
    <w:p>
      <w:pPr>
        <w:numPr>
          <w:ilvl w:val="0"/>
          <w:numId w:val="1005"/>
        </w:numPr>
        <w:pStyle w:val="Compact"/>
      </w:pPr>
      <w:r>
        <w:rPr>
          <w:bCs/>
          <w:b/>
        </w:rPr>
        <w:t xml:space="preserve">Dilución</w:t>
      </w:r>
      <w:r>
        <w:t xml:space="preserve">: ~80,3 M acciones. La conversión se cubrió con autocartera y la recompra de 60 M EUR compensa. Se toma un</w:t>
      </w:r>
      <w:r>
        <w:t xml:space="preserve"> </w:t>
      </w:r>
      <w:r>
        <w:rPr>
          <w:bCs/>
          <w:b/>
        </w:rPr>
        <w:t xml:space="preserve">+0,5 %</w:t>
      </w:r>
      <w:r>
        <w:t xml:space="preserve"> </w:t>
      </w:r>
      <w:r>
        <w:t xml:space="preserve">prudente.</w:t>
      </w:r>
    </w:p>
    <w:p>
      <w:pPr>
        <w:numPr>
          <w:ilvl w:val="0"/>
          <w:numId w:val="1005"/>
        </w:numPr>
        <w:pStyle w:val="Compact"/>
      </w:pPr>
      <w:r>
        <w:rPr>
          <w:bCs/>
          <w:b/>
        </w:rPr>
        <w:t xml:space="preserve">Pagos en acciones</w:t>
      </w:r>
      <w:r>
        <w:t xml:space="preserve">: ~17,7 M EUR en 12 meses, un</w:t>
      </w:r>
      <w:r>
        <w:t xml:space="preserve"> </w:t>
      </w:r>
      <w:r>
        <w:rPr>
          <w:bCs/>
          <w:b/>
        </w:rPr>
        <w:t xml:space="preserve">2,4 % de las ventas</w:t>
      </w:r>
      <w:r>
        <w:t xml:space="preserve"> </w:t>
      </w:r>
      <w:r>
        <w:t xml:space="preserve">[17]. Están lejos del 15 % que el método pone en rojo.</w:t>
      </w:r>
    </w:p>
    <w:p>
      <w:pPr>
        <w:numPr>
          <w:ilvl w:val="0"/>
          <w:numId w:val="1005"/>
        </w:numPr>
        <w:pStyle w:val="Compact"/>
      </w:pPr>
      <w:r>
        <w:rPr>
          <w:bCs/>
          <w:b/>
        </w:rPr>
        <w:t xml:space="preserve">Retribución al accionista</w:t>
      </w:r>
      <w:r>
        <w:t xml:space="preserve">: dividendo de 1,58 EUR (pago del 95 %), rentabilidad del 0,9 %.</w:t>
      </w:r>
    </w:p>
    <w:bookmarkEnd w:id="26"/>
    <w:bookmarkStart w:id="27" w:name="dirección-y-ejecución"/>
    <w:p>
      <w:pPr>
        <w:pStyle w:val="Heading2"/>
      </w:pPr>
      <w:r>
        <w:t xml:space="preserve">8. Dirección y ejecución</w:t>
      </w:r>
    </w:p>
    <w:p>
      <w:pPr>
        <w:numPr>
          <w:ilvl w:val="0"/>
          <w:numId w:val="1006"/>
        </w:numPr>
        <w:pStyle w:val="Compact"/>
      </w:pPr>
      <w:r>
        <w:rPr>
          <w:bCs/>
          <w:b/>
        </w:rPr>
        <w:t xml:space="preserve">Historial (4/5)</w:t>
      </w:r>
      <w:r>
        <w:t xml:space="preserve">: casi siempre entrega las ventas dentro de la guía trimestral (1T26 de 184,9 M frente a una guía de +5-15 %; 2T26 dentro de +30-40 %), y el 2T26 tuvo gastos en la parte baja de la guía. No se le da el 5 porque los pedidos de</w:t>
      </w:r>
      <w:r>
        <w:t xml:space="preserve"> </w:t>
      </w:r>
      <w:r>
        <w:rPr>
          <w:iCs/>
          <w:i/>
        </w:rPr>
        <w:t xml:space="preserve">hybrid bonding</w:t>
      </w:r>
      <w:r>
        <w:t xml:space="preserve"> </w:t>
      </w:r>
      <w:r>
        <w:t xml:space="preserve">llevan años retrasándose frente a lo prometido (4T24, 3T25) y los objetivos a largo plazo se suben antes de cumplirse.</w:t>
      </w:r>
    </w:p>
    <w:p>
      <w:pPr>
        <w:numPr>
          <w:ilvl w:val="0"/>
          <w:numId w:val="1006"/>
        </w:numPr>
        <w:pStyle w:val="Compact"/>
      </w:pPr>
      <w:r>
        <w:rPr>
          <w:bCs/>
          <w:b/>
        </w:rPr>
        <w:t xml:space="preserve">Dirección (4/5)</w:t>
      </w:r>
      <w:r>
        <w:t xml:space="preserve">: Richard Blickman es consejero delegado desde 1995. La asignación de capital es disciplinada: caja neta, recompras y dividendos altos, y la alianza con Applied en vez de una guerra de I+D. Se ha mantenido independiente pese a los acercamientos de compra (Lam, Applied; mar-2026) [15]. Le resta el optimismo de las guías a largo plazo.</w:t>
      </w:r>
    </w:p>
    <w:bookmarkEnd w:id="27"/>
    <w:bookmarkStart w:id="28" w:name="valoración"/>
    <w:p>
      <w:pPr>
        <w:pStyle w:val="Heading2"/>
      </w:pPr>
      <w:r>
        <w:t xml:space="preserve">9. Valoración</w:t>
      </w:r>
    </w:p>
    <w:p>
      <w:pPr>
        <w:pStyle w:val="FirstParagraph"/>
      </w:pPr>
      <w:r>
        <w:rPr>
          <w:bCs/>
          <w:b/>
        </w:rPr>
        <w:t xml:space="preserve">Ejercicio objetivo</w:t>
      </w:r>
      <w:r>
        <w:t xml:space="preserve">: las ventas de los 12 meses a jun-2028, es decir, las ventas NTM dentro de un año: 2 años sobre los 12 meses a jun-2026, como en el backtest.</w:t>
      </w:r>
      <w:r>
        <w:t xml:space="preserve"> </w:t>
      </w:r>
      <w:r>
        <w:rPr>
          <w:bCs/>
          <w:b/>
        </w:rPr>
        <w:t xml:space="preserve">Métrica</w:t>
      </w:r>
      <w:r>
        <w:t xml:space="preserve">: EV/ventas NTM. Besi es rentable de forma estable y se podría usar EV/EBITDA, pero con la proyección mecánica el código da el mismo resultado (el margen implícito sale de los dos múltiplos). EV/ventas permite comparar con la historia y con los rivales.</w:t>
      </w:r>
    </w:p>
    <w:p>
      <w:pPr>
        <w:numPr>
          <w:ilvl w:val="0"/>
          <w:numId w:val="1007"/>
        </w:numPr>
        <w:pStyle w:val="Compact"/>
      </w:pPr>
      <w:r>
        <w:rPr>
          <w:bCs/>
          <w:b/>
        </w:rPr>
        <w:t xml:space="preserve">EV de hoy</w:t>
      </w:r>
      <w:r>
        <w:t xml:space="preserve">: 172,5 × 80,3 + 350 − 514 =</w:t>
      </w:r>
      <w:r>
        <w:t xml:space="preserve"> </w:t>
      </w:r>
      <w:r>
        <w:rPr>
          <w:bCs/>
          <w:b/>
        </w:rPr>
        <w:t xml:space="preserve">13.688 M EUR</w:t>
      </w:r>
      <w:r>
        <w:t xml:space="preserve">.</w:t>
      </w:r>
    </w:p>
    <w:p>
      <w:pPr>
        <w:numPr>
          <w:ilvl w:val="0"/>
          <w:numId w:val="1007"/>
        </w:numPr>
        <w:pStyle w:val="Compact"/>
      </w:pPr>
      <w:r>
        <w:rPr>
          <w:bCs/>
          <w:b/>
        </w:rPr>
        <w:t xml:space="preserve">Ventas NTM</w:t>
      </w:r>
      <w:r>
        <w:t xml:space="preserve"> </w:t>
      </w:r>
      <w:r>
        <w:t xml:space="preserve">(3T26-2T27):</w:t>
      </w:r>
      <w:r>
        <w:t xml:space="preserve"> </w:t>
      </w:r>
      <w:r>
        <w:rPr>
          <w:bCs/>
          <w:b/>
        </w:rPr>
        <w:t xml:space="preserve">1.137 M EUR</w:t>
      </w:r>
      <w:r>
        <w:t xml:space="preserve"> </w:t>
      </w:r>
      <w:r>
        <w:t xml:space="preserve">(+55 %). Suman la guía del 3T (~281 M), un 4T de ~284 M (el que implica el consenso de 2026) y un 1S27 plano en ese nivel, que es prudente tras los recortes de BofA y UBS.</w:t>
      </w:r>
      <w:r>
        <w:t xml:space="preserve"> </w:t>
      </w:r>
      <w:r>
        <w:rPr>
          <w:bCs/>
          <w:b/>
        </w:rPr>
        <w:t xml:space="preserve">EV/ventas NTM: 12,0x</w:t>
      </w:r>
      <w:r>
        <w:t xml:space="preserve">. EV/beneficio bruto NTM:</w:t>
      </w:r>
      <w:r>
        <w:t xml:space="preserve"> </w:t>
      </w:r>
      <w:r>
        <w:rPr>
          <w:bCs/>
          <w:b/>
        </w:rPr>
        <w:t xml:space="preserve">18,7x</w:t>
      </w:r>
      <w:r>
        <w:t xml:space="preserve">.</w:t>
      </w:r>
    </w:p>
    <w:p>
      <w:pPr>
        <w:numPr>
          <w:ilvl w:val="0"/>
          <w:numId w:val="1007"/>
        </w:numPr>
        <w:pStyle w:val="Compact"/>
      </w:pPr>
      <w:r>
        <w:rPr>
          <w:bCs/>
          <w:b/>
        </w:rPr>
        <w:t xml:space="preserve">Mediana de 3 años: ~14x NTM</w:t>
      </w:r>
      <w:r>
        <w:t xml:space="preserve">.</w:t>
      </w:r>
      <w:r>
        <w:t xml:space="preserve"> </w:t>
      </w:r>
      <w:r>
        <w:rPr>
          <w:bCs/>
          <w:b/>
        </w:rPr>
        <w:t xml:space="preserve">Mínimo: ~9,5x</w:t>
      </w:r>
      <w:r>
        <w:t xml:space="preserve">. Ambas son estimaciones propias, en parte de memoria: ~12x en oct-2023, ~17x en jul-2024, ~10x en abr-2025, ~12x en oct-2025 y ~22x en jun-2026 [12].</w:t>
      </w:r>
    </w:p>
    <w:p>
      <w:pPr>
        <w:numPr>
          <w:ilvl w:val="0"/>
          <w:numId w:val="1007"/>
        </w:numPr>
        <w:pStyle w:val="Compact"/>
      </w:pPr>
      <w:r>
        <w:rPr>
          <w:bCs/>
          <w:b/>
        </w:rPr>
        <w:t xml:space="preserve">Mediana de los comparables: ~9x NTM</w:t>
      </w:r>
      <w:r>
        <w:t xml:space="preserve">: ASM International ~9-10x, ASML ~9x, Disco ~10x, Lam ~8x y Applied ~6x. Las tres últimas son de memoria.</w:t>
      </w:r>
    </w:p>
    <w:p>
      <w:pPr>
        <w:numPr>
          <w:ilvl w:val="0"/>
          <w:numId w:val="1007"/>
        </w:numPr>
        <w:pStyle w:val="Compact"/>
      </w:pPr>
      <w:r>
        <w:rPr>
          <w:bCs/>
          <w:b/>
        </w:rPr>
        <w:t xml:space="preserve">Desaceleración</w:t>
      </w:r>
      <w:r>
        <w:t xml:space="preserve">: crecimiento NTM del 55 % frente al ~25 % del año objetivo → factor de 0,70 (el tope del −30 %).</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Escenario</w:t>
            </w:r>
          </w:p>
        </w:tc>
        <w:tc>
          <w:tcPr/>
          <w:p>
            <w:pPr>
              <w:pStyle w:val="Compact"/>
              <w:jc w:val="left"/>
            </w:pPr>
            <w:r>
              <w:t xml:space="preserve">Ventas 12 m a jun-2028</w:t>
            </w:r>
          </w:p>
        </w:tc>
        <w:tc>
          <w:tcPr/>
          <w:p>
            <w:pPr>
              <w:pStyle w:val="Compact"/>
              <w:jc w:val="left"/>
            </w:pPr>
            <w:r>
              <w:t xml:space="preserve">Supuesto (regla mecánica)</w:t>
            </w:r>
          </w:p>
        </w:tc>
        <w:tc>
          <w:tcPr/>
          <w:p>
            <w:pPr>
              <w:pStyle w:val="Compact"/>
              <w:jc w:val="left"/>
            </w:pPr>
            <w:r>
              <w:t xml:space="preserve">Múltiplo</w:t>
            </w:r>
          </w:p>
        </w:tc>
        <w:tc>
          <w:tcPr/>
          <w:p>
            <w:pPr>
              <w:pStyle w:val="Compact"/>
              <w:jc w:val="left"/>
            </w:pPr>
            <w:r>
              <w:t xml:space="preserve">Precio 12 m</w:t>
            </w:r>
          </w:p>
        </w:tc>
        <w:tc>
          <w:tcPr/>
          <w:p>
            <w:pPr>
              <w:pStyle w:val="Compact"/>
              <w:jc w:val="left"/>
            </w:pPr>
            <w:r>
              <w:t xml:space="preserve">Rentabilidad</w:t>
            </w:r>
          </w:p>
        </w:tc>
      </w:tr>
      <w:tr>
        <w:tc>
          <w:tcPr/>
          <w:p>
            <w:pPr>
              <w:pStyle w:val="Compact"/>
              <w:jc w:val="left"/>
            </w:pPr>
            <w:r>
              <w:t xml:space="preserve">Bajista (25 %)</w:t>
            </w:r>
          </w:p>
        </w:tc>
        <w:tc>
          <w:tcPr/>
          <w:p>
            <w:pPr>
              <w:pStyle w:val="Compact"/>
              <w:jc w:val="left"/>
            </w:pPr>
            <w:r>
              <w:t xml:space="preserve">943</w:t>
            </w:r>
          </w:p>
        </w:tc>
        <w:tc>
          <w:tcPr/>
          <w:p>
            <w:pPr>
              <w:pStyle w:val="Compact"/>
              <w:jc w:val="left"/>
            </w:pPr>
            <w:r>
              <w:t xml:space="preserve">La mitad del crecimiento base (+14 %, +12 %)</w:t>
            </w:r>
          </w:p>
        </w:tc>
        <w:tc>
          <w:tcPr/>
          <w:p>
            <w:pPr>
              <w:pStyle w:val="Compact"/>
              <w:jc w:val="left"/>
            </w:pPr>
            <w:r>
              <w:t xml:space="preserve">5,0x</w:t>
            </w:r>
          </w:p>
        </w:tc>
        <w:tc>
          <w:tcPr/>
          <w:p>
            <w:pPr>
              <w:pStyle w:val="Compact"/>
              <w:jc w:val="left"/>
            </w:pPr>
            <w:r>
              <w:t xml:space="preserve">60,9</w:t>
            </w:r>
          </w:p>
        </w:tc>
        <w:tc>
          <w:tcPr/>
          <w:p>
            <w:pPr>
              <w:pStyle w:val="Compact"/>
              <w:jc w:val="left"/>
            </w:pPr>
            <w:r>
              <w:t xml:space="preserve">−63,8 %</w:t>
            </w:r>
          </w:p>
        </w:tc>
      </w:tr>
      <w:tr>
        <w:tc>
          <w:tcPr/>
          <w:p>
            <w:pPr>
              <w:pStyle w:val="Compact"/>
              <w:jc w:val="left"/>
            </w:pPr>
            <w:r>
              <w:t xml:space="preserve">Base (50 %)</w:t>
            </w:r>
          </w:p>
        </w:tc>
        <w:tc>
          <w:tcPr/>
          <w:p>
            <w:pPr>
              <w:pStyle w:val="Compact"/>
              <w:jc w:val="left"/>
            </w:pPr>
            <w:r>
              <w:t xml:space="preserve">1.178</w:t>
            </w:r>
          </w:p>
        </w:tc>
        <w:tc>
          <w:tcPr/>
          <w:p>
            <w:pPr>
              <w:pStyle w:val="Compact"/>
              <w:jc w:val="left"/>
            </w:pPr>
            <w:r>
              <w:t xml:space="preserve">+28,9 % y +24,5 % (media de pasado y CAGR propio, con decaimiento)</w:t>
            </w:r>
          </w:p>
        </w:tc>
        <w:tc>
          <w:tcPr/>
          <w:p>
            <w:pPr>
              <w:pStyle w:val="Compact"/>
              <w:jc w:val="left"/>
            </w:pPr>
            <w:r>
              <w:t xml:space="preserve">8,4x</w:t>
            </w:r>
          </w:p>
        </w:tc>
        <w:tc>
          <w:tcPr/>
          <w:p>
            <w:pPr>
              <w:pStyle w:val="Compact"/>
              <w:jc w:val="left"/>
            </w:pPr>
            <w:r>
              <w:t xml:space="preserve">124,6</w:t>
            </w:r>
          </w:p>
        </w:tc>
        <w:tc>
          <w:tcPr/>
          <w:p>
            <w:pPr>
              <w:pStyle w:val="Compact"/>
              <w:jc w:val="left"/>
            </w:pPr>
            <w:r>
              <w:t xml:space="preserve">−26,9 %</w:t>
            </w:r>
          </w:p>
        </w:tc>
      </w:tr>
      <w:tr>
        <w:tc>
          <w:tcPr/>
          <w:p>
            <w:pPr>
              <w:pStyle w:val="Compact"/>
              <w:jc w:val="left"/>
            </w:pPr>
            <w:r>
              <w:t xml:space="preserve">Alcista (25 %)</w:t>
            </w:r>
          </w:p>
        </w:tc>
        <w:tc>
          <w:tcPr/>
          <w:p>
            <w:pPr>
              <w:pStyle w:val="Compact"/>
              <w:jc w:val="left"/>
            </w:pPr>
            <w:r>
              <w:t xml:space="preserve">1.279</w:t>
            </w:r>
          </w:p>
        </w:tc>
        <w:tc>
          <w:tcPr/>
          <w:p>
            <w:pPr>
              <w:pStyle w:val="Compact"/>
              <w:jc w:val="left"/>
            </w:pPr>
            <w:r>
              <w:t xml:space="preserve">×1,2 el crecimiento base (+34,6 %, +29,4 %)</w:t>
            </w:r>
          </w:p>
        </w:tc>
        <w:tc>
          <w:tcPr/>
          <w:p>
            <w:pPr>
              <w:pStyle w:val="Compact"/>
              <w:jc w:val="left"/>
            </w:pPr>
            <w:r>
              <w:t xml:space="preserve">13,4x</w:t>
            </w:r>
          </w:p>
        </w:tc>
        <w:tc>
          <w:tcPr/>
          <w:p>
            <w:pPr>
              <w:pStyle w:val="Compact"/>
              <w:jc w:val="left"/>
            </w:pPr>
            <w:r>
              <w:t xml:space="preserve">215,0</w:t>
            </w:r>
          </w:p>
        </w:tc>
        <w:tc>
          <w:tcPr/>
          <w:p>
            <w:pPr>
              <w:pStyle w:val="Compact"/>
              <w:jc w:val="left"/>
            </w:pPr>
            <w:r>
              <w:t xml:space="preserve">+25,5 %</w:t>
            </w:r>
          </w:p>
        </w:tc>
      </w:tr>
      <w:tr>
        <w:tc>
          <w:tcPr/>
          <w:p>
            <w:pPr>
              <w:pStyle w:val="Compact"/>
              <w:jc w:val="left"/>
            </w:pPr>
            <w:r>
              <w:rPr>
                <w:bCs/>
                <w:b/>
              </w:rPr>
              <w:t xml:space="preserve">Ponderado</w:t>
            </w:r>
          </w:p>
        </w:tc>
        <w:tc>
          <w:tcPr/>
          <w:p>
            <w:pPr>
              <w:pStyle w:val="Compact"/>
            </w:pPr>
          </w:p>
        </w:tc>
        <w:tc>
          <w:tcPr/>
          <w:p>
            <w:pPr>
              <w:pStyle w:val="Compact"/>
            </w:pPr>
          </w:p>
        </w:tc>
        <w:tc>
          <w:tcPr/>
          <w:p>
            <w:pPr>
              <w:pStyle w:val="Compact"/>
            </w:pPr>
          </w:p>
        </w:tc>
        <w:tc>
          <w:tcPr/>
          <w:p>
            <w:pPr>
              <w:pStyle w:val="Compact"/>
              <w:jc w:val="left"/>
            </w:pPr>
            <w:r>
              <w:rPr>
                <w:bCs/>
                <w:b/>
              </w:rPr>
              <w:t xml:space="preserve">131,3</w:t>
            </w:r>
          </w:p>
        </w:tc>
        <w:tc>
          <w:tcPr/>
          <w:p>
            <w:pPr>
              <w:pStyle w:val="Compact"/>
              <w:jc w:val="left"/>
            </w:pPr>
            <w:r>
              <w:rPr>
                <w:bCs/>
                <w:b/>
              </w:rPr>
              <w:t xml:space="preserve">−23,0 %</w:t>
            </w:r>
          </w:p>
        </w:tc>
      </w:tr>
    </w:tbl>
    <w:p>
      <w:pPr>
        <w:pStyle w:val="BodyText"/>
      </w:pPr>
      <w:r>
        <w:t xml:space="preserve">Incluye el dividendo del 0,9 %. Acciones dentro de 12 meses: 80,7 M.</w:t>
      </w:r>
      <w:r>
        <w:t xml:space="preserve"> </w:t>
      </w:r>
      <w:r>
        <w:rPr>
          <w:bCs/>
          <w:b/>
        </w:rPr>
        <w:t xml:space="preserve">Asimetría</w:t>
      </w:r>
      <w:r>
        <w:t xml:space="preserve">: 0,4.</w:t>
      </w:r>
      <w:r>
        <w:t xml:space="preserve"> </w:t>
      </w:r>
      <w:r>
        <w:rPr>
          <w:bCs/>
          <w:b/>
        </w:rPr>
        <w:t xml:space="preserve">Precio máximo de compra: 125,7 EUR</w:t>
      </w:r>
      <w:r>
        <w:t xml:space="preserve"> </w:t>
      </w:r>
      <w:r>
        <w:t xml:space="preserve">(−27 %).</w:t>
      </w:r>
    </w:p>
    <w:p>
      <w:pPr>
        <w:numPr>
          <w:ilvl w:val="0"/>
          <w:numId w:val="1008"/>
        </w:numPr>
        <w:pStyle w:val="Compact"/>
      </w:pPr>
      <w:r>
        <w:rPr>
          <w:bCs/>
          <w:b/>
        </w:rPr>
        <w:t xml:space="preserve">Contraste con el consenso</w:t>
      </w:r>
      <w:r>
        <w:t xml:space="preserve">: el consenso de ventas es de ~1.340 M en 2027 y ~1.670 M en 2028 [4], muy por encima de la base mecánica de 1.178 M para jun-2028, que es casi lo que ya da la cartera de pedidos para los próximos 12 meses. El precio objetivo medio es de, pero no recoge del todo las rebajas de octubre: UBS 159, BofA 212, Morningstar 265 [4][7][14].</w:t>
      </w:r>
    </w:p>
    <w:p>
      <w:pPr>
        <w:numPr>
          <w:ilvl w:val="0"/>
          <w:numId w:val="1008"/>
        </w:numPr>
        <w:pStyle w:val="Compact"/>
      </w:pPr>
      <w:r>
        <w:rPr>
          <w:bCs/>
          <w:b/>
        </w:rPr>
        <w:t xml:space="preserve">Sensibilidad</w:t>
      </w:r>
      <w:r>
        <w:t xml:space="preserve"> </w:t>
      </w:r>
      <w:r>
        <w:t xml:space="preserve">(las cuentas son nuestras, con el mismo código):</w:t>
      </w:r>
    </w:p>
    <w:p>
      <w:pPr>
        <w:numPr>
          <w:ilvl w:val="1"/>
          <w:numId w:val="1009"/>
        </w:numPr>
        <w:pStyle w:val="Compact"/>
      </w:pPr>
      <w:r>
        <w:t xml:space="preserve">Con el crecimiento NTM de la propia regla (+28,9 %) en vez del +55 %, el factor de desaceleración pasa a 0,85 y la ponderada a</w:t>
      </w:r>
      <w:r>
        <w:t xml:space="preserve"> </w:t>
      </w:r>
      <w:r>
        <w:rPr>
          <w:bCs/>
          <w:b/>
        </w:rPr>
        <w:t xml:space="preserve">−12,4 %</w:t>
      </w:r>
      <w:r>
        <w:t xml:space="preserve">: sigue en Vender.</w:t>
      </w:r>
    </w:p>
    <w:p>
      <w:pPr>
        <w:numPr>
          <w:ilvl w:val="1"/>
          <w:numId w:val="1009"/>
        </w:numPr>
        <w:pStyle w:val="Compact"/>
      </w:pPr>
      <w:r>
        <w:t xml:space="preserve">Con el crecimiento de pedidos (+34,6 %) como crecimiento de 12 meses: ponderada</w:t>
      </w:r>
      <w:r>
        <w:t xml:space="preserve"> </w:t>
      </w:r>
      <w:r>
        <w:rPr>
          <w:bCs/>
          <w:b/>
        </w:rPr>
        <w:t xml:space="preserve">−19,5 %</w:t>
      </w:r>
      <w:r>
        <w:t xml:space="preserve">.</w:t>
      </w:r>
    </w:p>
    <w:p>
      <w:pPr>
        <w:numPr>
          <w:ilvl w:val="1"/>
          <w:numId w:val="1009"/>
        </w:numPr>
        <w:pStyle w:val="Compact"/>
      </w:pPr>
      <w:r>
        <w:t xml:space="preserve">Para que el escenario base iguale el precio de hoy, a 8,4x harían falta ~1.640 M de ventas en jun-2028, que es el consenso de 2028 entero, medio año antes.</w:t>
      </w:r>
    </w:p>
    <w:p>
      <w:pPr>
        <w:numPr>
          <w:ilvl w:val="0"/>
          <w:numId w:val="1008"/>
        </w:numPr>
        <w:pStyle w:val="Compact"/>
      </w:pPr>
      <w:r>
        <w:rPr>
          <w:bCs/>
          <w:b/>
        </w:rPr>
        <w:t xml:space="preserve">DCF inverso</w:t>
      </w:r>
      <w:r>
        <w:t xml:space="preserve">: WACC del 10 %, margen FCF del 28 % al 40 % y crecimiento terminal del 3 %. El precio descuenta un</w:t>
      </w:r>
      <w:r>
        <w:t xml:space="preserve"> </w:t>
      </w:r>
      <w:r>
        <w:rPr>
          <w:bCs/>
          <w:b/>
        </w:rPr>
        <w:t xml:space="preserve">~19 % anual durante 10 años</w:t>
      </w:r>
      <w:r>
        <w:t xml:space="preserve">: unos 4.200 M EUR de ventas en 2036. Encaja con el objetivo de 2030 de la empresa (1.700-2.200 M; ~24-32 % anual) si después sigue creciendo un ~12-14 %.</w:t>
      </w:r>
      <w:r>
        <w:t xml:space="preserve"> </w:t>
      </w:r>
      <w:r>
        <w:rPr>
          <w:bCs/>
          <w:b/>
        </w:rPr>
        <w:t xml:space="preserve">Es exigente pero no absurdo</w:t>
      </w:r>
      <w:r>
        <w:t xml:space="preserve">: el precio pide que el</w:t>
      </w:r>
      <w:r>
        <w:t xml:space="preserve"> </w:t>
      </w:r>
      <w:r>
        <w:rPr>
          <w:iCs/>
          <w:i/>
        </w:rPr>
        <w:t xml:space="preserve">hybrid bonding</w:t>
      </w:r>
      <w:r>
        <w:t xml:space="preserve"> </w:t>
      </w:r>
      <w:r>
        <w:t xml:space="preserve">llegue, no que llegue antes.</w:t>
      </w:r>
    </w:p>
    <w:bookmarkEnd w:id="28"/>
    <w:bookmarkStart w:id="29" w:name="foros-y-sentimiento"/>
    <w:p>
      <w:pPr>
        <w:pStyle w:val="Heading2"/>
      </w:pPr>
      <w:r>
        <w:t xml:space="preserve">10. Foros y sentimiento</w:t>
      </w:r>
    </w:p>
    <w:p>
      <w:pPr>
        <w:numPr>
          <w:ilvl w:val="0"/>
          <w:numId w:val="1010"/>
        </w:numPr>
        <w:pStyle w:val="Compact"/>
      </w:pPr>
      <w:r>
        <w:rPr>
          <w:bCs/>
          <w:b/>
        </w:rPr>
        <w:t xml:space="preserve">Prensa y analistas</w:t>
      </w:r>
      <w:r>
        <w:t xml:space="preserve">: el tono es negativo desde julio. «Besi Shares Sink as Flagship Tech Faces Memory Crunch Pressure» (Bloomberg, 8-oct). BofA y UBS rebajan el 6 y el 7-oct. Bolero titula «onder druk na signalen dat invoering van hybrid bonding langer op zich laat wachten». ING y Oddo siguen en Comprar («ganador clave del ciclo de empaquetado de IA») [7][8][13][14].</w:t>
      </w:r>
    </w:p>
    <w:p>
      <w:pPr>
        <w:numPr>
          <w:ilvl w:val="0"/>
          <w:numId w:val="1010"/>
        </w:numPr>
        <w:pStyle w:val="Compact"/>
      </w:pPr>
      <w:r>
        <w:rPr>
          <w:bCs/>
          <w:b/>
        </w:rPr>
        <w:t xml:space="preserve">Foros neerlandeses</w:t>
      </w:r>
      <w:r>
        <w:t xml:space="preserve"> </w:t>
      </w:r>
      <w:r>
        <w:t xml:space="preserve">(De Belegger, IEX): «el sentimiento ha girado por completo». Los inversores tratan a Besi «como si el crecimiento del</w:t>
      </w:r>
      <w:r>
        <w:t xml:space="preserve"> </w:t>
      </w:r>
      <w:r>
        <w:rPr>
          <w:iCs/>
          <w:i/>
        </w:rPr>
        <w:t xml:space="preserve">hybrid bonding</w:t>
      </w:r>
      <w:r>
        <w:t xml:space="preserve"> </w:t>
      </w:r>
      <w:r>
        <w:t xml:space="preserve">desapareciera», cuando lo que hay es retraso. Abundan los títulos de «¿pánico u oportunidad?» [14].</w:t>
      </w:r>
    </w:p>
    <w:p>
      <w:pPr>
        <w:numPr>
          <w:ilvl w:val="0"/>
          <w:numId w:val="1010"/>
        </w:numPr>
        <w:pStyle w:val="Compact"/>
      </w:pPr>
      <w:r>
        <w:rPr>
          <w:bCs/>
          <w:b/>
        </w:rPr>
        <w:t xml:space="preserve">Seeking Alpha</w:t>
      </w:r>
      <w:r>
        <w:t xml:space="preserve">: los artículos de 2025-2026 son mayoritariamente alcistas a largo plazo, del tipo «with a little delay, the hybrid bonding train is about to leave». No encontramos ninguno posterior a las rebajas de octubre.</w:t>
      </w:r>
    </w:p>
    <w:p>
      <w:pPr>
        <w:numPr>
          <w:ilvl w:val="0"/>
          <w:numId w:val="1010"/>
        </w:numPr>
        <w:pStyle w:val="Compact"/>
      </w:pPr>
      <w:r>
        <w:rPr>
          <w:bCs/>
          <w:b/>
        </w:rPr>
        <w:t xml:space="preserve">Reddit (r/stocks, r/investing, r/semiconductors) y StockTwits/X</w:t>
      </w:r>
      <w:r>
        <w:t xml:space="preserve">: las búsquedas no devolvieron hilos indexados recientes sobre Besi.</w:t>
      </w:r>
      <w:r>
        <w:t xml:space="preserve"> </w:t>
      </w:r>
      <w:r>
        <w:rPr>
          <w:bCs/>
          <w:b/>
        </w:rPr>
        <w:t xml:space="preserve">Laguna</w:t>
      </w:r>
      <w:r>
        <w:t xml:space="preserve">: no se puede decir qué se dice ahí.</w:t>
      </w:r>
    </w:p>
    <w:p>
      <w:pPr>
        <w:numPr>
          <w:ilvl w:val="0"/>
          <w:numId w:val="1010"/>
        </w:numPr>
        <w:pStyle w:val="Compact"/>
      </w:pPr>
      <w:r>
        <w:rPr>
          <w:bCs/>
          <w:b/>
        </w:rPr>
        <w:t xml:space="preserve">En castellano</w:t>
      </w:r>
      <w:r>
        <w:t xml:space="preserve"> </w:t>
      </w:r>
      <w:r>
        <w:t xml:space="preserve">(Rankia, Investing.com ES): sin hilos encontrados; Besi apenas se sigue en foros españoles.</w:t>
      </w:r>
      <w:r>
        <w:t xml:space="preserve"> </w:t>
      </w:r>
      <w:r>
        <w:rPr>
          <w:bCs/>
          <w:b/>
        </w:rPr>
        <w:t xml:space="preserve">Laguna.</w:t>
      </w:r>
    </w:p>
    <w:p>
      <w:pPr>
        <w:numPr>
          <w:ilvl w:val="0"/>
          <w:numId w:val="1010"/>
        </w:numPr>
        <w:pStyle w:val="Compact"/>
      </w:pPr>
      <w:r>
        <w:rPr>
          <w:bCs/>
          <w:b/>
        </w:rPr>
        <w:t xml:space="preserve">Contraste con los datos</w:t>
      </w:r>
      <w:r>
        <w:t xml:space="preserve">: la percepción va en sentido contrario a las cifras del trimestre (ventas +69 %, pedidos +129 %, margen récord). Es el patrón de un posible cambio de tendencia a favor más adelante, pero hoy no hay ninguna señal de giro (precio, múltiplo, revisiones): el mercado aún está vendiendo.</w:t>
      </w:r>
    </w:p>
    <w:bookmarkEnd w:id="29"/>
    <w:bookmarkStart w:id="30" w:name="riesgos-y-qué-rompería-la-tesis"/>
    <w:p>
      <w:pPr>
        <w:pStyle w:val="Heading2"/>
      </w:pPr>
      <w:r>
        <w:t xml:space="preserve">11. Riesgos y qué rompería la tesis</w:t>
      </w:r>
    </w:p>
    <w:p>
      <w:pPr>
        <w:numPr>
          <w:ilvl w:val="0"/>
          <w:numId w:val="1011"/>
        </w:numPr>
        <w:pStyle w:val="Compact"/>
      </w:pPr>
      <w:r>
        <w:rPr>
          <w:bCs/>
          <w:b/>
        </w:rPr>
        <w:t xml:space="preserve">Retraso del</w:t>
      </w:r>
      <w:r>
        <w:rPr>
          <w:bCs/>
          <w:b/>
        </w:rPr>
        <w:t xml:space="preserve"> </w:t>
      </w:r>
      <w:r>
        <w:rPr>
          <w:iCs/>
          <w:i/>
          <w:bCs/>
          <w:b/>
        </w:rPr>
        <w:t xml:space="preserve">hybrid bonding</w:t>
      </w:r>
      <w:r>
        <w:rPr>
          <w:bCs/>
          <w:b/>
        </w:rPr>
        <w:t xml:space="preserve"> </w:t>
      </w:r>
      <w:r>
        <w:rPr>
          <w:bCs/>
          <w:b/>
        </w:rPr>
        <w:t xml:space="preserve">en memoria</w:t>
      </w:r>
      <w:r>
        <w:t xml:space="preserve">: es el riesgo principal. SK hynix lo deja para las pilas de 20 capas (después de HBM4E) y JEDEC estudia permitir paquetes HBM más gruesos, lo que alarga la vida del TCB [19]. UBS ve 424 M de</w:t>
      </w:r>
      <w:r>
        <w:t xml:space="preserve"> </w:t>
      </w:r>
      <w:r>
        <w:rPr>
          <w:iCs/>
          <w:i/>
        </w:rPr>
        <w:t xml:space="preserve">hybrid bonding</w:t>
      </w:r>
      <w:r>
        <w:t xml:space="preserve"> </w:t>
      </w:r>
      <w:r>
        <w:t xml:space="preserve">en 2030 frente a 936 M implícitos en el precio de entonces [7].</w:t>
      </w:r>
    </w:p>
    <w:p>
      <w:pPr>
        <w:numPr>
          <w:ilvl w:val="0"/>
          <w:numId w:val="1011"/>
        </w:numPr>
        <w:pStyle w:val="Compact"/>
      </w:pPr>
      <w:r>
        <w:rPr>
          <w:bCs/>
          <w:b/>
        </w:rPr>
        <w:t xml:space="preserve">Entrada de ASML</w:t>
      </w:r>
      <w:r>
        <w:t xml:space="preserve">: un gigante con acceso directo a TSMC, Samsung e Intel. BofA cree que será un lastre hasta que se conozcan sus planes [8].</w:t>
      </w:r>
    </w:p>
    <w:p>
      <w:pPr>
        <w:numPr>
          <w:ilvl w:val="0"/>
          <w:numId w:val="1011"/>
        </w:numPr>
        <w:pStyle w:val="Compact"/>
      </w:pPr>
      <w:r>
        <w:rPr>
          <w:bCs/>
          <w:b/>
        </w:rPr>
        <w:t xml:space="preserve">Ciclicidad</w:t>
      </w:r>
      <w:r>
        <w:t xml:space="preserve">: Besi es un fabricante de equipos; el 2025 cayó un 2,7 % y el 3T25, un 15 %. El margen operativo del 44 % se encoge rápido si los pedidos bajan.</w:t>
      </w:r>
    </w:p>
    <w:p>
      <w:pPr>
        <w:numPr>
          <w:ilvl w:val="0"/>
          <w:numId w:val="1011"/>
        </w:numPr>
        <w:pStyle w:val="Compact"/>
      </w:pPr>
      <w:r>
        <w:rPr>
          <w:bCs/>
          <w:b/>
        </w:rPr>
        <w:t xml:space="preserve">Concentración</w:t>
      </w:r>
      <w:r>
        <w:t xml:space="preserve">: pocos clientes grandes (TSMC, memoria, OSAT asiáticos) y mucha exposición a Asia y a las restricciones comerciales con China.</w:t>
      </w:r>
    </w:p>
    <w:p>
      <w:pPr>
        <w:numPr>
          <w:ilvl w:val="0"/>
          <w:numId w:val="1011"/>
        </w:numPr>
        <w:pStyle w:val="Compact"/>
      </w:pPr>
      <w:r>
        <w:rPr>
          <w:bCs/>
          <w:b/>
        </w:rPr>
        <w:t xml:space="preserve">Reversión del sentimiento</w:t>
      </w:r>
      <w:r>
        <w:t xml:space="preserve">: ya se ha producido en buena parte (−47 % desde el máximo), pero en el bajista de la regla (5x ventas) quedaría otro −64 %.</w:t>
      </w:r>
    </w:p>
    <w:p>
      <w:pPr>
        <w:numPr>
          <w:ilvl w:val="0"/>
          <w:numId w:val="1011"/>
        </w:numPr>
        <w:pStyle w:val="Compact"/>
      </w:pPr>
      <w:r>
        <w:rPr>
          <w:bCs/>
          <w:b/>
        </w:rPr>
        <w:t xml:space="preserve">Recorte de los objetivos a largo plazo</w:t>
      </w:r>
      <w:r>
        <w:t xml:space="preserve">: el mercado no perdonaría bajar los 1.700-2.200 M de 2030.</w:t>
      </w:r>
    </w:p>
    <w:p>
      <w:pPr>
        <w:pStyle w:val="FirstParagraph"/>
      </w:pPr>
      <w:r>
        <w:rPr>
          <w:bCs/>
          <w:b/>
        </w:rPr>
        <w:t xml:space="preserve">Señales de venta concretas</w:t>
      </w:r>
      <w:r>
        <w:t xml:space="preserve"> </w:t>
      </w:r>
      <w:r>
        <w:t xml:space="preserve">(para quien la tenga):</w:t>
      </w:r>
      <w:r>
        <w:t xml:space="preserve"> </w:t>
      </w:r>
      <w:r>
        <w:t xml:space="preserve">- Pedidos trimestrales por debajo de 200 M EUR dos trimestres seguidos.</w:t>
      </w:r>
      <w:r>
        <w:t xml:space="preserve"> </w:t>
      </w:r>
      <w:r>
        <w:t xml:space="preserve">- Guía del 4T que implique caída trimestral de ventas.</w:t>
      </w:r>
      <w:r>
        <w:t xml:space="preserve"> </w:t>
      </w:r>
      <w:r>
        <w:t xml:space="preserve">- Pérdida de un cliente clave de</w:t>
      </w:r>
      <w:r>
        <w:t xml:space="preserve"> </w:t>
      </w:r>
      <w:r>
        <w:rPr>
          <w:iCs/>
          <w:i/>
        </w:rPr>
        <w:t xml:space="preserve">hybrid bonding</w:t>
      </w:r>
      <w:r>
        <w:t xml:space="preserve"> </w:t>
      </w:r>
      <w:r>
        <w:t xml:space="preserve">(TSMC o el nuevo hiperescalador) frente a ASML u otro rival.</w:t>
      </w:r>
      <w:r>
        <w:t xml:space="preserve"> </w:t>
      </w:r>
      <w:r>
        <w:t xml:space="preserve">- Recorte del objetivo de 2030.</w:t>
      </w:r>
    </w:p>
    <w:p>
      <w:pPr>
        <w:pStyle w:val="BodyText"/>
      </w:pPr>
      <w:r>
        <w:t xml:space="preserve">Hoy no hay tesis rota: la señal sale de la valoración mecánica y de la falta de giro.</w:t>
      </w:r>
    </w:p>
    <w:bookmarkEnd w:id="30"/>
    <w:bookmarkStart w:id="31" w:name="catalizadores-con-fecha"/>
    <w:p>
      <w:pPr>
        <w:pStyle w:val="Heading2"/>
      </w:pPr>
      <w:r>
        <w:t xml:space="preserve">12. Catalizadores con fecha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Fecha</w:t>
            </w:r>
          </w:p>
        </w:tc>
        <w:tc>
          <w:tcPr/>
          <w:p>
            <w:pPr>
              <w:pStyle w:val="Compact"/>
              <w:jc w:val="left"/>
            </w:pPr>
            <w:r>
              <w:t xml:space="preserve">Hecho</w:t>
            </w:r>
          </w:p>
        </w:tc>
        <w:tc>
          <w:tcPr/>
          <w:p>
            <w:pPr>
              <w:pStyle w:val="Compact"/>
              <w:jc w:val="left"/>
            </w:pPr>
            <w:r>
              <w:t xml:space="preserve">Sentido</w:t>
            </w:r>
          </w:p>
        </w:tc>
      </w:tr>
      <w:tr>
        <w:tc>
          <w:tcPr/>
          <w:p>
            <w:pPr>
              <w:pStyle w:val="Compact"/>
              <w:jc w:val="left"/>
            </w:pPr>
            <w:r>
              <w:t xml:space="preserve">22-oct-2026</w:t>
            </w:r>
          </w:p>
        </w:tc>
        <w:tc>
          <w:tcPr/>
          <w:p>
            <w:pPr>
              <w:pStyle w:val="Compact"/>
              <w:jc w:val="left"/>
            </w:pPr>
            <w:r>
              <w:t xml:space="preserve">Resultados del 3T26: guía de ventas +10-15 % trimestral; pedidos de</w:t>
            </w:r>
            <w:r>
              <w:t xml:space="preserve"> </w:t>
            </w:r>
            <w:r>
              <w:rPr>
                <w:iCs/>
                <w:i/>
              </w:rPr>
              <w:t xml:space="preserve">hybrid bonding</w:t>
            </w:r>
            <w:r>
              <w:t xml:space="preserve">; guía del 4T</w:t>
            </w:r>
          </w:p>
        </w:tc>
        <w:tc>
          <w:tcPr/>
          <w:p>
            <w:pPr>
              <w:pStyle w:val="Compact"/>
              <w:jc w:val="left"/>
            </w:pPr>
            <w:r>
              <w:t xml:space="preserve">+/−</w:t>
            </w:r>
          </w:p>
        </w:tc>
      </w:tr>
      <w:tr>
        <w:tc>
          <w:tcPr/>
          <w:p>
            <w:pPr>
              <w:pStyle w:val="Compact"/>
              <w:jc w:val="left"/>
            </w:pPr>
            <w:r>
              <w:t xml:space="preserve">23-oct-2026</w:t>
            </w:r>
          </w:p>
        </w:tc>
        <w:tc>
          <w:tcPr/>
          <w:p>
            <w:pPr>
              <w:pStyle w:val="Compact"/>
              <w:jc w:val="left"/>
            </w:pPr>
            <w:r>
              <w:t xml:space="preserve">Fin de la autorización de recompra; posible nuevo programa</w:t>
            </w:r>
          </w:p>
        </w:tc>
        <w:tc>
          <w:tcPr/>
          <w:p>
            <w:pPr>
              <w:pStyle w:val="Compact"/>
              <w:jc w:val="left"/>
            </w:pPr>
            <w:r>
              <w:t xml:space="preserve">+</w:t>
            </w:r>
          </w:p>
        </w:tc>
      </w:tr>
      <w:tr>
        <w:tc>
          <w:tcPr/>
          <w:p>
            <w:pPr>
              <w:pStyle w:val="Compact"/>
              <w:jc w:val="left"/>
            </w:pPr>
            <w:r>
              <w:t xml:space="preserve">4T26-1S27 (sin fecha)</w:t>
            </w:r>
          </w:p>
        </w:tc>
        <w:tc>
          <w:tcPr/>
          <w:p>
            <w:pPr>
              <w:pStyle w:val="Compact"/>
              <w:jc w:val="left"/>
            </w:pPr>
            <w:r>
              <w:t xml:space="preserve">Planes de ASML en</w:t>
            </w:r>
            <w:r>
              <w:t xml:space="preserve"> </w:t>
            </w:r>
            <w:r>
              <w:rPr>
                <w:iCs/>
                <w:i/>
              </w:rPr>
              <w:t xml:space="preserve">hybrid bonding</w:t>
            </w:r>
            <w:r>
              <w:t xml:space="preserve">; decisión de los fabricantes de HBM sobre HBM4E/HBM5</w:t>
            </w:r>
          </w:p>
        </w:tc>
        <w:tc>
          <w:tcPr/>
          <w:p>
            <w:pPr>
              <w:pStyle w:val="Compact"/>
              <w:jc w:val="left"/>
            </w:pPr>
            <w:r>
              <w:t xml:space="preserve">+/−</w:t>
            </w:r>
          </w:p>
        </w:tc>
      </w:tr>
      <w:tr>
        <w:tc>
          <w:tcPr/>
          <w:p>
            <w:pPr>
              <w:pStyle w:val="Compact"/>
              <w:jc w:val="left"/>
            </w:pPr>
            <w:r>
              <w:t xml:space="preserve">Feb-2027 (por confirmar)</w:t>
            </w:r>
          </w:p>
        </w:tc>
        <w:tc>
          <w:tcPr/>
          <w:p>
            <w:pPr>
              <w:pStyle w:val="Compact"/>
              <w:jc w:val="left"/>
            </w:pPr>
            <w:r>
              <w:t xml:space="preserve">Resultados del 4T26 y del año, dividendo y guía del 1T27</w:t>
            </w:r>
          </w:p>
        </w:tc>
        <w:tc>
          <w:tcPr/>
          <w:p>
            <w:pPr>
              <w:pStyle w:val="Compact"/>
              <w:jc w:val="left"/>
            </w:pPr>
            <w:r>
              <w:t xml:space="preserve">+/−</w:t>
            </w:r>
          </w:p>
        </w:tc>
      </w:tr>
      <w:tr>
        <w:tc>
          <w:tcPr/>
          <w:p>
            <w:pPr>
              <w:pStyle w:val="Compact"/>
              <w:jc w:val="left"/>
            </w:pPr>
            <w:r>
              <w:t xml:space="preserve">Jun-2027 (por confirmar)</w:t>
            </w:r>
          </w:p>
        </w:tc>
        <w:tc>
          <w:tcPr/>
          <w:p>
            <w:pPr>
              <w:pStyle w:val="Compact"/>
              <w:jc w:val="left"/>
            </w:pPr>
            <w:r>
              <w:t xml:space="preserve">Día del Inversor: revisión de los objetivos de 2030</w:t>
            </w:r>
          </w:p>
        </w:tc>
        <w:tc>
          <w:tcPr/>
          <w:p>
            <w:pPr>
              <w:pStyle w:val="Compact"/>
              <w:jc w:val="left"/>
            </w:pPr>
            <w:r>
              <w:t xml:space="preserve">+/−</w:t>
            </w:r>
          </w:p>
        </w:tc>
      </w:tr>
    </w:tbl>
    <w:bookmarkEnd w:id="31"/>
    <w:bookmarkStart w:id="32" w:name="encaje-en-cartera"/>
    <w:p>
      <w:pPr>
        <w:pStyle w:val="Heading2"/>
      </w:pPr>
      <w:r>
        <w:t xml:space="preserve">13. Encaje en cartera</w:t>
      </w:r>
    </w:p>
    <w:p>
      <w:pPr>
        <w:pStyle w:val="FirstParagraph"/>
      </w:pPr>
      <w:r>
        <w:t xml:space="preserve">La cartera value propuesta de Hotis: IGLN (oro), Edenred, Daiichi Sankyo, Uber, Viscofan, Alphabet, Netflix, SAP, Intuit, Nemetschek, LVMH y liquidez. Hay 8 empresas growth ya analizadas (</w:t>
      </w:r>
      <w:r>
        <w:rPr>
          <w:rStyle w:val="VerbatimChar"/>
        </w:rPr>
        <w:t xml:space="preserve">informes-growth/resumen.md</w:t>
      </w:r>
      <w:r>
        <w:t xml:space="preserve">) y tres compras growth aprobadas: Nu, argenx y Axon, que suman ~12 % de la cartera (tope del 20 %).</w:t>
      </w:r>
    </w:p>
    <w:p>
      <w:pPr>
        <w:pStyle w:val="BodyText"/>
      </w:pPr>
      <w:r>
        <w:rPr>
          <w:bCs/>
          <w:b/>
        </w:rPr>
        <w:t xml:space="preserve">Besi no merece hueco hoy: peso 0 %.</w:t>
      </w:r>
      <w:r>
        <w:t xml:space="preserve"> </w:t>
      </w:r>
      <w:r>
        <w:t xml:space="preserve">La regla da Vender (ponderada −23 %) y el precio máximo de compra es de 125,7 EUR, un 27 % por debajo. Además, la cartera no tiene equipos de semiconductores. Besi diversificaría frente al software (SAP, Intuit, Nemetschek, Alphabet), pero añadiría un riesgo cíclico y de una sola tecnología que el método todavía no paga. La liquidez se queda como está (ya comprometida en parte con las compras growth y las órdenes value).</w:t>
      </w:r>
    </w:p>
    <w:p>
      <w:pPr>
        <w:pStyle w:val="BodyText"/>
      </w:pPr>
      <w:r>
        <w:rPr>
          <w:bCs/>
          <w:b/>
        </w:rPr>
        <w:t xml:space="preserve">Cuándo reconsiderarla</w:t>
      </w:r>
      <w:r>
        <w:t xml:space="preserve">:</w:t>
      </w:r>
      <w:r>
        <w:t xml:space="preserve"> </w:t>
      </w:r>
      <w:r>
        <w:t xml:space="preserve">- Por debajo de sin cambio de tesis, en dos tramos (mitad a ese precio y mitad tras los siguientes resultados), con un peso del 3,5 %.</w:t>
      </w:r>
      <w:r>
        <w:t xml:space="preserve"> </w:t>
      </w:r>
      <w:r>
        <w:t xml:space="preserve">- Si los resultados del 3T y del 4T confirman el giro: ventas de 12 meses por encima de 1.000 M (que suben el crecimiento de partida de la regla), precio de nuevo sobre la media de 200 sesiones y revisiones al alza.</w:t>
      </w:r>
    </w:p>
    <w:p>
      <w:pPr>
        <w:pStyle w:val="BodyText"/>
      </w:pPr>
      <w:r>
        <w:t xml:space="preserve">Conviene ponerla en la cola growth para revisarla tras el 22-oct.</w:t>
      </w:r>
    </w:p>
    <w:bookmarkEnd w:id="32"/>
    <w:bookmarkStart w:id="33" w:name="puntuación"/>
    <w:p>
      <w:pPr>
        <w:pStyle w:val="Heading2"/>
      </w:pPr>
      <w:r>
        <w:t xml:space="preserve">14. Puntuación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Bloque</w:t>
            </w:r>
          </w:p>
        </w:tc>
        <w:tc>
          <w:tcPr/>
          <w:p>
            <w:pPr>
              <w:pStyle w:val="Compact"/>
              <w:jc w:val="left"/>
            </w:pPr>
            <w:r>
              <w:t xml:space="preserve">Puntos</w:t>
            </w:r>
          </w:p>
        </w:tc>
        <w:tc>
          <w:tcPr/>
          <w:p>
            <w:pPr>
              <w:pStyle w:val="Compact"/>
              <w:jc w:val="left"/>
            </w:pPr>
            <w:r>
              <w:t xml:space="preserve">Máx.</w:t>
            </w:r>
          </w:p>
        </w:tc>
        <w:tc>
          <w:tcPr/>
          <w:p>
            <w:pPr>
              <w:pStyle w:val="Compact"/>
              <w:jc w:val="left"/>
            </w:pPr>
            <w:r>
              <w:t xml:space="preserve">Detalle</w:t>
            </w:r>
          </w:p>
        </w:tc>
      </w:tr>
      <w:tr>
        <w:tc>
          <w:tcPr/>
          <w:p>
            <w:pPr>
              <w:pStyle w:val="Compact"/>
              <w:jc w:val="left"/>
            </w:pPr>
            <w:r>
              <w:t xml:space="preserve">A. Crecimiento</w:t>
            </w:r>
          </w:p>
        </w:tc>
        <w:tc>
          <w:tcPr/>
          <w:p>
            <w:pPr>
              <w:pStyle w:val="Compact"/>
              <w:jc w:val="left"/>
            </w:pPr>
            <w:r>
              <w:t xml:space="preserve">15,0</w:t>
            </w:r>
          </w:p>
        </w:tc>
        <w:tc>
          <w:tcPr/>
          <w:p>
            <w:pPr>
              <w:pStyle w:val="Compact"/>
              <w:jc w:val="left"/>
            </w:pPr>
            <w:r>
              <w:t xml:space="preserve">25</w:t>
            </w:r>
          </w:p>
        </w:tc>
        <w:tc>
          <w:tcPr/>
          <w:p>
            <w:pPr>
              <w:pStyle w:val="Compact"/>
              <w:jc w:val="left"/>
            </w:pPr>
            <w:r>
              <w:t xml:space="preserve">Ventas 12 m +21,9 % (3), CAGR a 2 años 12,4 % (1), aceleración +63,9 pp (5)</w:t>
            </w:r>
          </w:p>
        </w:tc>
      </w:tr>
      <w:tr>
        <w:tc>
          <w:tcPr/>
          <w:p>
            <w:pPr>
              <w:pStyle w:val="Compact"/>
              <w:jc w:val="left"/>
            </w:pPr>
            <w:r>
              <w:t xml:space="preserve">B. Mercado y tecnología</w:t>
            </w:r>
          </w:p>
        </w:tc>
        <w:tc>
          <w:tcPr/>
          <w:p>
            <w:pPr>
              <w:pStyle w:val="Compact"/>
              <w:jc w:val="left"/>
            </w:pPr>
            <w:r>
              <w:t xml:space="preserve">13,3</w:t>
            </w:r>
          </w:p>
        </w:tc>
        <w:tc>
          <w:tcPr/>
          <w:p>
            <w:pPr>
              <w:pStyle w:val="Compact"/>
              <w:jc w:val="left"/>
            </w:pPr>
            <w:r>
              <w:t xml:space="preserve">20</w:t>
            </w:r>
          </w:p>
        </w:tc>
        <w:tc>
          <w:tcPr/>
          <w:p>
            <w:pPr>
              <w:pStyle w:val="Compact"/>
              <w:jc w:val="left"/>
            </w:pPr>
            <w:r>
              <w:t xml:space="preserve">Penetración 14,7 % (2), tecnología 4, posición 4</w:t>
            </w:r>
          </w:p>
        </w:tc>
      </w:tr>
      <w:tr>
        <w:tc>
          <w:tcPr/>
          <w:p>
            <w:pPr>
              <w:pStyle w:val="Compact"/>
              <w:jc w:val="left"/>
            </w:pPr>
            <w:r>
              <w:t xml:space="preserve">C. Cambio de tendencia</w:t>
            </w:r>
          </w:p>
        </w:tc>
        <w:tc>
          <w:tcPr/>
          <w:p>
            <w:pPr>
              <w:pStyle w:val="Compact"/>
              <w:jc w:val="left"/>
            </w:pPr>
            <w:r>
              <w:t xml:space="preserve">5,0</w:t>
            </w:r>
          </w:p>
        </w:tc>
        <w:tc>
          <w:tcPr/>
          <w:p>
            <w:pPr>
              <w:pStyle w:val="Compact"/>
              <w:jc w:val="left"/>
            </w:pPr>
            <w:r>
              <w:t xml:space="preserve">20</w:t>
            </w:r>
          </w:p>
        </w:tc>
        <w:tc>
          <w:tcPr/>
          <w:p>
            <w:pPr>
              <w:pStyle w:val="Compact"/>
              <w:jc w:val="left"/>
            </w:pPr>
            <w:r>
              <w:t xml:space="preserve">2/8 señales (inflexión operativa, catalizador), sin euforia</w:t>
            </w:r>
          </w:p>
        </w:tc>
      </w:tr>
      <w:tr>
        <w:tc>
          <w:tcPr/>
          <w:p>
            <w:pPr>
              <w:pStyle w:val="Compact"/>
              <w:jc w:val="left"/>
            </w:pPr>
            <w:r>
              <w:t xml:space="preserve">D. Economía unitaria</w:t>
            </w:r>
          </w:p>
        </w:tc>
        <w:tc>
          <w:tcPr/>
          <w:p>
            <w:pPr>
              <w:pStyle w:val="Compact"/>
              <w:jc w:val="left"/>
            </w:pPr>
            <w:r>
              <w:t xml:space="preserve">12,0</w:t>
            </w:r>
          </w:p>
        </w:tc>
        <w:tc>
          <w:tcPr/>
          <w:p>
            <w:pPr>
              <w:pStyle w:val="Compact"/>
              <w:jc w:val="left"/>
            </w:pPr>
            <w:r>
              <w:t xml:space="preserve">15</w:t>
            </w:r>
          </w:p>
        </w:tc>
        <w:tc>
          <w:tcPr/>
          <w:p>
            <w:pPr>
              <w:pStyle w:val="Compact"/>
              <w:jc w:val="left"/>
            </w:pPr>
            <w:r>
              <w:t xml:space="preserve">Margen bruto 64,5 % (4), regla del 40 = 49,9 (3), FCF creciente (5)</w:t>
            </w:r>
          </w:p>
        </w:tc>
      </w:tr>
      <w:tr>
        <w:tc>
          <w:tcPr/>
          <w:p>
            <w:pPr>
              <w:pStyle w:val="Compact"/>
              <w:jc w:val="left"/>
            </w:pPr>
            <w:r>
              <w:t xml:space="preserve">E. Caja y dilución</w:t>
            </w:r>
          </w:p>
        </w:tc>
        <w:tc>
          <w:tcPr/>
          <w:p>
            <w:pPr>
              <w:pStyle w:val="Compact"/>
              <w:jc w:val="left"/>
            </w:pPr>
            <w:r>
              <w:t xml:space="preserve">10,0</w:t>
            </w:r>
          </w:p>
        </w:tc>
        <w:tc>
          <w:tcPr/>
          <w:p>
            <w:pPr>
              <w:pStyle w:val="Compact"/>
              <w:jc w:val="left"/>
            </w:pPr>
            <w:r>
              <w:t xml:space="preserve">10</w:t>
            </w:r>
          </w:p>
        </w:tc>
        <w:tc>
          <w:tcPr/>
          <w:p>
            <w:pPr>
              <w:pStyle w:val="Compact"/>
              <w:jc w:val="left"/>
            </w:pPr>
            <w:r>
              <w:t xml:space="preserve">FCF positivo (5), dilución del 0,5 % (5)</w:t>
            </w:r>
          </w:p>
        </w:tc>
      </w:tr>
      <w:tr>
        <w:tc>
          <w:tcPr/>
          <w:p>
            <w:pPr>
              <w:pStyle w:val="Compact"/>
              <w:jc w:val="left"/>
            </w:pPr>
            <w:r>
              <w:t xml:space="preserve">F. Ejecución y dirección</w:t>
            </w:r>
          </w:p>
        </w:tc>
        <w:tc>
          <w:tcPr/>
          <w:p>
            <w:pPr>
              <w:pStyle w:val="Compact"/>
              <w:jc w:val="left"/>
            </w:pPr>
            <w:r>
              <w:t xml:space="preserve">8,0</w:t>
            </w:r>
          </w:p>
        </w:tc>
        <w:tc>
          <w:tcPr/>
          <w:p>
            <w:pPr>
              <w:pStyle w:val="Compact"/>
              <w:jc w:val="left"/>
            </w:pPr>
            <w:r>
              <w:t xml:space="preserve">10</w:t>
            </w:r>
          </w:p>
        </w:tc>
        <w:tc>
          <w:tcPr/>
          <w:p>
            <w:pPr>
              <w:pStyle w:val="Compact"/>
              <w:jc w:val="left"/>
            </w:pPr>
            <w:r>
              <w:t xml:space="preserve">Historial 4, dirección 4</w:t>
            </w:r>
          </w:p>
        </w:tc>
      </w:tr>
      <w:tr>
        <w:tc>
          <w:tcPr/>
          <w:p>
            <w:pPr>
              <w:pStyle w:val="Compact"/>
              <w:jc w:val="left"/>
            </w:pPr>
            <w:r>
              <w:rPr>
                <w:bCs/>
                <w:b/>
              </w:rPr>
              <w:t xml:space="preserve">Total</w:t>
            </w:r>
          </w:p>
        </w:tc>
        <w:tc>
          <w:tcPr/>
          <w:p>
            <w:pPr>
              <w:pStyle w:val="Compact"/>
              <w:jc w:val="left"/>
            </w:pPr>
            <w:r>
              <w:rPr>
                <w:bCs/>
                <w:b/>
              </w:rPr>
              <w:t xml:space="preserve">63,3</w:t>
            </w:r>
          </w:p>
        </w:tc>
        <w:tc>
          <w:tcPr/>
          <w:p>
            <w:pPr>
              <w:pStyle w:val="Compact"/>
              <w:jc w:val="left"/>
            </w:pPr>
            <w:r>
              <w:rPr>
                <w:bCs/>
                <w:b/>
              </w:rPr>
              <w:t xml:space="preserve">100</w:t>
            </w:r>
          </w:p>
        </w:tc>
        <w:tc>
          <w:tcPr/>
          <w:p>
            <w:pPr>
              <w:pStyle w:val="Compact"/>
              <w:jc w:val="left"/>
            </w:pPr>
            <w:r>
              <w:t xml:space="preserve">Señal:</w:t>
            </w:r>
            <w:r>
              <w:t xml:space="preserve"> </w:t>
            </w:r>
            <w:r>
              <w:rPr>
                <w:bCs/>
                <w:b/>
              </w:rPr>
              <w:t xml:space="preserve">Vender</w:t>
            </w:r>
            <w:r>
              <w:t xml:space="preserve"> </w:t>
            </w:r>
            <w:r>
              <w:t xml:space="preserve">(no comprar): la ponderada es ≤ −10 %</w:t>
            </w:r>
          </w:p>
        </w:tc>
      </w:tr>
    </w:tbl>
    <w:p>
      <w:pPr>
        <w:pStyle w:val="BodyText"/>
      </w:pPr>
      <w:r>
        <w:rPr>
          <w:bCs/>
          <w:b/>
        </w:rPr>
        <w:t xml:space="preserve">Nota sobre el método.</w:t>
      </w:r>
      <w:r>
        <w:t xml:space="preserve"> </w:t>
      </w:r>
      <w:r>
        <w:t xml:space="preserve">La regla mide mal a Besi en un punto concreto. Proyecta las ventas desde los 12 meses pasados y el CAGR a 2 años, y en un fabricante de equipos que sale del valle eso recoge el año malo (2025) y no la cartera de pedidos (relación pedidos/ventas de 1,35). Además, el factor de desaceleración compara el crecimiento NTM del analista (+55 %) con el de la proyección mecánica, que es otra cosa, y castiga dos veces.</w:t>
      </w:r>
    </w:p>
    <w:p>
      <w:pPr>
        <w:pStyle w:val="BodyText"/>
      </w:pPr>
      <w:r>
        <w:t xml:space="preserve">Propuesta para probar con el backtest:</w:t>
      </w:r>
      <w:r>
        <w:t xml:space="preserve"> </w:t>
      </w:r>
      <w:r>
        <w:t xml:space="preserve">1. En modo mecánico, calcular la desaceleración con el crecimiento de la propia proyección (</w:t>
      </w:r>
      <w:r>
        <w:rPr>
          <w:rStyle w:val="VerbatimChar"/>
        </w:rPr>
        <w:t xml:space="preserve">pr.g1</w:t>
      </w:r>
      <w:r>
        <w:t xml:space="preserve"> </w:t>
      </w:r>
      <w:r>
        <w:t xml:space="preserve">→</w:t>
      </w:r>
      <w:r>
        <w:t xml:space="preserve"> </w:t>
      </w:r>
      <w:r>
        <w:rPr>
          <w:rStyle w:val="VerbatimChar"/>
        </w:rPr>
        <w:t xml:space="preserve">pr.g_final</w:t>
      </w:r>
      <w:r>
        <w:t xml:space="preserve">), no con</w:t>
      </w:r>
      <w:r>
        <w:t xml:space="preserve"> </w:t>
      </w:r>
      <w:r>
        <w:rPr>
          <w:rStyle w:val="VerbatimChar"/>
        </w:rPr>
        <w:t xml:space="preserve">crecimiento_actual_pct</w:t>
      </w:r>
      <w:r>
        <w:t xml:space="preserve">.</w:t>
      </w:r>
      <w:r>
        <w:t xml:space="preserve"> </w:t>
      </w:r>
      <w:r>
        <w:t xml:space="preserve">2. En empresas de bienes de equipo, usar la relación pedidos/ventas de 12 meses como suelo del crecimiento de partida (campo nuevo</w:t>
      </w:r>
      <w:r>
        <w:t xml:space="preserve"> </w:t>
      </w:r>
      <w:r>
        <w:rPr>
          <w:rStyle w:val="VerbatimChar"/>
        </w:rPr>
        <w:t xml:space="preserve">pedidos_12m_m</w:t>
      </w:r>
      <w:r>
        <w:t xml:space="preserve">).</w:t>
      </w:r>
    </w:p>
    <w:p>
      <w:pPr>
        <w:pStyle w:val="BodyText"/>
      </w:pPr>
      <w:r>
        <w:t xml:space="preserve">Aquí ninguna de las dos cambia la señal (la ponderada quedaría entre −12 % y −19 %).</w:t>
      </w:r>
    </w:p>
    <w:bookmarkEnd w:id="33"/>
    <w:bookmarkStart w:id="34" w:name="fuentes"/>
    <w:p>
      <w:pPr>
        <w:pStyle w:val="Heading2"/>
      </w:pPr>
      <w:r>
        <w:t xml:space="preserve">Fuentes</w:t>
      </w:r>
    </w:p>
    <w:p>
      <w:pPr>
        <w:pStyle w:val="FirstParagraph"/>
      </w:pPr>
      <w:r>
        <w:t xml:space="preserve">[1] Besi, «Announces Q2-26 and H1-26 Results» (23-jul-2026), besi.com / GlobeNewswire; resumen de Quartr.</w:t>
      </w:r>
      <w:r>
        <w:t xml:space="preserve"> </w:t>
      </w:r>
      <w:r>
        <w:t xml:space="preserve">[2] Besi, resultados del 1T26 (23-abr-2026), 4T25 y año 2025 (19-feb-2026), 3T25 (23-oct-2025), 3T24 y 4T24/2024 (Euronext Connect, StockTitan).</w:t>
      </w:r>
      <w:r>
        <w:t xml:space="preserve"> </w:t>
      </w:r>
      <w:r>
        <w:t xml:space="preserve">[3] Cotización: MarketScreener (último cierre de 172,50 EUR) y ad-hoc-news.de (171,45 EUR el 13-oct en Lang &amp; Schwarz, 171,90 EUR antes de la apertura del 14-oct; cierre en Xetra de 172,50 EUR; máximo de 328,40 EUR el 15-jun-2026).</w:t>
      </w:r>
      <w:r>
        <w:t xml:space="preserve"> </w:t>
      </w:r>
      <w:r>
        <w:t xml:space="preserve">[4] MarketScreener, Simply Wall St y Yahoo Finance: consenso de ventas de 2026-2028, EV/ventas y precio objetivo medio de 270,57 EUR.</w:t>
      </w:r>
      <w:r>
        <w:t xml:space="preserve"> </w:t>
      </w:r>
      <w:r>
        <w:t xml:space="preserve">[5] StockAnalysis (valor contable de 573,25 M y 7,14 EUR por acción a jun-2026 → ~80,3 M acciones); caja neta de [1]; bonos senior de ~350 M de memoria.</w:t>
      </w:r>
      <w:r>
        <w:t xml:space="preserve"> </w:t>
      </w:r>
      <w:r>
        <w:t xml:space="preserve">[6] Saxo NL, «Nederlandse chippers onder druk» (8-oct-2026).</w:t>
      </w:r>
      <w:r>
        <w:t xml:space="preserve"> </w:t>
      </w:r>
      <w:r>
        <w:t xml:space="preserve">[7] Placera, Boursorama y ad-hoc-news.de: UBS a Vender, objetivo de 159 EUR (7-oct-2026); remio.ai (</w:t>
      </w:r>
      <w:r>
        <w:rPr>
          <w:iCs/>
          <w:i/>
        </w:rPr>
        <w:t xml:space="preserve">hybrid bonding</w:t>
      </w:r>
      <w:r>
        <w:t xml:space="preserve"> </w:t>
      </w:r>
      <w:r>
        <w:t xml:space="preserve">de 424 M frente a 936 M en 2030).</w:t>
      </w:r>
      <w:r>
        <w:t xml:space="preserve"> </w:t>
      </w:r>
      <w:r>
        <w:t xml:space="preserve">[8] The Next Web / Bloomberg, «ASML’s chip packaging move threatens Besi shares, Bank of America says» (oct-2026).</w:t>
      </w:r>
      <w:r>
        <w:t xml:space="preserve"> </w:t>
      </w:r>
      <w:r>
        <w:t xml:space="preserve">[9] TipRanks / The Fly: Barclays recorta su previsión de</w:t>
      </w:r>
      <w:r>
        <w:t xml:space="preserve"> </w:t>
      </w:r>
      <w:r>
        <w:rPr>
          <w:iCs/>
          <w:i/>
        </w:rPr>
        <w:t xml:space="preserve">hybrid bonding</w:t>
      </w:r>
      <w:r>
        <w:t xml:space="preserve"> </w:t>
      </w:r>
      <w:r>
        <w:t xml:space="preserve">de 2026.</w:t>
      </w:r>
      <w:r>
        <w:t xml:space="preserve"> </w:t>
      </w:r>
      <w:r>
        <w:t xml:space="preserve">[10] Investing.com, análisis técnico de BESI (31-jul y 6-ago-2026).</w:t>
      </w:r>
      <w:r>
        <w:t xml:space="preserve"> </w:t>
      </w:r>
      <w:r>
        <w:t xml:space="preserve">[11] Besi, comunicados de recompra de acciones (abr-jul-2026).</w:t>
      </w:r>
      <w:r>
        <w:t xml:space="preserve"> </w:t>
      </w:r>
      <w:r>
        <w:t xml:space="preserve">[12] Estimación propia del EV/ventas NTM histórico, en parte de memoria.</w:t>
      </w:r>
      <w:r>
        <w:t xml:space="preserve"> </w:t>
      </w:r>
      <w:r>
        <w:t xml:space="preserve">[13] Bloomberg, «Besi Shares Sink as Flagship Tech Faces Memory Crunch Pressure» (8-oct-2026).</w:t>
      </w:r>
      <w:r>
        <w:t xml:space="preserve"> </w:t>
      </w:r>
      <w:r>
        <w:t xml:space="preserve">[14] De Belegger, Bolero y Morningstar NL (valor razonable de 265 EUR).</w:t>
      </w:r>
      <w:r>
        <w:t xml:space="preserve"> </w:t>
      </w:r>
      <w:r>
        <w:t xml:space="preserve">[15] Reuters vía Il Sole 24 Ore y TrendForce (13-mar-2026, acercamientos de compra); Bits &amp; Chips y Evertiq (Applied con el ~9 %).</w:t>
      </w:r>
      <w:r>
        <w:t xml:space="preserve"> </w:t>
      </w:r>
      <w:r>
        <w:t xml:space="preserve">[16] Bits &amp; Chips y Quartr (pedido de Kinex de SK hynix; Día del Inversor de 2026); PhotonCap (objetivo de 2030).</w:t>
      </w:r>
      <w:r>
        <w:t xml:space="preserve"> </w:t>
      </w:r>
      <w:r>
        <w:t xml:space="preserve">[17] Chartmill y StockAnalysis (flujo de caja, inversiones, pagos en acciones).</w:t>
      </w:r>
      <w:r>
        <w:t xml:space="preserve"> </w:t>
      </w:r>
      <w:r>
        <w:t xml:space="preserve">[18] TrendForce (oct-2025) y Yole (ago-2025): tamaño del mercado de</w:t>
      </w:r>
      <w:r>
        <w:t xml:space="preserve"> </w:t>
      </w:r>
      <w:r>
        <w:rPr>
          <w:iCs/>
          <w:i/>
        </w:rPr>
        <w:t xml:space="preserve">hybrid bonders</w:t>
      </w:r>
      <w:r>
        <w:t xml:space="preserve">, TCB y</w:t>
      </w:r>
      <w:r>
        <w:t xml:space="preserve"> </w:t>
      </w:r>
      <w:r>
        <w:rPr>
          <w:iCs/>
          <w:i/>
        </w:rPr>
        <w:t xml:space="preserve">back-end</w:t>
      </w:r>
      <w:r>
        <w:t xml:space="preserve">.</w:t>
      </w:r>
      <w:r>
        <w:t xml:space="preserve"> </w:t>
      </w:r>
      <w:r>
        <w:t xml:space="preserve">[19] Remio.ai y stockti.com (SK hynix en Hot Chips, 23-ago-2026; JEDEC y el grosor del HBM).</w:t>
      </w:r>
      <w:r>
        <w:t xml:space="preserve"> </w:t>
      </w:r>
      <w:r>
        <w:t xml:space="preserve">[20] Subida de 12 meses (~+35 %): estimación propia, con el precio de oct-2025 de memoria.</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2026-10-14T21:44:08Z</dcterms:created>
  <dcterms:modified xsi:type="dcterms:W3CDTF">2026-10-14T21:44:08Z</dcterms:modified>
</cp:coreProperties>
</file>

<file path=docProps/custom.xml><?xml version="1.0" encoding="utf-8"?>
<Properties xmlns="http://schemas.openxmlformats.org/officeDocument/2006/custom-properties" xmlns:vt="http://schemas.openxmlformats.org/officeDocument/2006/docPropsVTypes"/>
</file>