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amurus-camx-análisis-growth-14-oct-2026"/>
    <w:p>
      <w:pPr>
        <w:pStyle w:val="Heading1"/>
      </w:pPr>
      <w:r>
        <w:t xml:space="preserve">Camurus (CAMX): análisis growth, 14-oct-2026</w:t>
      </w:r>
    </w:p>
    <w:p>
      <w:pPr>
        <w:pStyle w:val="FirstParagraph"/>
      </w:pPr>
      <w:r>
        <w:rPr>
          <w:bCs/>
          <w:b/>
        </w:rPr>
        <w:t xml:space="preserve">Señal (método v11, vigente): Vender, que para quien no la tiene significa no comprar</w:t>
      </w:r>
      <w:r>
        <w:t xml:space="preserve"> </w:t>
      </w:r>
      <w:r>
        <w:t xml:space="preserve">· Puntuación 67/100 · Señales de cambio de tendencia 6/8 · EV/beneficio bruto NTM 12,7x</w:t>
      </w:r>
      <w:r>
        <w:t xml:space="preserve"> </w:t>
      </w:r>
      <w:r>
        <w:t xml:space="preserve">Precio 628,00 SEK (cierre del 13-oct) · Objetivo a 12 meses 530,5 SEK · Rentabilidad ponderada −15,5 % · Caso base −10,6 % · Bajista −47,7 % · Alcista +43,0 % · Compra hasta 505,3 SEK</w:t>
      </w:r>
      <w:r>
        <w:t xml:space="preserve"> </w:t>
      </w:r>
      <w:r>
        <w:rPr>
          <w:bCs/>
          <w:b/>
        </w:rPr>
        <w:t xml:space="preserve">Al precio actual</w:t>
      </w:r>
      <w:r>
        <w:t xml:space="preserve"> </w:t>
      </w:r>
      <w:r>
        <w:t xml:space="preserve">(635,00 SEK, cierre del 14-oct, 15:29 UTC; objetivo fijo): ponderada −16,5 %.</w:t>
      </w:r>
      <w:r>
        <w:t xml:space="preserve"> </w:t>
      </w:r>
      <w:r>
        <w:t xml:space="preserve">Referencia v9: igual (67 puntos, Vender, ponderada −15,5 %). La proyección mecánica queda por debajo de la del informe, así que el tope de v11 no actúa.</w:t>
      </w:r>
      <w:r>
        <w:t xml:space="preserve"> </w:t>
      </w:r>
      <w:r>
        <w:t xml:space="preserve">Alertas de robustez (</w:t>
      </w:r>
      <w:r>
        <w:rPr>
          <w:rStyle w:val="VerbatimChar"/>
        </w:rPr>
        <w:t xml:space="preserve">calc.alertas</w:t>
      </w:r>
      <w:r>
        <w:t xml:space="preserve">): ninguna con v11. Con v12 saltan dos (proyección mecánica corta frente a la del informe y al consenso), explicadas en la sección 11.</w:t>
      </w:r>
      <w:r>
        <w:t xml:space="preserve"> </w:t>
      </w:r>
      <w:r>
        <w:t xml:space="preserve">Prueba de robustez:</w:t>
      </w:r>
      <w:r>
        <w:t xml:space="preserve"> </w:t>
      </w:r>
      <w:r>
        <w:rPr>
          <w:bCs/>
          <w:b/>
        </w:rPr>
        <w:t xml:space="preserve">FRÁGIL, señal robusta Vender</w:t>
      </w:r>
      <w:r>
        <w:t xml:space="preserve"> </w:t>
      </w:r>
      <w:r>
        <w:t xml:space="preserve">(sección 11). Con mis ventas o con pesos 25/50/25 pasa a Mantener, nunca a Comprar.</w:t>
      </w:r>
      <w:r>
        <w:t xml:space="preserve"> </w:t>
      </w:r>
      <w:r>
        <w:t xml:space="preserve">Peso orientativo:</w:t>
      </w:r>
      <w:r>
        <w:t xml:space="preserve"> </w:t>
      </w:r>
      <w:r>
        <w:rPr>
          <w:bCs/>
          <w:b/>
        </w:rPr>
        <w:t xml:space="preserve">no entra</w:t>
      </w:r>
      <w:r>
        <w:t xml:space="preserve">. No sustituye a nadie ni entra en la lista de suplentes (sección 13).</w:t>
      </w:r>
    </w:p>
    <w:p>
      <w:pPr>
        <w:pStyle w:val="BlockText"/>
      </w:pPr>
      <w:r>
        <w:rPr>
          <w:bCs/>
          <w:b/>
        </w:rPr>
        <w:t xml:space="preserve">Valorada por EV/EBITDA recurrente de los 12 meses siguientes</w:t>
      </w:r>
      <w:r>
        <w:t xml:space="preserve"> </w:t>
      </w:r>
      <w:r>
        <w:t xml:space="preserve">porque Camurus gana dinero de forma estable desde 2022 y tiene FCF positivo. Ventas y EBITDA</w:t>
      </w:r>
      <w:r>
        <w:t xml:space="preserve"> </w:t>
      </w:r>
      <w:r>
        <w:rPr>
          <w:bCs/>
          <w:b/>
        </w:rPr>
        <w:t xml:space="preserve">sin licencias ni hitos</w:t>
      </w:r>
      <w:r>
        <w:t xml:space="preserve"> </w:t>
      </w:r>
      <w:r>
        <w:t xml:space="preserve">(Lilly, Braeburn): son pagos que no se repiten de forma previsible. Múltiplo de hoy 28,6x. Lectura en una línea: es un negocio muy rentable con un producto que crece y una cartera con dos citas grandes antes de Navidad, pero el último año apenas creció y el precio ya paga que el crecimiento vuelva con fuerza; el método no la compra.</w:t>
      </w:r>
    </w:p>
    <w:bookmarkStart w:id="20" w:name="la-tesis-en-cinco-líneas"/>
    <w:p>
      <w:pPr>
        <w:pStyle w:val="Heading2"/>
      </w:pPr>
      <w:r>
        <w:t xml:space="preserve">1. La tesis en cinco líneas</w:t>
      </w:r>
    </w:p>
    <w:p>
      <w:pPr>
        <w:numPr>
          <w:ilvl w:val="0"/>
          <w:numId w:val="1001"/>
        </w:numPr>
        <w:pStyle w:val="Compact"/>
      </w:pPr>
      <w:r>
        <w:t xml:space="preserve">Camurus (Lund, Suecia) fabrica</w:t>
      </w:r>
      <w:r>
        <w:t xml:space="preserve"> </w:t>
      </w:r>
      <w:r>
        <w:rPr>
          <w:bCs/>
          <w:b/>
        </w:rPr>
        <w:t xml:space="preserve">inyectables de liberación prolongada</w:t>
      </w:r>
      <w:r>
        <w:t xml:space="preserve"> </w:t>
      </w:r>
      <w:r>
        <w:t xml:space="preserve">con su tecnología propia</w:t>
      </w:r>
      <w:r>
        <w:t xml:space="preserve"> </w:t>
      </w:r>
      <w:r>
        <w:rPr>
          <w:bCs/>
          <w:b/>
        </w:rPr>
        <w:t xml:space="preserve">FluidCrystal</w:t>
      </w:r>
      <w:r>
        <w:t xml:space="preserve">: un líquido que, al inyectarse, forma un gel que suelta el fármaco durante una semana o un mes. Su producto es la</w:t>
      </w:r>
      <w:r>
        <w:t xml:space="preserve"> </w:t>
      </w:r>
      <w:r>
        <w:rPr>
          <w:bCs/>
          <w:b/>
        </w:rPr>
        <w:t xml:space="preserve">buprenorfina mensual para la dependencia de opioides</w:t>
      </w:r>
      <w:r>
        <w:t xml:space="preserve">: la vende ella misma como</w:t>
      </w:r>
      <w:r>
        <w:t xml:space="preserve"> </w:t>
      </w:r>
      <w:r>
        <w:rPr>
          <w:bCs/>
          <w:b/>
        </w:rPr>
        <w:t xml:space="preserve">Buvidal</w:t>
      </w:r>
      <w:r>
        <w:t xml:space="preserve"> </w:t>
      </w:r>
      <w:r>
        <w:t xml:space="preserve">(Europa, Australia, Oriente Medio) y cobra regalías de</w:t>
      </w:r>
      <w:r>
        <w:t xml:space="preserve"> </w:t>
      </w:r>
      <w:r>
        <w:rPr>
          <w:bCs/>
          <w:b/>
        </w:rPr>
        <w:t xml:space="preserve">Brixadi</w:t>
      </w:r>
      <w:r>
        <w:t xml:space="preserve"> </w:t>
      </w:r>
      <w:r>
        <w:t xml:space="preserve">en EE. UU. (socio Braeburn). Es el 97 % de los ingresos.</w:t>
      </w:r>
    </w:p>
    <w:p>
      <w:pPr>
        <w:numPr>
          <w:ilvl w:val="0"/>
          <w:numId w:val="1001"/>
        </w:numPr>
        <w:pStyle w:val="Compact"/>
      </w:pPr>
      <w:r>
        <w:t xml:space="preserve">Ventas recurrentes (producto más regalías) de</w:t>
      </w:r>
      <w:r>
        <w:t xml:space="preserve"> </w:t>
      </w:r>
      <w:r>
        <w:rPr>
          <w:bCs/>
          <w:b/>
        </w:rPr>
        <w:t xml:space="preserve">2.218 M SEK en 12 meses, +3,2 %</w:t>
      </w:r>
      <w:r>
        <w:t xml:space="preserve">: un mal 2025 (Reino Unido sin financiación, recompra única de inventario de 93 M, corona fuerte). El 2T26 volvió a crecer un</w:t>
      </w:r>
      <w:r>
        <w:t xml:space="preserve"> </w:t>
      </w:r>
      <w:r>
        <w:rPr>
          <w:bCs/>
          <w:b/>
        </w:rPr>
        <w:t xml:space="preserve">17 %</w:t>
      </w:r>
      <w:r>
        <w:t xml:space="preserve">, con récord de Buvidal y regalías al alza un 42 %.</w:t>
      </w:r>
    </w:p>
    <w:p>
      <w:pPr>
        <w:numPr>
          <w:ilvl w:val="0"/>
          <w:numId w:val="1001"/>
        </w:numPr>
        <w:pStyle w:val="Compact"/>
      </w:pPr>
      <w:r>
        <w:t xml:space="preserve">Dos citas antes de fin de año: los resultados de</w:t>
      </w:r>
      <w:r>
        <w:t xml:space="preserve"> </w:t>
      </w:r>
      <w:r>
        <w:rPr>
          <w:bCs/>
          <w:b/>
        </w:rPr>
        <w:t xml:space="preserve">SORENTO</w:t>
      </w:r>
      <w:r>
        <w:t xml:space="preserve"> </w:t>
      </w:r>
      <w:r>
        <w:t xml:space="preserve">(fase 3 de CAM2029 en tumores neuroendocrinos, un mercado mayor que el actual) y la</w:t>
      </w:r>
      <w:r>
        <w:t xml:space="preserve"> </w:t>
      </w:r>
      <w:r>
        <w:rPr>
          <w:bCs/>
          <w:b/>
        </w:rPr>
        <w:t xml:space="preserve">decisión de la FDA del 18 de diciembre</w:t>
      </w:r>
      <w:r>
        <w:t xml:space="preserve"> </w:t>
      </w:r>
      <w:r>
        <w:t xml:space="preserve">sobre CAM2029 en acromegalia (rechazado dos veces por un fabricante externo, nunca por eficacia). Además,</w:t>
      </w:r>
      <w:r>
        <w:t xml:space="preserve"> </w:t>
      </w:r>
      <w:r>
        <w:rPr>
          <w:bCs/>
          <w:b/>
        </w:rPr>
        <w:t xml:space="preserve">Lilly</w:t>
      </w:r>
      <w:r>
        <w:t xml:space="preserve"> </w:t>
      </w:r>
      <w:r>
        <w:t xml:space="preserve">usa FluidCrystal para sus fármacos de obesidad (hasta 870 M USD en hitos más regalías).</w:t>
      </w:r>
    </w:p>
    <w:p>
      <w:pPr>
        <w:numPr>
          <w:ilvl w:val="0"/>
          <w:numId w:val="1001"/>
        </w:numPr>
        <w:pStyle w:val="Compact"/>
      </w:pPr>
      <w:r>
        <w:t xml:space="preserve">El precio ya cuenta con mucho:</w:t>
      </w:r>
      <w:r>
        <w:t xml:space="preserve"> </w:t>
      </w:r>
      <w:r>
        <w:rPr>
          <w:bCs/>
          <w:b/>
        </w:rPr>
        <w:t xml:space="preserve">28,6x el EBITDA recurrente de los 12 meses siguientes</w:t>
      </w:r>
      <w:r>
        <w:t xml:space="preserve">, el doble que rivales rentables (Halozyme, Neurocrine, ~15x). El DCF inverso pide un</w:t>
      </w:r>
      <w:r>
        <w:t xml:space="preserve"> </w:t>
      </w:r>
      <w:r>
        <w:rPr>
          <w:bCs/>
          <w:b/>
        </w:rPr>
        <w:t xml:space="preserve">17 % anual durante 10 años</w:t>
      </w:r>
      <w:r>
        <w:t xml:space="preserve">.</w:t>
      </w:r>
    </w:p>
    <w:p>
      <w:pPr>
        <w:numPr>
          <w:ilvl w:val="0"/>
          <w:numId w:val="1001"/>
        </w:numPr>
        <w:pStyle w:val="Compact"/>
      </w:pPr>
      <w:r>
        <w:t xml:space="preserve">Conclusión:</w:t>
      </w:r>
      <w:r>
        <w:t xml:space="preserve"> </w:t>
      </w:r>
      <w:r>
        <w:rPr>
          <w:bCs/>
          <w:b/>
        </w:rPr>
        <w:t xml:space="preserve">Vender / no comprar</w:t>
      </w:r>
      <w:r>
        <w:t xml:space="preserve">. La regla proyecta desde un pasado flojo y sale −15,5 %; con mis ventas, más altas, saldría +3,8 %: tampoco llega para comprar. Comprable por debajo de</w:t>
      </w:r>
      <w:r>
        <w:t xml:space="preserve"> </w:t>
      </w:r>
      <w:r>
        <w:rPr>
          <w:bCs/>
          <w:b/>
        </w:rPr>
        <w:t xml:space="preserve">505 SEK</w:t>
      </w:r>
      <w:r>
        <w:t xml:space="preserve"> </w:t>
      </w:r>
      <w:r>
        <w:t xml:space="preserve">o si SORENTO sale bien y sube las ventas futuras sin que el precio acompañe.</w:t>
      </w:r>
    </w:p>
    <w:bookmarkEnd w:id="20"/>
    <w:bookmarkStart w:id="21" w:name="negocio-y-tecnología"/>
    <w:p>
      <w:pPr>
        <w:pStyle w:val="Heading2"/>
      </w:pPr>
      <w:r>
        <w:t xml:space="preserve">2. Negocio y tecnología</w:t>
      </w:r>
    </w:p>
    <w:p>
      <w:pPr>
        <w:numPr>
          <w:ilvl w:val="0"/>
          <w:numId w:val="1002"/>
        </w:numPr>
        <w:pStyle w:val="Compact"/>
      </w:pPr>
      <w:r>
        <w:rPr>
          <w:bCs/>
          <w:b/>
        </w:rPr>
        <w:t xml:space="preserve">FluidCrystal</w:t>
      </w:r>
      <w:r>
        <w:t xml:space="preserve">: mezcla de lípidos que se convierte en gel de cristal líquido al contacto con el cuerpo y libera el fármaco poco a poco, de días a meses, con una aguja fina y un autoinyector a temperatura ambiente. Validada por aprobaciones en Europa, EE. UU. y Australia y por los acuerdos con Lilly (incretinas y amilina), Rhythm y Gubra [1][21].</w:t>
      </w:r>
    </w:p>
    <w:p>
      <w:pPr>
        <w:numPr>
          <w:ilvl w:val="0"/>
          <w:numId w:val="1002"/>
        </w:numPr>
        <w:pStyle w:val="Compact"/>
      </w:pPr>
      <w:r>
        <w:rPr>
          <w:bCs/>
          <w:b/>
        </w:rPr>
        <w:t xml:space="preserve">Buvidal (buprenorfina semanal y mensual), 78 % de los ingresos</w:t>
      </w:r>
      <w:r>
        <w:t xml:space="preserve">: sustituye a la pastilla diaria o a la metadona. Menos visitas, menos desvío del fármaco, menos consumo ilegal. 77.000 pacientes a junio de 2026; meta de 100.000 a finales de 2027. Más del 80 % del segmento inyectable en Australia [1].</w:t>
      </w:r>
    </w:p>
    <w:p>
      <w:pPr>
        <w:numPr>
          <w:ilvl w:val="0"/>
          <w:numId w:val="1002"/>
        </w:numPr>
        <w:pStyle w:val="Compact"/>
      </w:pPr>
      <w:r>
        <w:rPr>
          <w:bCs/>
          <w:b/>
        </w:rPr>
        <w:t xml:space="preserve">Brixadi (EE. UU.), 21 %</w:t>
      </w:r>
      <w:r>
        <w:t xml:space="preserve">: Braeburn lo vende y paga regalías (466 M SEK en 12 meses, +42 % en el 2T). Más del 30 % del segmento inyectable de EE. UU., que mueve ~1.200 M USD al año y solo es el 10 % del mercado de buprenorfina [1b].</w:t>
      </w:r>
    </w:p>
    <w:p>
      <w:pPr>
        <w:numPr>
          <w:ilvl w:val="0"/>
          <w:numId w:val="1002"/>
        </w:numPr>
        <w:pStyle w:val="Compact"/>
      </w:pPr>
      <w:r>
        <w:rPr>
          <w:bCs/>
          <w:b/>
        </w:rPr>
        <w:t xml:space="preserve">Oczyesa (octreotida mensual autoinyectable, CAM2029), &lt; 1 %</w:t>
      </w:r>
      <w:r>
        <w:t xml:space="preserve">: para la acromegalia (exceso de hormona del crecimiento). Aprobado en la UE, el Reino Unido, Australia y Canadá; lanzado en Alemania y Suecia (4 M SEK en el 2T). En EE. UU. (Oclaiz), decisión el 18-dic [20][21].</w:t>
      </w:r>
    </w:p>
    <w:p>
      <w:pPr>
        <w:numPr>
          <w:ilvl w:val="0"/>
          <w:numId w:val="1002"/>
        </w:numPr>
        <w:pStyle w:val="Compact"/>
      </w:pPr>
      <w:r>
        <w:rPr>
          <w:bCs/>
          <w:b/>
        </w:rPr>
        <w:t xml:space="preserve">Cartera</w:t>
      </w:r>
      <w:r>
        <w:t xml:space="preserve">: CAM2029 en tumores neuroendocrinos (SORENTO, el ensayo más grande de su clase, 332 pacientes) y en poliquistosis hepática; CAM2056 (semaglutida mensual, fase 2b en el 2S26); proyectos de Lilly [1].</w:t>
      </w:r>
    </w:p>
    <w:p>
      <w:pPr>
        <w:numPr>
          <w:ilvl w:val="0"/>
          <w:numId w:val="1002"/>
        </w:numPr>
        <w:pStyle w:val="Compact"/>
      </w:pPr>
      <w:r>
        <w:rPr>
          <w:bCs/>
          <w:b/>
        </w:rPr>
        <w:t xml:space="preserve">Tecnología 4/5</w:t>
      </w:r>
      <w:r>
        <w:t xml:space="preserve">: plataforma propia con patentes y aprobaciones que un rival tardaría años en igualar; no es un 5 porque las moléculas son conocidas (buprenorfina, octreotida) y hay otras formas de liberación prolongada.</w:t>
      </w:r>
    </w:p>
    <w:p>
      <w:pPr>
        <w:numPr>
          <w:ilvl w:val="0"/>
          <w:numId w:val="1002"/>
        </w:numPr>
        <w:pStyle w:val="Compact"/>
      </w:pPr>
      <w:r>
        <w:rPr>
          <w:bCs/>
          <w:b/>
        </w:rPr>
        <w:t xml:space="preserve">Posición 4/5</w:t>
      </w:r>
      <w:r>
        <w:t xml:space="preserve">: líder fuera de EE. UU. y número dos en EE. UU. detrás de Sublocade (Indivior), que además se retira de Australia y, según Nordea, de Europa [1][15].</w:t>
      </w:r>
    </w:p>
    <w:bookmarkEnd w:id="21"/>
    <w:bookmarkStart w:id="22" w:name="crecimiento"/>
    <w:p>
      <w:pPr>
        <w:pStyle w:val="Heading2"/>
      </w:pPr>
      <w:r>
        <w:t xml:space="preserve">3. Crecimiento</w:t>
      </w:r>
    </w:p>
    <w:p>
      <w:pPr>
        <w:pStyle w:val="FirstParagraph"/>
      </w:pPr>
      <w:r>
        <w:t xml:space="preserve">Ventas recurrentes = producto + regalías (M SEK). El total publicado incluye licencias e hitos.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Trimestre</w:t>
            </w:r>
          </w:p>
        </w:tc>
        <w:tc>
          <w:tcPr/>
          <w:p>
            <w:pPr>
              <w:pStyle w:val="Compact"/>
              <w:jc w:val="left"/>
            </w:pPr>
            <w:r>
              <w:t xml:space="preserve">Producto</w:t>
            </w:r>
          </w:p>
        </w:tc>
        <w:tc>
          <w:tcPr/>
          <w:p>
            <w:pPr>
              <w:pStyle w:val="Compact"/>
              <w:jc w:val="left"/>
            </w:pPr>
            <w:r>
              <w:t xml:space="preserve">Regalías</w:t>
            </w:r>
          </w:p>
        </w:tc>
        <w:tc>
          <w:tcPr/>
          <w:p>
            <w:pPr>
              <w:pStyle w:val="Compact"/>
              <w:jc w:val="left"/>
            </w:pPr>
            <w:r>
              <w:t xml:space="preserve">Recurrente</w:t>
            </w:r>
          </w:p>
        </w:tc>
        <w:tc>
          <w:tcPr/>
          <w:p>
            <w:pPr>
              <w:pStyle w:val="Compact"/>
              <w:jc w:val="left"/>
            </w:pPr>
            <w:r>
              <w:t xml:space="preserve">Crec. interanual</w:t>
            </w:r>
          </w:p>
        </w:tc>
        <w:tc>
          <w:tcPr/>
          <w:p>
            <w:pPr>
              <w:pStyle w:val="Compact"/>
              <w:jc w:val="left"/>
            </w:pPr>
            <w:r>
              <w:t xml:space="preserve">Total publicado</w:t>
            </w:r>
          </w:p>
        </w:tc>
      </w:tr>
      <w:tr>
        <w:tc>
          <w:tcPr/>
          <w:p>
            <w:pPr>
              <w:pStyle w:val="Compact"/>
              <w:jc w:val="left"/>
            </w:pPr>
            <w:r>
              <w:t xml:space="preserve">3T24</w:t>
            </w:r>
          </w:p>
        </w:tc>
        <w:tc>
          <w:tcPr/>
          <w:p>
            <w:pPr>
              <w:pStyle w:val="Compact"/>
              <w:jc w:val="left"/>
            </w:pPr>
            <w:r>
              <w:t xml:space="preserve">421</w:t>
            </w:r>
          </w:p>
        </w:tc>
        <w:tc>
          <w:tcPr/>
          <w:p>
            <w:pPr>
              <w:pStyle w:val="Compact"/>
              <w:jc w:val="left"/>
            </w:pPr>
            <w:r>
              <w:t xml:space="preserve">58</w:t>
            </w:r>
          </w:p>
        </w:tc>
        <w:tc>
          <w:tcPr/>
          <w:p>
            <w:pPr>
              <w:pStyle w:val="Compact"/>
              <w:jc w:val="left"/>
            </w:pPr>
            <w:r>
              <w:t xml:space="preserve">479</w:t>
            </w:r>
          </w:p>
        </w:tc>
        <w:tc>
          <w:tcPr/>
          <w:p>
            <w:pPr>
              <w:pStyle w:val="Compact"/>
              <w:jc w:val="left"/>
            </w:pPr>
            <w:r>
              <w:t xml:space="preserve">38 %</w:t>
            </w:r>
          </w:p>
        </w:tc>
        <w:tc>
          <w:tcPr/>
          <w:p>
            <w:pPr>
              <w:pStyle w:val="Compact"/>
              <w:jc w:val="left"/>
            </w:pPr>
            <w:r>
              <w:t xml:space="preserve">480</w:t>
            </w:r>
          </w:p>
        </w:tc>
      </w:tr>
      <w:tr>
        <w:tc>
          <w:tcPr/>
          <w:p>
            <w:pPr>
              <w:pStyle w:val="Compact"/>
              <w:jc w:val="left"/>
            </w:pPr>
            <w:r>
              <w:t xml:space="preserve">4T24</w:t>
            </w:r>
          </w:p>
        </w:tc>
        <w:tc>
          <w:tcPr/>
          <w:p>
            <w:pPr>
              <w:pStyle w:val="Compact"/>
              <w:jc w:val="left"/>
            </w:pPr>
            <w:r>
              <w:t xml:space="preserve">469</w:t>
            </w:r>
          </w:p>
        </w:tc>
        <w:tc>
          <w:tcPr/>
          <w:p>
            <w:pPr>
              <w:pStyle w:val="Compact"/>
              <w:jc w:val="left"/>
            </w:pPr>
            <w:r>
              <w:t xml:space="preserve">83</w:t>
            </w:r>
          </w:p>
        </w:tc>
        <w:tc>
          <w:tcPr/>
          <w:p>
            <w:pPr>
              <w:pStyle w:val="Compact"/>
              <w:jc w:val="left"/>
            </w:pPr>
            <w:r>
              <w:t xml:space="preserve">552</w:t>
            </w:r>
          </w:p>
        </w:tc>
        <w:tc>
          <w:tcPr/>
          <w:p>
            <w:pPr>
              <w:pStyle w:val="Compact"/>
              <w:jc w:val="left"/>
            </w:pPr>
            <w:r>
              <w:t xml:space="preserve">48 %</w:t>
            </w:r>
          </w:p>
        </w:tc>
        <w:tc>
          <w:tcPr/>
          <w:p>
            <w:pPr>
              <w:pStyle w:val="Compact"/>
              <w:jc w:val="left"/>
            </w:pPr>
            <w:r>
              <w:t xml:space="preserve">553</w:t>
            </w:r>
          </w:p>
        </w:tc>
      </w:tr>
      <w:tr>
        <w:tc>
          <w:tcPr/>
          <w:p>
            <w:pPr>
              <w:pStyle w:val="Compact"/>
              <w:jc w:val="left"/>
            </w:pPr>
            <w:r>
              <w:t xml:space="preserve">1T25</w:t>
            </w:r>
          </w:p>
        </w:tc>
        <w:tc>
          <w:tcPr/>
          <w:p>
            <w:pPr>
              <w:pStyle w:val="Compact"/>
              <w:jc w:val="left"/>
            </w:pPr>
            <w:r>
              <w:t xml:space="preserve">485</w:t>
            </w:r>
          </w:p>
        </w:tc>
        <w:tc>
          <w:tcPr/>
          <w:p>
            <w:pPr>
              <w:pStyle w:val="Compact"/>
              <w:jc w:val="left"/>
            </w:pPr>
            <w:r>
              <w:t xml:space="preserve">74</w:t>
            </w:r>
          </w:p>
        </w:tc>
        <w:tc>
          <w:tcPr/>
          <w:p>
            <w:pPr>
              <w:pStyle w:val="Compact"/>
              <w:jc w:val="left"/>
            </w:pPr>
            <w:r>
              <w:t xml:space="preserve">558</w:t>
            </w:r>
          </w:p>
        </w:tc>
        <w:tc>
          <w:tcPr/>
          <w:p>
            <w:pPr>
              <w:pStyle w:val="Compact"/>
              <w:jc w:val="left"/>
            </w:pPr>
            <w:r>
              <w:t xml:space="preserve">43 %</w:t>
            </w:r>
          </w:p>
        </w:tc>
        <w:tc>
          <w:tcPr/>
          <w:p>
            <w:pPr>
              <w:pStyle w:val="Compact"/>
              <w:jc w:val="left"/>
            </w:pPr>
            <w:r>
              <w:t xml:space="preserve">558</w:t>
            </w:r>
          </w:p>
        </w:tc>
      </w:tr>
      <w:tr>
        <w:tc>
          <w:tcPr/>
          <w:p>
            <w:pPr>
              <w:pStyle w:val="Compact"/>
              <w:jc w:val="left"/>
            </w:pPr>
            <w:r>
              <w:t xml:space="preserve">2T25</w:t>
            </w:r>
          </w:p>
        </w:tc>
        <w:tc>
          <w:tcPr/>
          <w:p>
            <w:pPr>
              <w:pStyle w:val="Compact"/>
              <w:jc w:val="left"/>
            </w:pPr>
            <w:r>
              <w:t xml:space="preserve">470</w:t>
            </w:r>
          </w:p>
        </w:tc>
        <w:tc>
          <w:tcPr/>
          <w:p>
            <w:pPr>
              <w:pStyle w:val="Compact"/>
              <w:jc w:val="left"/>
            </w:pPr>
            <w:r>
              <w:t xml:space="preserve">89</w:t>
            </w:r>
          </w:p>
        </w:tc>
        <w:tc>
          <w:tcPr/>
          <w:p>
            <w:pPr>
              <w:pStyle w:val="Compact"/>
              <w:jc w:val="left"/>
            </w:pPr>
            <w:r>
              <w:t xml:space="preserve">559</w:t>
            </w:r>
          </w:p>
        </w:tc>
        <w:tc>
          <w:tcPr/>
          <w:p>
            <w:pPr>
              <w:pStyle w:val="Compact"/>
              <w:jc w:val="left"/>
            </w:pPr>
            <w:r>
              <w:t xml:space="preserve">26 %</w:t>
            </w:r>
          </w:p>
        </w:tc>
        <w:tc>
          <w:tcPr/>
          <w:p>
            <w:pPr>
              <w:pStyle w:val="Compact"/>
              <w:jc w:val="left"/>
            </w:pPr>
            <w:r>
              <w:t xml:space="preserve">676</w:t>
            </w:r>
          </w:p>
        </w:tc>
      </w:tr>
      <w:tr>
        <w:tc>
          <w:tcPr/>
          <w:p>
            <w:pPr>
              <w:pStyle w:val="Compact"/>
              <w:jc w:val="left"/>
            </w:pPr>
            <w:r>
              <w:t xml:space="preserve">3T25</w:t>
            </w:r>
          </w:p>
        </w:tc>
        <w:tc>
          <w:tcPr/>
          <w:p>
            <w:pPr>
              <w:pStyle w:val="Compact"/>
              <w:jc w:val="left"/>
            </w:pPr>
            <w:r>
              <w:t xml:space="preserve">455</w:t>
            </w:r>
          </w:p>
        </w:tc>
        <w:tc>
          <w:tcPr/>
          <w:p>
            <w:pPr>
              <w:pStyle w:val="Compact"/>
              <w:jc w:val="left"/>
            </w:pPr>
            <w:r>
              <w:t xml:space="preserve">111</w:t>
            </w:r>
          </w:p>
        </w:tc>
        <w:tc>
          <w:tcPr/>
          <w:p>
            <w:pPr>
              <w:pStyle w:val="Compact"/>
              <w:jc w:val="left"/>
            </w:pPr>
            <w:r>
              <w:t xml:space="preserve">566</w:t>
            </w:r>
          </w:p>
        </w:tc>
        <w:tc>
          <w:tcPr/>
          <w:p>
            <w:pPr>
              <w:pStyle w:val="Compact"/>
              <w:jc w:val="left"/>
            </w:pPr>
            <w:r>
              <w:t xml:space="preserve">18 %</w:t>
            </w:r>
          </w:p>
        </w:tc>
        <w:tc>
          <w:tcPr/>
          <w:p>
            <w:pPr>
              <w:pStyle w:val="Compact"/>
              <w:jc w:val="left"/>
            </w:pPr>
            <w:r>
              <w:t xml:space="preserve">567</w:t>
            </w:r>
          </w:p>
        </w:tc>
      </w:tr>
      <w:tr>
        <w:tc>
          <w:tcPr/>
          <w:p>
            <w:pPr>
              <w:pStyle w:val="Compact"/>
              <w:jc w:val="left"/>
            </w:pPr>
            <w:r>
              <w:t xml:space="preserve">4T25</w:t>
            </w:r>
          </w:p>
        </w:tc>
        <w:tc>
          <w:tcPr/>
          <w:p>
            <w:pPr>
              <w:pStyle w:val="Compact"/>
              <w:jc w:val="left"/>
            </w:pPr>
            <w:r>
              <w:t xml:space="preserve">342</w:t>
            </w:r>
          </w:p>
        </w:tc>
        <w:tc>
          <w:tcPr/>
          <w:p>
            <w:pPr>
              <w:pStyle w:val="Compact"/>
              <w:jc w:val="left"/>
            </w:pPr>
            <w:r>
              <w:t xml:space="preserve">122</w:t>
            </w:r>
          </w:p>
        </w:tc>
        <w:tc>
          <w:tcPr/>
          <w:p>
            <w:pPr>
              <w:pStyle w:val="Compact"/>
              <w:jc w:val="left"/>
            </w:pPr>
            <w:r>
              <w:t xml:space="preserve">464</w:t>
            </w:r>
          </w:p>
        </w:tc>
        <w:tc>
          <w:tcPr/>
          <w:p>
            <w:pPr>
              <w:pStyle w:val="Compact"/>
              <w:jc w:val="left"/>
            </w:pPr>
            <w:r>
              <w:t xml:space="preserve">−16 %</w:t>
            </w:r>
          </w:p>
        </w:tc>
        <w:tc>
          <w:tcPr/>
          <w:p>
            <w:pPr>
              <w:pStyle w:val="Compact"/>
              <w:jc w:val="left"/>
            </w:pPr>
            <w:r>
              <w:t xml:space="preserve">464</w:t>
            </w:r>
          </w:p>
        </w:tc>
      </w:tr>
      <w:tr>
        <w:tc>
          <w:tcPr/>
          <w:p>
            <w:pPr>
              <w:pStyle w:val="Compact"/>
              <w:jc w:val="left"/>
            </w:pPr>
            <w:r>
              <w:t xml:space="preserve">1T26</w:t>
            </w:r>
          </w:p>
        </w:tc>
        <w:tc>
          <w:tcPr/>
          <w:p>
            <w:pPr>
              <w:pStyle w:val="Compact"/>
              <w:jc w:val="left"/>
            </w:pPr>
            <w:r>
              <w:t xml:space="preserve">426</w:t>
            </w:r>
          </w:p>
        </w:tc>
        <w:tc>
          <w:tcPr/>
          <w:p>
            <w:pPr>
              <w:pStyle w:val="Compact"/>
              <w:jc w:val="left"/>
            </w:pPr>
            <w:r>
              <w:t xml:space="preserve">106</w:t>
            </w:r>
          </w:p>
        </w:tc>
        <w:tc>
          <w:tcPr/>
          <w:p>
            <w:pPr>
              <w:pStyle w:val="Compact"/>
              <w:jc w:val="left"/>
            </w:pPr>
            <w:r>
              <w:t xml:space="preserve">532</w:t>
            </w:r>
          </w:p>
        </w:tc>
        <w:tc>
          <w:tcPr/>
          <w:p>
            <w:pPr>
              <w:pStyle w:val="Compact"/>
              <w:jc w:val="left"/>
            </w:pPr>
            <w:r>
              <w:t xml:space="preserve">−5 %</w:t>
            </w:r>
          </w:p>
        </w:tc>
        <w:tc>
          <w:tcPr/>
          <w:p>
            <w:pPr>
              <w:pStyle w:val="Compact"/>
              <w:jc w:val="left"/>
            </w:pPr>
            <w:r>
              <w:t xml:space="preserve">533</w:t>
            </w:r>
          </w:p>
        </w:tc>
      </w:tr>
      <w:tr>
        <w:tc>
          <w:tcPr/>
          <w:p>
            <w:pPr>
              <w:pStyle w:val="Compact"/>
              <w:jc w:val="left"/>
            </w:pPr>
            <w:r>
              <w:t xml:space="preserve">2T26</w:t>
            </w:r>
          </w:p>
        </w:tc>
        <w:tc>
          <w:tcPr/>
          <w:p>
            <w:pPr>
              <w:pStyle w:val="Compact"/>
              <w:jc w:val="left"/>
            </w:pPr>
            <w:r>
              <w:t xml:space="preserve">528</w:t>
            </w:r>
          </w:p>
        </w:tc>
        <w:tc>
          <w:tcPr/>
          <w:p>
            <w:pPr>
              <w:pStyle w:val="Compact"/>
              <w:jc w:val="left"/>
            </w:pPr>
            <w:r>
              <w:t xml:space="preserve">127</w:t>
            </w:r>
          </w:p>
        </w:tc>
        <w:tc>
          <w:tcPr/>
          <w:p>
            <w:pPr>
              <w:pStyle w:val="Compact"/>
              <w:jc w:val="left"/>
            </w:pPr>
            <w:r>
              <w:t xml:space="preserve">655</w:t>
            </w:r>
          </w:p>
        </w:tc>
        <w:tc>
          <w:tcPr/>
          <w:p>
            <w:pPr>
              <w:pStyle w:val="Compact"/>
              <w:jc w:val="left"/>
            </w:pPr>
            <w:r>
              <w:t xml:space="preserve">17 %</w:t>
            </w:r>
          </w:p>
        </w:tc>
        <w:tc>
          <w:tcPr/>
          <w:p>
            <w:pPr>
              <w:pStyle w:val="Compact"/>
              <w:jc w:val="left"/>
            </w:pPr>
            <w:r>
              <w:t xml:space="preserve">702</w:t>
            </w:r>
          </w:p>
        </w:tc>
      </w:tr>
    </w:tbl>
    <w:p>
      <w:pPr>
        <w:pStyle w:val="BodyText"/>
      </w:pPr>
      <w:r>
        <w:t xml:space="preserve">Fuentes: [1][2][3][4][5][6].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Ejercicio</w:t>
            </w:r>
          </w:p>
        </w:tc>
        <w:tc>
          <w:tcPr/>
          <w:p>
            <w:pPr>
              <w:pStyle w:val="Compact"/>
              <w:jc w:val="left"/>
            </w:pPr>
            <w:r>
              <w:t xml:space="preserve">Ingresos totales (M SEK)</w:t>
            </w:r>
          </w:p>
        </w:tc>
        <w:tc>
          <w:tcPr/>
          <w:p>
            <w:pPr>
              <w:pStyle w:val="Compact"/>
              <w:jc w:val="left"/>
            </w:pPr>
            <w:r>
              <w:t xml:space="preserve">Crec.</w:t>
            </w:r>
          </w:p>
        </w:tc>
        <w:tc>
          <w:tcPr/>
          <w:p>
            <w:pPr>
              <w:pStyle w:val="Compact"/>
              <w:jc w:val="left"/>
            </w:pPr>
            <w:r>
              <w:t xml:space="preserve">Primera guía</w:t>
            </w:r>
          </w:p>
        </w:tc>
        <w:tc>
          <w:tcPr/>
          <w:p>
            <w:pPr>
              <w:pStyle w:val="Compact"/>
              <w:jc w:val="left"/>
            </w:pPr>
            <w:r>
              <w:t xml:space="preserve">Guía final</w:t>
            </w:r>
          </w:p>
        </w:tc>
      </w:tr>
      <w:tr>
        <w:tc>
          <w:tcPr/>
          <w:p>
            <w:pPr>
              <w:pStyle w:val="Compact"/>
              <w:jc w:val="left"/>
            </w:pPr>
            <w:r>
              <w:t xml:space="preserve">2024</w:t>
            </w:r>
          </w:p>
        </w:tc>
        <w:tc>
          <w:tcPr/>
          <w:p>
            <w:pPr>
              <w:pStyle w:val="Compact"/>
              <w:jc w:val="left"/>
            </w:pPr>
            <w:r>
              <w:t xml:space="preserve">1.868</w:t>
            </w:r>
          </w:p>
        </w:tc>
        <w:tc>
          <w:tcPr/>
          <w:p>
            <w:pPr>
              <w:pStyle w:val="Compact"/>
              <w:jc w:val="left"/>
            </w:pPr>
            <w:r>
              <w:t xml:space="preserve">9 %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2.265</w:t>
            </w:r>
          </w:p>
        </w:tc>
        <w:tc>
          <w:tcPr/>
          <w:p>
            <w:pPr>
              <w:pStyle w:val="Compact"/>
              <w:jc w:val="left"/>
            </w:pPr>
            <w:r>
              <w:t xml:space="preserve">21 %</w:t>
            </w:r>
          </w:p>
        </w:tc>
        <w:tc>
          <w:tcPr/>
          <w:p>
            <w:pPr>
              <w:pStyle w:val="Compact"/>
              <w:jc w:val="left"/>
            </w:pPr>
            <w:r>
              <w:t xml:space="preserve">2.700-3.000</w:t>
            </w:r>
          </w:p>
        </w:tc>
        <w:tc>
          <w:tcPr/>
          <w:p>
            <w:pPr>
              <w:pStyle w:val="Compact"/>
              <w:jc w:val="left"/>
            </w:pPr>
            <w:r>
              <w:t xml:space="preserve">2.300-2.600 (recortada)</w:t>
            </w:r>
          </w:p>
        </w:tc>
      </w:tr>
      <w:tr>
        <w:tc>
          <w:tcPr/>
          <w:p>
            <w:pPr>
              <w:pStyle w:val="Compact"/>
              <w:jc w:val="left"/>
            </w:pPr>
            <w:r>
              <w:t xml:space="preserve">2026 (guía)</w:t>
            </w:r>
          </w:p>
        </w:tc>
        <w:tc>
          <w:tcPr/>
          <w:p>
            <w:pPr>
              <w:pStyle w:val="Compact"/>
              <w:jc w:val="left"/>
            </w:pPr>
            <w:r>
              <w:t xml:space="preserve">2.600-2.900</w:t>
            </w:r>
          </w:p>
        </w:tc>
        <w:tc>
          <w:tcPr/>
          <w:p>
            <w:pPr>
              <w:pStyle w:val="Compact"/>
              <w:jc w:val="left"/>
            </w:pPr>
            <w:r>
              <w:t xml:space="preserve">21 %</w:t>
            </w:r>
          </w:p>
        </w:tc>
        <w:tc>
          <w:tcPr/>
          <w:p>
            <w:pPr>
              <w:pStyle w:val="Compact"/>
              <w:jc w:val="left"/>
            </w:pPr>
            <w:r>
              <w:t xml:space="preserve">2.600-2.900</w:t>
            </w:r>
          </w:p>
        </w:tc>
        <w:tc>
          <w:tcPr/>
          <w:p>
            <w:pPr>
              <w:pStyle w:val="Compact"/>
              <w:jc w:val="left"/>
            </w:pPr>
            <w:r>
              <w:t xml:space="preserve">reiterada dos veces</w:t>
            </w:r>
          </w:p>
        </w:tc>
      </w:tr>
    </w:tbl>
    <w:p>
      <w:pPr>
        <w:numPr>
          <w:ilvl w:val="0"/>
          <w:numId w:val="1003"/>
        </w:numPr>
        <w:pStyle w:val="Compact"/>
      </w:pPr>
      <w:r>
        <w:rPr>
          <w:bCs/>
          <w:b/>
        </w:rPr>
        <w:t xml:space="preserve">Ventas recurrentes de 12 meses</w:t>
      </w:r>
      <w:r>
        <w:t xml:space="preserve">:</w:t>
      </w:r>
      <w:r>
        <w:t xml:space="preserve"> </w:t>
      </w:r>
      <w:r>
        <w:rPr>
          <w:bCs/>
          <w:b/>
        </w:rPr>
        <w:t xml:space="preserve">2.218 M, +3,2 %</w:t>
      </w:r>
      <w:r>
        <w:t xml:space="preserve">.</w:t>
      </w:r>
      <w:r>
        <w:t xml:space="preserve"> </w:t>
      </w:r>
      <w:r>
        <w:rPr>
          <w:bCs/>
          <w:b/>
        </w:rPr>
        <w:t xml:space="preserve">CAGR propio a 2 años: 19,4 %</w:t>
      </w:r>
      <w:r>
        <w:t xml:space="preserve">.</w:t>
      </w:r>
      <w:r>
        <w:t xml:space="preserve"> </w:t>
      </w:r>
      <w:r>
        <w:rPr>
          <w:bCs/>
          <w:b/>
        </w:rPr>
        <w:t xml:space="preserve">Aceleración: +11,4 puntos</w:t>
      </w:r>
      <w:r>
        <w:t xml:space="preserve"> </w:t>
      </w:r>
      <w:r>
        <w:t xml:space="preserve">(el 2T26 frente a la media de los cuatro anteriores).</w:t>
      </w:r>
    </w:p>
    <w:p>
      <w:pPr>
        <w:numPr>
          <w:ilvl w:val="0"/>
          <w:numId w:val="1003"/>
        </w:numPr>
        <w:pStyle w:val="Compact"/>
      </w:pPr>
      <w:r>
        <w:rPr>
          <w:bCs/>
          <w:b/>
        </w:rPr>
        <w:t xml:space="preserve">Por qué 2025 fue flojo</w:t>
      </w:r>
      <w:r>
        <w:t xml:space="preserve">: el Reino Unido retrasó la financiación del tratamiento, el cambio de distribuidor obligó a recomprar inventario (93 M en el 4T25) y la corona se apreció mucho (a tipo constante 2025 creció un 30 %, no un 21 %). En Australia faltan médicos que receten [1][3].</w:t>
      </w:r>
    </w:p>
    <w:p>
      <w:pPr>
        <w:numPr>
          <w:ilvl w:val="0"/>
          <w:numId w:val="1003"/>
        </w:numPr>
        <w:pStyle w:val="Compact"/>
      </w:pPr>
      <w:r>
        <w:rPr>
          <w:bCs/>
          <w:b/>
        </w:rPr>
        <w:t xml:space="preserve">Guía (para v9)</w:t>
      </w:r>
      <w:r>
        <w:t xml:space="preserve">:</w:t>
      </w:r>
      <w:r>
        <w:t xml:space="preserve"> </w:t>
      </w:r>
      <w:r>
        <w:rPr>
          <w:rStyle w:val="VerbatimChar"/>
        </w:rPr>
        <w:t xml:space="preserve">guia_12m_pct</w:t>
      </w:r>
      <w:r>
        <w:t xml:space="preserve"> </w:t>
      </w:r>
      <w:r>
        <w:t xml:space="preserve">= 51,4 % (la guía implica 1.561 M en el 2S26 frente a 1.031 M del 2S25, con el hito de ventas de Braeburn dentro) y</w:t>
      </w:r>
      <w:r>
        <w:t xml:space="preserve"> </w:t>
      </w:r>
      <w:r>
        <w:rPr>
          <w:rStyle w:val="VerbatimChar"/>
        </w:rPr>
        <w:t xml:space="preserve">exceso_guia_pp</w:t>
      </w:r>
      <w:r>
        <w:t xml:space="preserve"> </w:t>
      </w:r>
      <w:r>
        <w:t xml:space="preserve">= −31,3 puntos (2025 creció un 21 % cuando la primera guía decía 53 %). Partida v9 = 20,1 %, por encima de la mecánica (14,8 %): no recorta. Sin hito, el 2S26 recurrente que estimo es de ~1.395 M, un 35 % más.</w:t>
      </w:r>
    </w:p>
    <w:p>
      <w:pPr>
        <w:numPr>
          <w:ilvl w:val="0"/>
          <w:numId w:val="1003"/>
        </w:numPr>
        <w:pStyle w:val="Compact"/>
      </w:pPr>
      <w:r>
        <w:rPr>
          <w:bCs/>
          <w:b/>
        </w:rPr>
        <w:t xml:space="preserve">Retención</w:t>
      </w:r>
      <w:r>
        <w:t xml:space="preserve">: no aplica (no es software).</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en el ejercicio objetivo: ~15.700 M SEK</w:t>
      </w:r>
      <w:r>
        <w:t xml:space="preserve"> </w:t>
      </w:r>
      <w:r>
        <w:t xml:space="preserve">(estimación propia, con partes de memoria): buprenorfina inyectable fuera de EE. UU. ~3.800 M, regalías sobre el segmento de EE. UU. ~860 M y acromegalia en EE. UU. y Europa ~11.000 M. Penetración 14 %. Fuera quedan los tumores neuroendocrinos (si SORENTO sale bien, el mercado se multiplica) y la obesidad.</w:t>
      </w:r>
    </w:p>
    <w:p>
      <w:pPr>
        <w:numPr>
          <w:ilvl w:val="0"/>
          <w:numId w:val="1004"/>
        </w:numPr>
        <w:pStyle w:val="Compact"/>
      </w:pPr>
      <w:r>
        <w:rPr>
          <w:bCs/>
          <w:b/>
        </w:rPr>
        <w:t xml:space="preserve">Rivales</w:t>
      </w:r>
      <w:r>
        <w:t xml:space="preserve">: Sublocade (Indivior) en buprenorfina inyectable, que se retira de Australia a finales de 2026; la pastilla diaria y la metadona, que son el 90 % del mercado. En acromegalia, Sandostatin LAR, Somatuline, Mycapssa y Signifor [23, de memoria]; Oczyesa es la única autoinyectable mensual a temperatura ambiente.</w:t>
      </w:r>
    </w:p>
    <w:p>
      <w:pPr>
        <w:numPr>
          <w:ilvl w:val="0"/>
          <w:numId w:val="1004"/>
        </w:numPr>
        <w:pStyle w:val="Compact"/>
      </w:pPr>
      <w:r>
        <w:rPr>
          <w:bCs/>
          <w:b/>
        </w:rPr>
        <w:t xml:space="preserve">Por qué gana</w:t>
      </w:r>
      <w:r>
        <w:t xml:space="preserve">: menos visitas y menos desvío del fármaco, que los sistemas públicos valoran; las prisiones y los centros de tratamiento son grandes compradores [1].</w:t>
      </w:r>
    </w:p>
    <w:p>
      <w:pPr>
        <w:numPr>
          <w:ilvl w:val="0"/>
          <w:numId w:val="1004"/>
        </w:numPr>
        <w:pStyle w:val="Compact"/>
      </w:pPr>
      <w:r>
        <w:rPr>
          <w:bCs/>
          <w:b/>
        </w:rPr>
        <w:t xml:space="preserve">Riesgo de la IA: bajo.</w:t>
      </w:r>
      <w:r>
        <w:t xml:space="preserve"> </w:t>
      </w:r>
      <w:r>
        <w:t xml:space="preserve">Razones: (1) vende fármacos inyectables aprobados por reguladores, que la IA no sustituye; (2) su ventaja es una formulación física patentada y fábricas validadas, no software ni información; (3) sus clientes son sistemas de salud y pacientes, no empresas que puedan automatizar la compra. A largo plazo la IA puede acelerar a rivales que diseñen formulaciones de liberación prolongada, pero los ensayos clínicos y la aprobación siguen marcando el ritmo. Si acaso, la IA ayuda a su socio Lilly a crear más moléculas que podrían usar FluidCrystal.</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Sí</w:t>
            </w:r>
          </w:p>
        </w:tc>
        <w:tc>
          <w:tcPr/>
          <w:p>
            <w:pPr>
              <w:pStyle w:val="Compact"/>
              <w:jc w:val="left"/>
            </w:pPr>
            <w:r>
              <w:t xml:space="preserve">El 2T batió al consenso un 10 % en ingresos; Pareto sube a 815, Jefferies a 830 y Nordea a 950 SEK en julio-octubre</w:t>
            </w:r>
          </w:p>
        </w:tc>
        <w:tc>
          <w:tcPr/>
          <w:p>
            <w:pPr>
              <w:pStyle w:val="Compact"/>
              <w:jc w:val="left"/>
            </w:pPr>
            <w:r>
              <w:t xml:space="preserve">[8][13][14][15]</w:t>
            </w:r>
          </w:p>
        </w:tc>
      </w:tr>
      <w:tr>
        <w:tc>
          <w:tcPr/>
          <w:p>
            <w:pPr>
              <w:pStyle w:val="Compact"/>
              <w:jc w:val="left"/>
            </w:pPr>
            <w:r>
              <w:t xml:space="preserve">2. Precio sobre la media de 200 sesiones</w:t>
            </w:r>
          </w:p>
        </w:tc>
        <w:tc>
          <w:tcPr/>
          <w:p>
            <w:pPr>
              <w:pStyle w:val="Compact"/>
              <w:jc w:val="left"/>
            </w:pPr>
            <w:r>
              <w:t xml:space="preserve">Sí</w:t>
            </w:r>
          </w:p>
        </w:tc>
        <w:tc>
          <w:tcPr/>
          <w:p>
            <w:pPr>
              <w:pStyle w:val="Compact"/>
              <w:jc w:val="left"/>
            </w:pPr>
            <w:r>
              <w:t xml:space="preserve">628 frente a 573, y la media empieza a subir desde mediados de septiembre (giro todavía débil)</w:t>
            </w:r>
          </w:p>
        </w:tc>
        <w:tc>
          <w:tcPr/>
          <w:p>
            <w:pPr>
              <w:pStyle w:val="Compact"/>
              <w:jc w:val="left"/>
            </w:pPr>
            <w:r>
              <w:t xml:space="preserve">[9]</w:t>
            </w:r>
          </w:p>
        </w:tc>
      </w:tr>
      <w:tr>
        <w:tc>
          <w:tcPr/>
          <w:p>
            <w:pPr>
              <w:pStyle w:val="Compact"/>
              <w:jc w:val="left"/>
            </w:pPr>
            <w:r>
              <w:t xml:space="preserve">3. Fuerza relativa a 6 meses</w:t>
            </w:r>
          </w:p>
        </w:tc>
        <w:tc>
          <w:tcPr/>
          <w:p>
            <w:pPr>
              <w:pStyle w:val="Compact"/>
              <w:jc w:val="left"/>
            </w:pPr>
            <w:r>
              <w:t xml:space="preserve">Sí</w:t>
            </w:r>
          </w:p>
        </w:tc>
        <w:tc>
          <w:tcPr/>
          <w:p>
            <w:pPr>
              <w:pStyle w:val="Compact"/>
              <w:jc w:val="left"/>
            </w:pPr>
            <w:r>
              <w:t xml:space="preserve">+21,9 % frente a +4,5 % de la bolsa de Estocolmo</w:t>
            </w:r>
          </w:p>
        </w:tc>
        <w:tc>
          <w:tcPr/>
          <w:p>
            <w:pPr>
              <w:pStyle w:val="Compact"/>
              <w:jc w:val="left"/>
            </w:pPr>
            <w:r>
              <w:t xml:space="preserve">[9]</w:t>
            </w:r>
          </w:p>
        </w:tc>
      </w:tr>
      <w:tr>
        <w:tc>
          <w:tcPr/>
          <w:p>
            <w:pPr>
              <w:pStyle w:val="Compact"/>
              <w:jc w:val="left"/>
            </w:pPr>
            <w:r>
              <w:t xml:space="preserve">4. Mejora de múltiplo ≥ 20 %</w:t>
            </w:r>
          </w:p>
        </w:tc>
        <w:tc>
          <w:tcPr/>
          <w:p>
            <w:pPr>
              <w:pStyle w:val="Compact"/>
              <w:jc w:val="left"/>
            </w:pPr>
            <w:r>
              <w:t xml:space="preserve">Sí</w:t>
            </w:r>
          </w:p>
        </w:tc>
        <w:tc>
          <w:tcPr/>
          <w:p>
            <w:pPr>
              <w:pStyle w:val="Compact"/>
              <w:jc w:val="left"/>
            </w:pPr>
            <w:r>
              <w:t xml:space="preserve">EV/EBITDA recurrente NTM de ~21,7x en el mínimo de marzo a 28,6x</w:t>
            </w:r>
          </w:p>
        </w:tc>
        <w:tc>
          <w:tcPr/>
          <w:p>
            <w:pPr>
              <w:pStyle w:val="Compact"/>
              <w:jc w:val="left"/>
            </w:pPr>
            <w:r>
              <w:t xml:space="preserve">[17]</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El margen recurrente del 2T sube 6 puntos, pero casi todo es menos I+D temporal; la empresa sube el gasto en el 2S</w:t>
            </w:r>
          </w:p>
        </w:tc>
        <w:tc>
          <w:tcPr/>
          <w:p>
            <w:pPr>
              <w:pStyle w:val="Compact"/>
              <w:jc w:val="left"/>
            </w:pPr>
            <w:r>
              <w:t xml:space="preserve">[1]</w:t>
            </w:r>
          </w:p>
        </w:tc>
      </w:tr>
      <w:tr>
        <w:tc>
          <w:tcPr/>
          <w:p>
            <w:pPr>
              <w:pStyle w:val="Compact"/>
              <w:jc w:val="left"/>
            </w:pPr>
            <w:r>
              <w:t xml:space="preserve">6. Sentimiento mejorando</w:t>
            </w:r>
          </w:p>
        </w:tc>
        <w:tc>
          <w:tcPr/>
          <w:p>
            <w:pPr>
              <w:pStyle w:val="Compact"/>
              <w:jc w:val="left"/>
            </w:pPr>
            <w:r>
              <w:t xml:space="preserve">Sí</w:t>
            </w:r>
          </w:p>
        </w:tc>
        <w:tc>
          <w:tcPr/>
          <w:p>
            <w:pPr>
              <w:pStyle w:val="Compact"/>
              <w:jc w:val="left"/>
            </w:pPr>
            <w:r>
              <w:t xml:space="preserve">Del −24 % del 12-feb y la carta de rechazo de junio al +17 % con el 2T; 7 de 7 analistas dicen comprar</w:t>
            </w:r>
          </w:p>
        </w:tc>
        <w:tc>
          <w:tcPr/>
          <w:p>
            <w:pPr>
              <w:pStyle w:val="Compact"/>
              <w:jc w:val="left"/>
            </w:pPr>
            <w:r>
              <w:t xml:space="preserve">[9][12]</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Compras simbólicas de dos consejeras en febrero; venta del director comercial en agosto</w:t>
            </w:r>
          </w:p>
        </w:tc>
        <w:tc>
          <w:tcPr/>
          <w:p>
            <w:pPr>
              <w:pStyle w:val="Compact"/>
              <w:jc w:val="left"/>
            </w:pPr>
            <w:r>
              <w:t xml:space="preserve">[18]</w:t>
            </w:r>
          </w:p>
        </w:tc>
      </w:tr>
      <w:tr>
        <w:tc>
          <w:tcPr/>
          <w:p>
            <w:pPr>
              <w:pStyle w:val="Compact"/>
              <w:jc w:val="left"/>
            </w:pPr>
            <w:r>
              <w:t xml:space="preserve">8. Catalizador en 6 meses</w:t>
            </w:r>
          </w:p>
        </w:tc>
        <w:tc>
          <w:tcPr/>
          <w:p>
            <w:pPr>
              <w:pStyle w:val="Compact"/>
              <w:jc w:val="left"/>
            </w:pPr>
            <w:r>
              <w:t xml:space="preserve">Sí</w:t>
            </w:r>
          </w:p>
        </w:tc>
        <w:tc>
          <w:tcPr/>
          <w:p>
            <w:pPr>
              <w:pStyle w:val="Compact"/>
              <w:jc w:val="left"/>
            </w:pPr>
            <w:r>
              <w:t xml:space="preserve">3T el 5-nov, SORENTO en el 4T, FDA el 18-dic, fase 2b de CAM2056</w:t>
            </w:r>
          </w:p>
        </w:tc>
        <w:tc>
          <w:tcPr/>
          <w:p>
            <w:pPr>
              <w:pStyle w:val="Compact"/>
              <w:jc w:val="left"/>
            </w:pPr>
            <w:r>
              <w:t xml:space="preserve">[1][20]</w:t>
            </w:r>
          </w:p>
        </w:tc>
      </w:tr>
    </w:tbl>
    <w:p>
      <w:pPr>
        <w:pStyle w:val="BodyText"/>
      </w:pPr>
      <w:r>
        <w:rPr>
          <w:bCs/>
          <w:b/>
        </w:rPr>
        <w:t xml:space="preserve">Euforia: no</w:t>
      </w:r>
      <w:r>
        <w:t xml:space="preserve"> </w:t>
      </w:r>
      <w:r>
        <w:t xml:space="preserve">(la acción baja un 10 % en 12 meses y el EV/beneficio bruto es de 12,7).</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 93 %</w:t>
      </w:r>
      <w:r>
        <w:t xml:space="preserve">: las regalías no tienen coste y el fármaco es barato de fabricar.</w:t>
      </w:r>
    </w:p>
    <w:p>
      <w:pPr>
        <w:numPr>
          <w:ilvl w:val="0"/>
          <w:numId w:val="1005"/>
        </w:numPr>
        <w:pStyle w:val="Compact"/>
      </w:pPr>
      <w:r>
        <w:rPr>
          <w:bCs/>
          <w:b/>
        </w:rPr>
        <w:t xml:space="preserve">FCF recurrente de 12 meses ~609 M (27,5 %)</w:t>
      </w:r>
      <w:r>
        <w:t xml:space="preserve">.</w:t>
      </w:r>
      <w:r>
        <w:t xml:space="preserve"> </w:t>
      </w:r>
      <w:r>
        <w:rPr>
          <w:bCs/>
          <w:b/>
        </w:rPr>
        <w:t xml:space="preserve">Regla del 40: 30,7</w:t>
      </w:r>
      <w:r>
        <w:t xml:space="preserve"> </w:t>
      </w:r>
      <w:r>
        <w:t xml:space="preserve">(3,2 + 27,5), floja por el mal año de ventas.</w:t>
      </w:r>
    </w:p>
    <w:p>
      <w:pPr>
        <w:numPr>
          <w:ilvl w:val="0"/>
          <w:numId w:val="1005"/>
        </w:numPr>
        <w:pStyle w:val="Compact"/>
      </w:pPr>
      <w:r>
        <w:rPr>
          <w:bCs/>
          <w:b/>
        </w:rPr>
        <w:t xml:space="preserve">Camino</w:t>
      </w:r>
      <w:r>
        <w:t xml:space="preserve">: ya es rentable (beneficio neto de 736 M en 2025). La guía 2026 de resultado operativo (900-1.200 M) incluye 200 M más para preparar EE. UU. y 150 M más de I+D: el margen no subirá mucho este año.</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4.069 M SEK, sin préstamos</w:t>
      </w:r>
      <w:r>
        <w:t xml:space="preserve"> </w:t>
      </w:r>
      <w:r>
        <w:t xml:space="preserve">(solo 108 M de arrendamientos) [1]. Pista: FCF positivo.</w:t>
      </w:r>
    </w:p>
    <w:p>
      <w:pPr>
        <w:numPr>
          <w:ilvl w:val="0"/>
          <w:numId w:val="1006"/>
        </w:numPr>
        <w:pStyle w:val="Compact"/>
      </w:pPr>
      <w:r>
        <w:rPr>
          <w:bCs/>
          <w:b/>
        </w:rPr>
        <w:t xml:space="preserve">Dilución</w:t>
      </w:r>
      <w:r>
        <w:t xml:space="preserve">: +1,3 % en 12 meses por opciones de empleados; los planes vivos pueden sumar como mucho un 1,6 %. La ampliación de 2024 ya está en la caja.</w:t>
      </w:r>
    </w:p>
    <w:p>
      <w:pPr>
        <w:numPr>
          <w:ilvl w:val="0"/>
          <w:numId w:val="1006"/>
        </w:numPr>
        <w:pStyle w:val="Compact"/>
      </w:pPr>
      <w:r>
        <w:rPr>
          <w:bCs/>
          <w:b/>
        </w:rPr>
        <w:t xml:space="preserve">Pagos en acciones: 1,8 % de las ventas</w:t>
      </w:r>
      <w:r>
        <w:t xml:space="preserve">, muy por debajo del 15 % que el método marca en rojo.</w:t>
      </w:r>
    </w:p>
    <w:p>
      <w:pPr>
        <w:numPr>
          <w:ilvl w:val="0"/>
          <w:numId w:val="1006"/>
        </w:numPr>
        <w:pStyle w:val="Compact"/>
      </w:pPr>
      <w:r>
        <w:rPr>
          <w:bCs/>
          <w:b/>
        </w:rPr>
        <w:t xml:space="preserve">Sin dividendo</w:t>
      </w:r>
      <w:r>
        <w:t xml:space="preserve">: la caja se guarda para lanzamientos y compras de negocios.</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Fredrik Tiberg</w:t>
      </w:r>
      <w:r>
        <w:t xml:space="preserve">, científico fundador y consejero delegado, con el 2,6 %; Sandberg Development tiene el 30,2 % [19].</w:t>
      </w:r>
    </w:p>
    <w:p>
      <w:pPr>
        <w:numPr>
          <w:ilvl w:val="0"/>
          <w:numId w:val="1007"/>
        </w:numPr>
        <w:pStyle w:val="Compact"/>
      </w:pPr>
      <w:r>
        <w:rPr>
          <w:bCs/>
          <w:b/>
        </w:rPr>
        <w:t xml:space="preserve">Historial 2/5</w:t>
      </w:r>
      <w:r>
        <w:t xml:space="preserve">: en 2025 recortó la guía y acabó por debajo incluso de la recortada; el hito de Braeburn se retrasó un año; CAM2029 lleva dos cartas de rechazo de la FDA, las dos por el mismo fabricante externo [3][20]. En 2026 mejora: el 2T batió al consenso y la guía se mantiene.</w:t>
      </w:r>
    </w:p>
    <w:p>
      <w:pPr>
        <w:numPr>
          <w:ilvl w:val="0"/>
          <w:numId w:val="1007"/>
        </w:numPr>
        <w:pStyle w:val="Compact"/>
      </w:pPr>
      <w:r>
        <w:rPr>
          <w:bCs/>
          <w:b/>
        </w:rPr>
        <w:t xml:space="preserve">Dirección 4/5</w:t>
      </w:r>
      <w:r>
        <w:t xml:space="preserve">: buenos acuerdos de licencia (Lilly), caja sin deuda, sin ventas fuertes de directivos ni dilución relevante. Le resta la dependencia de un fabricante que ha fallado dos inspecciones.</w:t>
      </w:r>
    </w:p>
    <w:bookmarkEnd w:id="27"/>
    <w:bookmarkStart w:id="28" w:name="valoración"/>
    <w:p>
      <w:pPr>
        <w:pStyle w:val="Heading2"/>
      </w:pPr>
      <w:r>
        <w:t xml:space="preserve">9. Valoración</w:t>
      </w:r>
    </w:p>
    <w:p>
      <w:pPr>
        <w:pStyle w:val="FirstParagraph"/>
      </w:pPr>
      <w:r>
        <w:rPr>
          <w:bCs/>
          <w:b/>
        </w:rPr>
        <w:t xml:space="preserve">Método</w:t>
      </w:r>
      <w:r>
        <w:t xml:space="preserve">: EV/EBITDA recurrente de los 12 meses siguientes. EV hoy 33.468 M SEK (628 × 59,6 M de acciones − 4.069 de caja + 108 de arrendamientos); EBITDA recurrente NTM ~1.170 M (guía del 2S26 sin el hito de Braeburn y consenso del 1S27) →</w:t>
      </w:r>
      <w:r>
        <w:t xml:space="preserve"> </w:t>
      </w:r>
      <w:r>
        <w:rPr>
          <w:bCs/>
          <w:b/>
        </w:rPr>
        <w:t xml:space="preserve">28,6x</w:t>
      </w:r>
      <w:r>
        <w:t xml:space="preserve"> </w:t>
      </w:r>
      <w:r>
        <w:t xml:space="preserve">[17].</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Caso</w:t>
            </w:r>
          </w:p>
        </w:tc>
        <w:tc>
          <w:tcPr/>
          <w:p>
            <w:pPr>
              <w:pStyle w:val="Compact"/>
              <w:jc w:val="left"/>
            </w:pPr>
            <w:r>
              <w:t xml:space="preserve">Probabilidad</w:t>
            </w:r>
          </w:p>
        </w:tc>
        <w:tc>
          <w:tcPr/>
          <w:p>
            <w:pPr>
              <w:pStyle w:val="Compact"/>
              <w:jc w:val="left"/>
            </w:pPr>
            <w:r>
              <w:t xml:space="preserve">Ventas 12 m a jun-2028 (M SEK)</w:t>
            </w:r>
          </w:p>
        </w:tc>
        <w:tc>
          <w:tcPr/>
          <w:p>
            <w:pPr>
              <w:pStyle w:val="Compact"/>
              <w:jc w:val="left"/>
            </w:pPr>
            <w:r>
              <w:t xml:space="preserve">Múltiplo</w:t>
            </w:r>
          </w:p>
        </w:tc>
        <w:tc>
          <w:tcPr/>
          <w:p>
            <w:pPr>
              <w:pStyle w:val="Compact"/>
              <w:jc w:val="left"/>
            </w:pPr>
            <w:r>
              <w:t xml:space="preserve">Precio</w:t>
            </w:r>
          </w:p>
        </w:tc>
        <w:tc>
          <w:tcPr/>
          <w:p>
            <w:pPr>
              <w:pStyle w:val="Compact"/>
              <w:jc w:val="left"/>
            </w:pPr>
            <w:r>
              <w:t xml:space="preserve">Rentabilidad</w:t>
            </w:r>
          </w:p>
        </w:tc>
      </w:tr>
      <w:tr>
        <w:tc>
          <w:tcPr/>
          <w:p>
            <w:pPr>
              <w:pStyle w:val="Compact"/>
              <w:jc w:val="left"/>
            </w:pPr>
            <w:r>
              <w:t xml:space="preserve">Bajista</w:t>
            </w:r>
          </w:p>
        </w:tc>
        <w:tc>
          <w:tcPr/>
          <w:p>
            <w:pPr>
              <w:pStyle w:val="Compact"/>
              <w:jc w:val="left"/>
            </w:pPr>
            <w:r>
              <w:t xml:space="preserve">35 %</w:t>
            </w:r>
          </w:p>
        </w:tc>
        <w:tc>
          <w:tcPr/>
          <w:p>
            <w:pPr>
              <w:pStyle w:val="Compact"/>
              <w:jc w:val="left"/>
            </w:pPr>
            <w:r>
              <w:t xml:space="preserve">2.532</w:t>
            </w:r>
          </w:p>
        </w:tc>
        <w:tc>
          <w:tcPr/>
          <w:p>
            <w:pPr>
              <w:pStyle w:val="Compact"/>
              <w:jc w:val="left"/>
            </w:pPr>
            <w:r>
              <w:t xml:space="preserve">15,2x</w:t>
            </w:r>
          </w:p>
        </w:tc>
        <w:tc>
          <w:tcPr/>
          <w:p>
            <w:pPr>
              <w:pStyle w:val="Compact"/>
              <w:jc w:val="left"/>
            </w:pPr>
            <w:r>
              <w:t xml:space="preserve">328,5</w:t>
            </w:r>
          </w:p>
        </w:tc>
        <w:tc>
          <w:tcPr/>
          <w:p>
            <w:pPr>
              <w:pStyle w:val="Compact"/>
              <w:jc w:val="left"/>
            </w:pPr>
            <w:r>
              <w:t xml:space="preserve">−47,7 %</w:t>
            </w:r>
          </w:p>
        </w:tc>
      </w:tr>
      <w:tr>
        <w:tc>
          <w:tcPr/>
          <w:p>
            <w:pPr>
              <w:pStyle w:val="Compact"/>
              <w:jc w:val="left"/>
            </w:pPr>
            <w:r>
              <w:t xml:space="preserve">Base</w:t>
            </w:r>
          </w:p>
        </w:tc>
        <w:tc>
          <w:tcPr/>
          <w:p>
            <w:pPr>
              <w:pStyle w:val="Compact"/>
              <w:jc w:val="left"/>
            </w:pPr>
            <w:r>
              <w:t xml:space="preserve">50 %</w:t>
            </w:r>
          </w:p>
        </w:tc>
        <w:tc>
          <w:tcPr/>
          <w:p>
            <w:pPr>
              <w:pStyle w:val="Compact"/>
              <w:jc w:val="left"/>
            </w:pPr>
            <w:r>
              <w:t xml:space="preserve">2.867</w:t>
            </w:r>
          </w:p>
        </w:tc>
        <w:tc>
          <w:tcPr/>
          <w:p>
            <w:pPr>
              <w:pStyle w:val="Compact"/>
              <w:jc w:val="left"/>
            </w:pPr>
            <w:r>
              <w:t xml:space="preserve">25,4x</w:t>
            </w:r>
          </w:p>
        </w:tc>
        <w:tc>
          <w:tcPr/>
          <w:p>
            <w:pPr>
              <w:pStyle w:val="Compact"/>
              <w:jc w:val="left"/>
            </w:pPr>
            <w:r>
              <w:t xml:space="preserve">561,7</w:t>
            </w:r>
          </w:p>
        </w:tc>
        <w:tc>
          <w:tcPr/>
          <w:p>
            <w:pPr>
              <w:pStyle w:val="Compact"/>
              <w:jc w:val="left"/>
            </w:pPr>
            <w:r>
              <w:t xml:space="preserve">−10,6 %</w:t>
            </w:r>
          </w:p>
        </w:tc>
      </w:tr>
      <w:tr>
        <w:tc>
          <w:tcPr/>
          <w:p>
            <w:pPr>
              <w:pStyle w:val="Compact"/>
              <w:jc w:val="left"/>
            </w:pPr>
            <w:r>
              <w:t xml:space="preserve">Alcista</w:t>
            </w:r>
          </w:p>
        </w:tc>
        <w:tc>
          <w:tcPr/>
          <w:p>
            <w:pPr>
              <w:pStyle w:val="Compact"/>
              <w:jc w:val="left"/>
            </w:pPr>
            <w:r>
              <w:t xml:space="preserve">15 %</w:t>
            </w:r>
          </w:p>
        </w:tc>
        <w:tc>
          <w:tcPr/>
          <w:p>
            <w:pPr>
              <w:pStyle w:val="Compact"/>
              <w:jc w:val="left"/>
            </w:pPr>
            <w:r>
              <w:t xml:space="preserve">3.006</w:t>
            </w:r>
          </w:p>
        </w:tc>
        <w:tc>
          <w:tcPr/>
          <w:p>
            <w:pPr>
              <w:pStyle w:val="Compact"/>
              <w:jc w:val="left"/>
            </w:pPr>
            <w:r>
              <w:t xml:space="preserve">40,6x</w:t>
            </w:r>
          </w:p>
        </w:tc>
        <w:tc>
          <w:tcPr/>
          <w:p>
            <w:pPr>
              <w:pStyle w:val="Compact"/>
              <w:jc w:val="left"/>
            </w:pPr>
            <w:r>
              <w:t xml:space="preserve">898,1</w:t>
            </w:r>
          </w:p>
        </w:tc>
        <w:tc>
          <w:tcPr/>
          <w:p>
            <w:pPr>
              <w:pStyle w:val="Compact"/>
              <w:jc w:val="left"/>
            </w:pPr>
            <w:r>
              <w:t xml:space="preserve">+43,0 %</w:t>
            </w:r>
          </w:p>
        </w:tc>
      </w:tr>
      <w:tr>
        <w:tc>
          <w:tcPr/>
          <w:p>
            <w:pPr>
              <w:pStyle w:val="Compact"/>
              <w:jc w:val="left"/>
            </w:pPr>
            <w:r>
              <w:rPr>
                <w:bCs/>
                <w:b/>
              </w:rPr>
              <w:t xml:space="preserve">Ponderada</w:t>
            </w:r>
          </w:p>
        </w:tc>
        <w:tc>
          <w:tcPr/>
          <w:p>
            <w:pPr>
              <w:pStyle w:val="Compact"/>
            </w:pPr>
          </w:p>
        </w:tc>
        <w:tc>
          <w:tcPr/>
          <w:p>
            <w:pPr>
              <w:pStyle w:val="Compact"/>
            </w:pPr>
          </w:p>
        </w:tc>
        <w:tc>
          <w:tcPr/>
          <w:p>
            <w:pPr>
              <w:pStyle w:val="Compact"/>
            </w:pPr>
          </w:p>
        </w:tc>
        <w:tc>
          <w:tcPr/>
          <w:p>
            <w:pPr>
              <w:pStyle w:val="Compact"/>
              <w:jc w:val="left"/>
            </w:pPr>
            <w:r>
              <w:rPr>
                <w:bCs/>
                <w:b/>
              </w:rPr>
              <w:t xml:space="preserve">530,5</w:t>
            </w:r>
          </w:p>
        </w:tc>
        <w:tc>
          <w:tcPr/>
          <w:p>
            <w:pPr>
              <w:pStyle w:val="Compact"/>
              <w:jc w:val="left"/>
            </w:pPr>
            <w:r>
              <w:rPr>
                <w:bCs/>
                <w:b/>
              </w:rPr>
              <w:t xml:space="preserve">−15,5 %</w:t>
            </w:r>
          </w:p>
        </w:tc>
      </w:tr>
    </w:tbl>
    <w:p>
      <w:pPr>
        <w:numPr>
          <w:ilvl w:val="0"/>
          <w:numId w:val="1008"/>
        </w:numPr>
        <w:pStyle w:val="Compact"/>
      </w:pPr>
      <w:r>
        <w:rPr>
          <w:bCs/>
          <w:b/>
        </w:rPr>
        <w:t xml:space="preserve">Probabilidades 35/50/15</w:t>
      </w:r>
      <w:r>
        <w:t xml:space="preserve">: depende de un solo producto, la buprenorfina (97 % de los ingresos). El método lo pide así para todos los informes con un producto de más del 70 %.</w:t>
      </w:r>
    </w:p>
    <w:p>
      <w:pPr>
        <w:numPr>
          <w:ilvl w:val="0"/>
          <w:numId w:val="1008"/>
        </w:numPr>
        <w:pStyle w:val="Compact"/>
      </w:pPr>
      <w:r>
        <w:rPr>
          <w:bCs/>
          <w:b/>
        </w:rPr>
        <w:t xml:space="preserve">Por qué sale mal</w:t>
      </w:r>
      <w:r>
        <w:t xml:space="preserve">:</w:t>
      </w:r>
    </w:p>
    <w:p>
      <w:pPr>
        <w:numPr>
          <w:ilvl w:val="1"/>
          <w:numId w:val="1009"/>
        </w:numPr>
        <w:pStyle w:val="Compact"/>
      </w:pPr>
      <w:r>
        <w:rPr>
          <w:bCs/>
          <w:b/>
        </w:rPr>
        <w:t xml:space="preserve">La proyección mecánica es corta</w:t>
      </w:r>
      <w:r>
        <w:t xml:space="preserve">: parte de un crecimiento del 14,8 % (mezcla del +3 % de 12 meses, el +17 % del 2T y el 19 % a 2 años) y llega a 2.867 M en la ventana objetivo, casi lo mismo que yo espero para los próximos 12 meses (~2.850 M). Un 2025 hundido por el Reino Unido y la divisa pesa en la regla.</w:t>
      </w:r>
    </w:p>
    <w:p>
      <w:pPr>
        <w:numPr>
          <w:ilvl w:val="1"/>
          <w:numId w:val="1009"/>
        </w:numPr>
        <w:pStyle w:val="Compact"/>
      </w:pPr>
      <w:r>
        <w:rPr>
          <w:bCs/>
          <w:b/>
        </w:rPr>
        <w:t xml:space="preserve">El múltiplo de hoy ya es alto</w:t>
      </w:r>
      <w:r>
        <w:t xml:space="preserve">: 28,6x frente a 15x de rivales rentables. Aunque está por debajo de su mediana de 3 años (42x), esa mediana es de cuando el beneficio estaba arrancando.</w:t>
      </w:r>
    </w:p>
    <w:p>
      <w:pPr>
        <w:numPr>
          <w:ilvl w:val="0"/>
          <w:numId w:val="1008"/>
        </w:numPr>
        <w:pStyle w:val="Compact"/>
      </w:pPr>
      <w:r>
        <w:rPr>
          <w:bCs/>
          <w:b/>
        </w:rPr>
        <w:t xml:space="preserve">Con mis ventas</w:t>
      </w:r>
      <w:r>
        <w:t xml:space="preserve"> </w:t>
      </w:r>
      <w:r>
        <w:t xml:space="preserve">(bajista 3.020, base 3.470, alcista 3.900) la ponderada sería</w:t>
      </w:r>
      <w:r>
        <w:t xml:space="preserve"> </w:t>
      </w:r>
      <w:r>
        <w:rPr>
          <w:bCs/>
          <w:b/>
        </w:rPr>
        <w:t xml:space="preserve">+3,8 %</w:t>
      </w:r>
      <w:r>
        <w:t xml:space="preserve"> </w:t>
      </w:r>
      <w:r>
        <w:t xml:space="preserve">y el base +8,3 %: Mantener, no Comprar. Para que la regla diera Comprar haría falta un precio por debajo de 505 SEK.</w:t>
      </w:r>
    </w:p>
    <w:p>
      <w:pPr>
        <w:numPr>
          <w:ilvl w:val="0"/>
          <w:numId w:val="1008"/>
        </w:numPr>
        <w:pStyle w:val="Compact"/>
      </w:pPr>
      <w:r>
        <w:rPr>
          <w:bCs/>
          <w:b/>
        </w:rPr>
        <w:t xml:space="preserve">Contraste</w:t>
      </w:r>
      <w:r>
        <w:t xml:space="preserve">: precio objetivo medio de los analistas 798,5 SEK (+27 %; 650-950) [12]. Jefferies cree que un SORENTO positivo subiría la acción un 25-40 % [14]: ese escenario es justo el alcista, y el método solo le da un 15 %.</w:t>
      </w:r>
      <w:r>
        <w:t xml:space="preserve"> </w:t>
      </w:r>
      <w:r>
        <w:rPr>
          <w:bCs/>
          <w:b/>
        </w:rPr>
        <w:t xml:space="preserve">DCF inverso</w:t>
      </w:r>
      <w:r>
        <w:t xml:space="preserve">: el precio pide un 17,1 % anual de crecimiento a 10 años con un 30 % de margen de FCF.</w:t>
      </w:r>
    </w:p>
    <w:p>
      <w:pPr>
        <w:numPr>
          <w:ilvl w:val="0"/>
          <w:numId w:val="1008"/>
        </w:numPr>
        <w:pStyle w:val="Compact"/>
      </w:pPr>
      <w:r>
        <w:rPr>
          <w:bCs/>
          <w:b/>
        </w:rPr>
        <w:t xml:space="preserve">Lo que el método no cuenta</w:t>
      </w:r>
      <w:r>
        <w:t xml:space="preserve">: los hitos de socios (Braeburn este año; Lilly hasta 870 M USD si sus fármacos avanzan) y el valor de CAM2029 en tumores neuroendocrinos. Son la razón de los objetivos de los analistas, pero dependen de ensayos y aprobaciones.</w:t>
      </w:r>
    </w:p>
    <w:bookmarkEnd w:id="28"/>
    <w:bookmarkStart w:id="29" w:name="foros-y-sentimiento"/>
    <w:p>
      <w:pPr>
        <w:pStyle w:val="Heading2"/>
      </w:pPr>
      <w:r>
        <w:t xml:space="preserve">10. Foros y sentimiento</w:t>
      </w:r>
    </w:p>
    <w:p>
      <w:pPr>
        <w:numPr>
          <w:ilvl w:val="0"/>
          <w:numId w:val="1010"/>
        </w:numPr>
        <w:pStyle w:val="Compact"/>
      </w:pPr>
      <w:r>
        <w:rPr>
          <w:bCs/>
          <w:b/>
        </w:rPr>
        <w:t xml:space="preserve">Analistas</w:t>
      </w:r>
      <w:r>
        <w:t xml:space="preserve">: 7 de 7 recomiendan comprar (6 compra fuerte); Redeye la ve en precio justo (valor 670 SEK) [12][16].</w:t>
      </w:r>
    </w:p>
    <w:p>
      <w:pPr>
        <w:numPr>
          <w:ilvl w:val="0"/>
          <w:numId w:val="1010"/>
        </w:numPr>
        <w:pStyle w:val="Compact"/>
      </w:pPr>
      <w:r>
        <w:rPr>
          <w:bCs/>
          <w:b/>
        </w:rPr>
        <w:t xml:space="preserve">Prensa sueca</w:t>
      </w:r>
      <w:r>
        <w:t xml:space="preserve"> </w:t>
      </w:r>
      <w:r>
        <w:t xml:space="preserve">(EFN, Placera, Börsvärlden): tras el 2T, titulares de «récord de Buvidal» y «SORENTO se acerca»; en mayo, varios bancos bajaron objetivos por la decepción de Australia [8][16].</w:t>
      </w:r>
    </w:p>
    <w:p>
      <w:pPr>
        <w:numPr>
          <w:ilvl w:val="0"/>
          <w:numId w:val="1010"/>
        </w:numPr>
        <w:pStyle w:val="Compact"/>
      </w:pPr>
      <w:r>
        <w:rPr>
          <w:bCs/>
          <w:b/>
        </w:rPr>
        <w:t xml:space="preserve">Foros</w:t>
      </w:r>
      <w:r>
        <w:t xml:space="preserve">: sin hilos recientes en Reddit, Rankia ni Investing.com ES; StockTwits no cubre la acción. El foro de Avanza/Placera no se pudo leer.</w:t>
      </w:r>
    </w:p>
    <w:p>
      <w:pPr>
        <w:numPr>
          <w:ilvl w:val="0"/>
          <w:numId w:val="1010"/>
        </w:numPr>
        <w:pStyle w:val="Compact"/>
      </w:pPr>
      <w:r>
        <w:rPr>
          <w:bCs/>
          <w:b/>
        </w:rPr>
        <w:t xml:space="preserve">Contraste con los datos</w:t>
      </w:r>
      <w:r>
        <w:t xml:space="preserve">: el ánimo mejora con base (2T fuerte, salida de Sublocade de Australia), pero la acción todavía no recupera el nivel de hace un año. No hay euforia: hay espera de SORENTO.</w:t>
      </w:r>
    </w:p>
    <w:bookmarkEnd w:id="29"/>
    <w:bookmarkStart w:id="30" w:name="riesgos-y-qué-rompería-la-tesis"/>
    <w:p>
      <w:pPr>
        <w:pStyle w:val="Heading2"/>
      </w:pPr>
      <w:r>
        <w:t xml:space="preserve">11. Riesgos y qué rompería la tesis</w:t>
      </w:r>
    </w:p>
    <w:p>
      <w:pPr>
        <w:pStyle w:val="FirstParagraph"/>
      </w:pPr>
      <w:r>
        <w:rPr>
          <w:bCs/>
          <w:b/>
        </w:rPr>
        <w:t xml:space="preserve">Alertas de robustez del motor (</w:t>
      </w:r>
      <w:r>
        <w:rPr>
          <w:rStyle w:val="VerbatimChar"/>
          <w:bCs/>
          <w:b/>
        </w:rPr>
        <w:t xml:space="preserve">calc.alertas</w:t>
      </w:r>
      <w:r>
        <w:rPr>
          <w:bCs/>
          <w:b/>
        </w:rPr>
        <w:t xml:space="preserve">)</w:t>
      </w:r>
      <w:r>
        <w:t xml:space="preserve">: ninguna con v11. Con v12 (candidata) saltan dos:</w:t>
      </w:r>
      <w:r>
        <w:t xml:space="preserve"> </w:t>
      </w:r>
      <w:r>
        <w:t xml:space="preserve">-</w:t>
      </w:r>
      <w:r>
        <w:t xml:space="preserve"> </w:t>
      </w:r>
      <w:r>
        <w:rPr>
          <w:iCs/>
          <w:i/>
        </w:rPr>
        <w:t xml:space="preserve">Proyección mecánica un 17 % por debajo de la mía</w:t>
      </w:r>
      <w:r>
        <w:t xml:space="preserve">: el motor proyecta casi sin crecimiento en el segundo año porque arrastra el mal 2025.</w:t>
      </w:r>
      <w:r>
        <w:t xml:space="preserve"> </w:t>
      </w:r>
      <w:r>
        <w:rPr>
          <w:bCs/>
          <w:b/>
        </w:rPr>
        <w:t xml:space="preserve">No debilita la señal en el sentido de la venta</w:t>
      </w:r>
      <w:r>
        <w:t xml:space="preserve">: con mis ventas sale Mantener (+3,8 %), tampoco Comprar.</w:t>
      </w:r>
      <w:r>
        <w:t xml:space="preserve"> </w:t>
      </w:r>
      <w:r>
        <w:t xml:space="preserve">-</w:t>
      </w:r>
      <w:r>
        <w:t xml:space="preserve"> </w:t>
      </w:r>
      <w:r>
        <w:rPr>
          <w:iCs/>
          <w:i/>
        </w:rPr>
        <w:t xml:space="preserve">Proyección mecánica muy por debajo del consenso (4.000 M)</w:t>
      </w:r>
      <w:r>
        <w:t xml:space="preserve">: el consenso incluye hitos (Braeburn, Lilly) y yo no; la comparación exagera la distancia. Tampoco cambia la conclusión.</w:t>
      </w:r>
    </w:p>
    <w:p>
      <w:pPr>
        <w:pStyle w:val="BodyText"/>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FRÁGIL, señal robusta Vender</w:t>
      </w:r>
      <w:r>
        <w:t xml:space="preserve">. Cambia a Mantener con mis ventas (+3,8 %) o con pesos 25/50/25 (−6,4 %); nunca a Comprar. Al precio de hoy (635 SEK, objetivo fijo): −16,5 %. Avisos: el objetivo se mueve con el precio (se deja fijo en 530,5 SEK); la proyección mecánica es prudente; bajista del −48 %.</w:t>
      </w:r>
    </w:p>
    <w:p>
      <w:pPr>
        <w:pStyle w:val="BodyText"/>
      </w:pPr>
      <w:r>
        <w:rPr>
          <w:bCs/>
          <w:b/>
        </w:rPr>
        <w:t xml:space="preserve">Riesgos principales</w:t>
      </w:r>
      <w:r>
        <w:t xml:space="preserve">:</w:t>
      </w:r>
      <w:r>
        <w:t xml:space="preserve"> </w:t>
      </w:r>
      <w:r>
        <w:t xml:space="preserve">-</w:t>
      </w:r>
      <w:r>
        <w:t xml:space="preserve"> </w:t>
      </w:r>
      <w:r>
        <w:rPr>
          <w:bCs/>
          <w:b/>
        </w:rPr>
        <w:t xml:space="preserve">Un solo producto</w:t>
      </w:r>
      <w:r>
        <w:t xml:space="preserve">: la buprenorfina es el 97 % de los ingresos; precio, reembolso o un competidor nuevo en Europa la afectarían de lleno.</w:t>
      </w:r>
      <w:r>
        <w:t xml:space="preserve"> </w:t>
      </w:r>
      <w:r>
        <w:t xml:space="preserve">-</w:t>
      </w:r>
      <w:r>
        <w:t xml:space="preserve"> </w:t>
      </w:r>
      <w:r>
        <w:rPr>
          <w:bCs/>
          <w:b/>
        </w:rPr>
        <w:t xml:space="preserve">Fabricante externo</w:t>
      </w:r>
      <w:r>
        <w:t xml:space="preserve">: dos cartas de rechazo de la FDA por la misma planta. Si el 18-dic hay una tercera, Oclaiz se retrasa otra vez.</w:t>
      </w:r>
      <w:r>
        <w:t xml:space="preserve"> </w:t>
      </w:r>
      <w:r>
        <w:t xml:space="preserve">-</w:t>
      </w:r>
      <w:r>
        <w:t xml:space="preserve"> </w:t>
      </w:r>
      <w:r>
        <w:rPr>
          <w:bCs/>
          <w:b/>
        </w:rPr>
        <w:t xml:space="preserve">SORENTO</w:t>
      </w:r>
      <w:r>
        <w:t xml:space="preserve">: si no demuestra ventaja frente al tratamiento actual, se va el mayor valor de la cartera (los analistas le dan mucho peso).</w:t>
      </w:r>
      <w:r>
        <w:t xml:space="preserve"> </w:t>
      </w:r>
      <w:r>
        <w:t xml:space="preserve">-</w:t>
      </w:r>
      <w:r>
        <w:t xml:space="preserve"> </w:t>
      </w:r>
      <w:r>
        <w:rPr>
          <w:bCs/>
          <w:b/>
        </w:rPr>
        <w:t xml:space="preserve">Socio y cliente</w:t>
      </w:r>
      <w:r>
        <w:t xml:space="preserve">: Braeburn es ~22 % de los ingresos de un trimestre; dependen de cómo venda en EE. UU. frente a Sublocade.</w:t>
      </w:r>
      <w:r>
        <w:t xml:space="preserve"> </w:t>
      </w:r>
      <w:r>
        <w:t xml:space="preserve">-</w:t>
      </w:r>
      <w:r>
        <w:t xml:space="preserve"> </w:t>
      </w:r>
      <w:r>
        <w:rPr>
          <w:bCs/>
          <w:b/>
        </w:rPr>
        <w:t xml:space="preserve">Divisa</w:t>
      </w:r>
      <w:r>
        <w:t xml:space="preserve">: vende en euros, libras, dólares australianos y dólares y cuenta en coronas; una corona fuerte resta crecimiento (2025: −9 puntos).</w:t>
      </w:r>
      <w:r>
        <w:t xml:space="preserve"> </w:t>
      </w:r>
      <w:r>
        <w:t xml:space="preserve">-</w:t>
      </w:r>
      <w:r>
        <w:t xml:space="preserve"> </w:t>
      </w:r>
      <w:r>
        <w:rPr>
          <w:bCs/>
          <w:b/>
        </w:rPr>
        <w:t xml:space="preserve">Ejecución</w:t>
      </w:r>
      <w:r>
        <w:t xml:space="preserve">: guía recortada en 2025 y Australia frenada por falta de médicos que receten.</w:t>
      </w:r>
    </w:p>
    <w:p>
      <w:pPr>
        <w:pStyle w:val="BodyText"/>
      </w:pPr>
      <w:r>
        <w:rPr>
          <w:bCs/>
          <w:b/>
        </w:rPr>
        <w:t xml:space="preserve">Qué rompería la tesis (señales de venta concretas)</w:t>
      </w:r>
      <w:r>
        <w:t xml:space="preserve">: dos trimestres seguidos con Buvidal sin crecer; SORENTO negativo; tercera carta de rechazo en EE. UU.; pérdida del socio Braeburn.</w:t>
      </w:r>
      <w:r>
        <w:t xml:space="preserve"> </w:t>
      </w:r>
      <w:r>
        <w:rPr>
          <w:bCs/>
          <w:b/>
        </w:rPr>
        <w:t xml:space="preserve">Qué la haría comprable</w:t>
      </w:r>
      <w:r>
        <w:t xml:space="preserve">: un precio por debajo de 505,3 SEK (el «compra hasta»), o resultados que suban las ventas de los próximos años sin que el precio acompañe.</w:t>
      </w:r>
    </w:p>
    <w:bookmarkEnd w:id="30"/>
    <w:bookmarkStart w:id="31" w:name="catalizadores-con-fecha"/>
    <w:p>
      <w:pPr>
        <w:pStyle w:val="Heading2"/>
      </w:pPr>
      <w:r>
        <w:t xml:space="preserve">12. Catalizadores con fecha</w:t>
      </w:r>
    </w:p>
    <w:p>
      <w:pPr>
        <w:numPr>
          <w:ilvl w:val="0"/>
          <w:numId w:val="1011"/>
        </w:numPr>
        <w:pStyle w:val="Compact"/>
      </w:pPr>
      <w:r>
        <w:t xml:space="preserve">5-nov-2026: resultados del 3T (primer trimestre con la salida de Sublocade anunciada en Australia).</w:t>
      </w:r>
    </w:p>
    <w:p>
      <w:pPr>
        <w:numPr>
          <w:ilvl w:val="0"/>
          <w:numId w:val="1011"/>
        </w:numPr>
        <w:pStyle w:val="Compact"/>
      </w:pPr>
      <w:r>
        <w:t xml:space="preserve">4T 2026: resultados principales de SORENTO (CAM2029 en tumores neuroendocrinos).</w:t>
      </w:r>
    </w:p>
    <w:p>
      <w:pPr>
        <w:numPr>
          <w:ilvl w:val="0"/>
          <w:numId w:val="1011"/>
        </w:numPr>
        <w:pStyle w:val="Compact"/>
      </w:pPr>
      <w:r>
        <w:t xml:space="preserve">18-dic-2026: decisión de la FDA sobre CAM2029 (Oclaiz) en acromegalia.</w:t>
      </w:r>
    </w:p>
    <w:p>
      <w:pPr>
        <w:numPr>
          <w:ilvl w:val="0"/>
          <w:numId w:val="1011"/>
        </w:numPr>
        <w:pStyle w:val="Compact"/>
      </w:pPr>
      <w:r>
        <w:t xml:space="preserve">2S 2026: inicio de la fase 2b de CAM2056 (semaglutida mensual); hito de ventas de Braeburn; decisión sobre la fase 3 en poliquistosis hepática.</w:t>
      </w:r>
    </w:p>
    <w:p>
      <w:pPr>
        <w:numPr>
          <w:ilvl w:val="0"/>
          <w:numId w:val="1011"/>
        </w:numPr>
        <w:pStyle w:val="Compact"/>
      </w:pPr>
      <w:r>
        <w:t xml:space="preserve">Finales de 2026: Sublocade sale de Australia.</w:t>
      </w:r>
    </w:p>
    <w:p>
      <w:pPr>
        <w:numPr>
          <w:ilvl w:val="0"/>
          <w:numId w:val="1011"/>
        </w:numPr>
        <w:pStyle w:val="Compact"/>
      </w:pPr>
      <w:r>
        <w:t xml:space="preserve">2027: lanzamiento de Oclaiz en EE. UU. y Canadá si se aprueba; meta de 100.000 pacientes con Buvidal a final de año.</w:t>
      </w:r>
    </w:p>
    <w:bookmarkEnd w:id="31"/>
    <w:bookmarkStart w:id="32" w:name="encaje-en-cartera"/>
    <w:p>
      <w:pPr>
        <w:pStyle w:val="Heading2"/>
      </w:pPr>
      <w:r>
        <w:t xml:space="preserve">13. Encaje en cartera</w:t>
      </w:r>
    </w:p>
    <w:p>
      <w:pPr>
        <w:numPr>
          <w:ilvl w:val="0"/>
          <w:numId w:val="1012"/>
        </w:numPr>
        <w:pStyle w:val="Compact"/>
      </w:pPr>
      <w:r>
        <w:rPr>
          <w:bCs/>
          <w:b/>
        </w:rPr>
        <w:t xml:space="preserve">No entra.</w:t>
      </w:r>
      <w:r>
        <w:t xml:space="preserve"> </w:t>
      </w:r>
      <w:r>
        <w:t xml:space="preserve">Señal Vender (no comprar): ponderada −15,5 % con el método vigente y −16,5 % al precio actual con el objetivo fijo.</w:t>
      </w:r>
    </w:p>
    <w:p>
      <w:pPr>
        <w:numPr>
          <w:ilvl w:val="0"/>
          <w:numId w:val="1012"/>
        </w:numPr>
        <w:pStyle w:val="Compact"/>
      </w:pPr>
      <w:r>
        <w:rPr>
          <w:bCs/>
          <w:b/>
        </w:rPr>
        <w:t xml:space="preserve">Bolsillo growth lleno</w:t>
      </w:r>
      <w:r>
        <w:t xml:space="preserve"> </w:t>
      </w:r>
      <w:r>
        <w:t xml:space="preserve">(~20 %): Nu (+19 %), Axon (+36 %), Shopify (+18 %), Snowflake (+13 %) y Samsara (+15 %), con v11 al precio actual. Liquidez libre casi nula: solo se podría entrar sustituyendo a una. Camurus no sustituye a ninguna.</w:t>
      </w:r>
    </w:p>
    <w:p>
      <w:pPr>
        <w:numPr>
          <w:ilvl w:val="0"/>
          <w:numId w:val="1012"/>
        </w:numPr>
        <w:pStyle w:val="Compact"/>
      </w:pPr>
      <w:r>
        <w:rPr>
          <w:bCs/>
          <w:b/>
        </w:rPr>
        <w:t xml:space="preserve">Suplentes</w:t>
      </w:r>
      <w:r>
        <w:t xml:space="preserve">: no entra en la lista (MongoDB, Toast, Zscaler, dLocal, Dexcom, argenx, Datadog, Saab, Natera). Va a «No comprar».</w:t>
      </w:r>
    </w:p>
    <w:p>
      <w:pPr>
        <w:numPr>
          <w:ilvl w:val="0"/>
          <w:numId w:val="1012"/>
        </w:numPr>
        <w:pStyle w:val="Compact"/>
      </w:pPr>
      <w:r>
        <w:rPr>
          <w:bCs/>
          <w:b/>
        </w:rPr>
        <w:t xml:space="preserve">Exposición</w:t>
      </w:r>
      <w:r>
        <w:t xml:space="preserve">: sería la segunda empresa sueca del bolsillo junto a Saab (suplente) y aportaría salud europea, que la IA no amenaza, justo lo que buscaba la tanda 16. No cambia la exposición a IA de la cartera (la venta de Alphabet de mañana no influye aquí).</w:t>
      </w:r>
    </w:p>
    <w:p>
      <w:pPr>
        <w:numPr>
          <w:ilvl w:val="0"/>
          <w:numId w:val="1012"/>
        </w:numPr>
        <w:pStyle w:val="Compact"/>
      </w:pPr>
      <w:r>
        <w:t xml:space="preserve">Se revisa con el 3T (5-nov), SORENTO y la FDA (18-dic). Con SORENTO positivo y el precio por debajo de 505 SEK, merecería repetir el cálculo.</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11,7</w:t>
            </w:r>
          </w:p>
        </w:tc>
        <w:tc>
          <w:tcPr/>
          <w:p>
            <w:pPr>
              <w:pStyle w:val="Compact"/>
              <w:jc w:val="left"/>
            </w:pPr>
            <w:r>
              <w:t xml:space="preserve">25</w:t>
            </w:r>
          </w:p>
        </w:tc>
        <w:tc>
          <w:tcPr/>
          <w:p>
            <w:pPr>
              <w:pStyle w:val="Compact"/>
              <w:jc w:val="left"/>
            </w:pPr>
            <w:r>
              <w:t xml:space="preserve">Ventas de 12 meses +3,2 % (0), CAGR a 2 años 19,4 % (2), aceleración +11,4 puntos (5)</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14 % (2), tecnología 4, posición 4</w:t>
            </w:r>
          </w:p>
        </w:tc>
      </w:tr>
      <w:tr>
        <w:tc>
          <w:tcPr/>
          <w:p>
            <w:pPr>
              <w:pStyle w:val="Compact"/>
              <w:jc w:val="left"/>
            </w:pPr>
            <w:r>
              <w:t xml:space="preserve">C. Cambio de tendencia</w:t>
            </w:r>
          </w:p>
        </w:tc>
        <w:tc>
          <w:tcPr/>
          <w:p>
            <w:pPr>
              <w:pStyle w:val="Compact"/>
              <w:jc w:val="left"/>
            </w:pPr>
            <w:r>
              <w:t xml:space="preserve">15,0</w:t>
            </w:r>
          </w:p>
        </w:tc>
        <w:tc>
          <w:tcPr/>
          <w:p>
            <w:pPr>
              <w:pStyle w:val="Compact"/>
              <w:jc w:val="left"/>
            </w:pPr>
            <w:r>
              <w:t xml:space="preserve">20</w:t>
            </w:r>
          </w:p>
        </w:tc>
        <w:tc>
          <w:tcPr/>
          <w:p>
            <w:pPr>
              <w:pStyle w:val="Compact"/>
              <w:jc w:val="left"/>
            </w:pPr>
            <w:r>
              <w:t xml:space="preserve">6 de 8 señales, sin euforia</w:t>
            </w:r>
          </w:p>
        </w:tc>
      </w:tr>
      <w:tr>
        <w:tc>
          <w:tcPr/>
          <w:p>
            <w:pPr>
              <w:pStyle w:val="Compact"/>
              <w:jc w:val="left"/>
            </w:pPr>
            <w:r>
              <w:t xml:space="preserve">D. Economía unitaria</w:t>
            </w:r>
          </w:p>
        </w:tc>
        <w:tc>
          <w:tcPr/>
          <w:p>
            <w:pPr>
              <w:pStyle w:val="Compact"/>
              <w:jc w:val="left"/>
            </w:pPr>
            <w:r>
              <w:t xml:space="preserve">11,0</w:t>
            </w:r>
          </w:p>
        </w:tc>
        <w:tc>
          <w:tcPr/>
          <w:p>
            <w:pPr>
              <w:pStyle w:val="Compact"/>
              <w:jc w:val="left"/>
            </w:pPr>
            <w:r>
              <w:t xml:space="preserve">15</w:t>
            </w:r>
          </w:p>
        </w:tc>
        <w:tc>
          <w:tcPr/>
          <w:p>
            <w:pPr>
              <w:pStyle w:val="Compact"/>
              <w:jc w:val="left"/>
            </w:pPr>
            <w:r>
              <w:t xml:space="preserve">Margen bruto 93 % (5), regla del 40 de 30,7 (2), FCF positivo (4)</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(5), dilución 1,3 % (5)</w:t>
            </w:r>
          </w:p>
        </w:tc>
      </w:tr>
      <w:tr>
        <w:tc>
          <w:tcPr/>
          <w:p>
            <w:pPr>
              <w:pStyle w:val="Compact"/>
              <w:jc w:val="left"/>
            </w:pPr>
            <w:r>
              <w:t xml:space="preserve">F. Ejecución y dirección</w:t>
            </w:r>
          </w:p>
        </w:tc>
        <w:tc>
          <w:tcPr/>
          <w:p>
            <w:pPr>
              <w:pStyle w:val="Compact"/>
              <w:jc w:val="left"/>
            </w:pPr>
            <w:r>
              <w:t xml:space="preserve">6,0</w:t>
            </w:r>
          </w:p>
        </w:tc>
        <w:tc>
          <w:tcPr/>
          <w:p>
            <w:pPr>
              <w:pStyle w:val="Compact"/>
              <w:jc w:val="left"/>
            </w:pPr>
            <w:r>
              <w:t xml:space="preserve">10</w:t>
            </w:r>
          </w:p>
        </w:tc>
        <w:tc>
          <w:tcPr/>
          <w:p>
            <w:pPr>
              <w:pStyle w:val="Compact"/>
              <w:jc w:val="left"/>
            </w:pPr>
            <w:r>
              <w:t xml:space="preserve">Historial 2, dirección 4</w:t>
            </w:r>
          </w:p>
        </w:tc>
      </w:tr>
      <w:tr>
        <w:tc>
          <w:tcPr/>
          <w:p>
            <w:pPr>
              <w:pStyle w:val="Compact"/>
              <w:jc w:val="left"/>
            </w:pPr>
            <w:r>
              <w:rPr>
                <w:bCs/>
                <w:b/>
              </w:rPr>
              <w:t xml:space="preserve">Total</w:t>
            </w:r>
          </w:p>
        </w:tc>
        <w:tc>
          <w:tcPr/>
          <w:p>
            <w:pPr>
              <w:pStyle w:val="Compact"/>
              <w:jc w:val="left"/>
            </w:pPr>
            <w:r>
              <w:rPr>
                <w:bCs/>
                <w:b/>
              </w:rPr>
              <w:t xml:space="preserve">67,0</w:t>
            </w:r>
          </w:p>
        </w:tc>
        <w:tc>
          <w:tcPr/>
          <w:p>
            <w:pPr>
              <w:pStyle w:val="Compact"/>
              <w:jc w:val="left"/>
            </w:pPr>
            <w:r>
              <w:t xml:space="preserve">100</w:t>
            </w:r>
          </w:p>
        </w:tc>
        <w:tc>
          <w:tcPr/>
          <w:p>
            <w:pPr>
              <w:pStyle w:val="Compact"/>
            </w:pPr>
          </w:p>
        </w:tc>
      </w:tr>
    </w:tbl>
    <w:p>
      <w:pPr>
        <w:pStyle w:val="BodyText"/>
      </w:pPr>
      <w:r>
        <w:rPr>
          <w:bCs/>
          <w:b/>
        </w:rPr>
        <w:t xml:space="preserve">Resultado con las candidatas</w:t>
      </w:r>
      <w:r>
        <w:t xml:space="preserve"> </w:t>
      </w:r>
      <w:r>
        <w:t xml:space="preserve">(no vigentes, no escriben</w:t>
      </w:r>
      <w:r>
        <w:t xml:space="preserve"> </w:t>
      </w:r>
      <w:r>
        <w:rPr>
          <w:rStyle w:val="VerbatimChar"/>
        </w:rPr>
        <w:t xml:space="preserve">calc</w:t>
      </w:r>
      <w:r>
        <w:t xml:space="preserve">): v12 igual que v11 (sin compras de negocios: no se rellena el crecimiento orgánico); v14 con la dilución prevista del 1 % y el producto del 97 %: Vender, ponderada −15,3 %, compra hasta 506,8 SEK.</w:t>
      </w:r>
    </w:p>
    <w:p>
      <w:pPr>
        <w:pStyle w:val="BodyText"/>
      </w:pPr>
      <w:r>
        <w:rPr>
          <w:bCs/>
          <w:b/>
        </w:rPr>
        <w:t xml:space="preserve">Mejora de método propuesta</w:t>
      </w:r>
      <w:r>
        <w:t xml:space="preserve"> </w:t>
      </w:r>
      <w:r>
        <w:t xml:space="preserve">(no aplicada; para el backtest): en empresas que cuentan en una moneda que se ha apreciado mucho (aquí la corona en 2025, −9 puntos de crecimiento) o con un ajuste único en las ventas (la recompra de inventario de 93 M), la proyección mecánica parte de un crecimiento que no es el del negocio. Se propone un campo opcional</w:t>
      </w:r>
      <w:r>
        <w:t xml:space="preserve"> </w:t>
      </w:r>
      <w:r>
        <w:rPr>
          <w:rStyle w:val="VerbatimChar"/>
        </w:rPr>
        <w:t xml:space="preserve">crecimiento.ventas_12m_cer_pct</w:t>
      </w:r>
      <w:r>
        <w:t xml:space="preserve"> </w:t>
      </w:r>
      <w:r>
        <w:t xml:space="preserve">(crecimiento a tipo constante y sin partidas únicas, con fuente de la empresa) que sustituya a</w:t>
      </w:r>
      <w:r>
        <w:t xml:space="preserve"> </w:t>
      </w:r>
      <w:r>
        <w:rPr>
          <w:rStyle w:val="VerbatimChar"/>
        </w:rPr>
        <w:t xml:space="preserve">ventas_12m_pct</w:t>
      </w:r>
      <w:r>
        <w:t xml:space="preserve"> </w:t>
      </w:r>
      <w:r>
        <w:t xml:space="preserve">solo en la partida, y probar en el backtest si mejora o empeora. Como en Corcept, también serviría la alerta «ventas del caso base por debajo de las ventas NTM». Aquí no cambiaría la señal: con mis ventas sale Mantener.</w:t>
      </w:r>
    </w:p>
    <w:bookmarkEnd w:id="33"/>
    <w:bookmarkStart w:id="34" w:name="fuentes"/>
    <w:p>
      <w:pPr>
        <w:pStyle w:val="Heading2"/>
      </w:pPr>
      <w:r>
        <w:t xml:space="preserve">Fuentes</w:t>
      </w:r>
    </w:p>
    <w:p>
      <w:pPr>
        <w:pStyle w:val="FirstParagraph"/>
      </w:pPr>
      <w:r>
        <w:t xml:space="preserve">[1] Camurus, informe del 2T 2026 (15-jul-2026, PDF en Cision): ingresos, desglose por producto, guía 2026 y su alcance, carta de rechazo de CAM2029, SORENTO, Lilly, cliente principal, acciones, balance y flujos.</w:t>
      </w:r>
      <w:r>
        <w:t xml:space="preserve"> </w:t>
      </w:r>
      <w:r>
        <w:t xml:space="preserve">[1b] Camurus, presentación de resultados del 2T 2026: segmento inyectable de EE. UU., Sublocade en Australia, accionistas, inversiones de 2026.</w:t>
      </w:r>
      <w:r>
        <w:t xml:space="preserve"> </w:t>
      </w:r>
      <w:r>
        <w:t xml:space="preserve">[2] Camurus, informe del 1T 2026 (12-may-2026).</w:t>
      </w:r>
      <w:r>
        <w:t xml:space="preserve"> </w:t>
      </w:r>
      <w:r>
        <w:t xml:space="preserve">[3] Camurus, informe anual del 4T 2025 (12-feb-2026): recompra de inventario en el Reino Unido, hito de Braeburn aplazado, guía 2026.</w:t>
      </w:r>
      <w:r>
        <w:t xml:space="preserve"> </w:t>
      </w:r>
      <w:r>
        <w:t xml:space="preserve">[4] Camurus, informe del 3T 2025 (6-nov-2025): guía 2025 rebajada.</w:t>
      </w:r>
      <w:r>
        <w:t xml:space="preserve"> </w:t>
      </w:r>
      <w:r>
        <w:t xml:space="preserve">[5] Camurus, informes del 1T y 2T 2025.</w:t>
      </w:r>
      <w:r>
        <w:t xml:space="preserve"> </w:t>
      </w:r>
      <w:r>
        <w:t xml:space="preserve">[6] Camurus, informes del 3T 2024 y anual de 2024.</w:t>
      </w:r>
      <w:r>
        <w:t xml:space="preserve"> </w:t>
      </w:r>
      <w:r>
        <w:t xml:space="preserve">[7] Camurus, comunicados de resultados en MFN/Cision (alcance y cambios de guía).</w:t>
      </w:r>
      <w:r>
        <w:t xml:space="preserve"> </w:t>
      </w:r>
      <w:r>
        <w:t xml:space="preserve">[8] EFN (15-jul-2026): el 2T26 frente al consenso de Infront.</w:t>
      </w:r>
      <w:r>
        <w:t xml:space="preserve"> </w:t>
      </w:r>
      <w:r>
        <w:t xml:space="preserve">[9] Yahoo Finance chart API (CAMX.ST, OMXSPI, OMXS30): cierres, medias, sesión del 14-oct.</w:t>
      </w:r>
      <w:r>
        <w:t xml:space="preserve"> </w:t>
      </w:r>
      <w:r>
        <w:t xml:space="preserve">[10] Nasdaq Nordic, histórico oficial de CAMX: cierre del 13-oct-2026 628,00 SEK.</w:t>
      </w:r>
      <w:r>
        <w:t xml:space="preserve"> </w:t>
      </w:r>
      <w:r>
        <w:t xml:space="preserve">[11] Camurus, informe anual de 2024: primera guía 2025.</w:t>
      </w:r>
      <w:r>
        <w:t xml:space="preserve"> </w:t>
      </w:r>
      <w:r>
        <w:t xml:space="preserve">[12] StockAnalysis, previsiones y recomendaciones de STO:CAMX (14-oct-2026).</w:t>
      </w:r>
      <w:r>
        <w:t xml:space="preserve"> </w:t>
      </w:r>
      <w:r>
        <w:t xml:space="preserve">[13] Placera/Finwire (15-jul-2026): Pareto, 815 SEK.</w:t>
      </w:r>
      <w:r>
        <w:t xml:space="preserve"> </w:t>
      </w:r>
      <w:r>
        <w:t xml:space="preserve">[14] Börsvärlden/Finwire (3-ago-2026): Jefferies, 830 SEK.</w:t>
      </w:r>
      <w:r>
        <w:t xml:space="preserve"> </w:t>
      </w:r>
      <w:r>
        <w:t xml:space="preserve">[15] Placera/Finwire (5-oct-2026): Nordea, 950 SEK.</w:t>
      </w:r>
      <w:r>
        <w:t xml:space="preserve"> </w:t>
      </w:r>
      <w:r>
        <w:t xml:space="preserve">[16] Börsvärlden: Redeye (jul-2026, valor justo 670 SEK) y bancos tras el 1T (13-may-2026).</w:t>
      </w:r>
      <w:r>
        <w:t xml:space="preserve"> </w:t>
      </w:r>
      <w:r>
        <w:t xml:space="preserve">[17] Cálculo propio de EV, EBITDA recurrente NTM, serie histórica del múltiplo y DCF inverso (detalle en</w:t>
      </w:r>
      <w:r>
        <w:t xml:space="preserve"> </w:t>
      </w:r>
      <w:r>
        <w:rPr>
          <w:rStyle w:val="VerbatimChar"/>
        </w:rPr>
        <w:t xml:space="preserve">datos.json</w:t>
      </w:r>
      <w:r>
        <w:t xml:space="preserve">).</w:t>
      </w:r>
      <w:r>
        <w:t xml:space="preserve"> </w:t>
      </w:r>
      <w:r>
        <w:t xml:space="preserve">[18] Finansinspektionen, registro de operaciones de directivos de Camurus (2026).</w:t>
      </w:r>
      <w:r>
        <w:t xml:space="preserve"> </w:t>
      </w:r>
      <w:r>
        <w:t xml:space="preserve">[19] Camurus, presentación del 2T 2026: accionistas.</w:t>
      </w:r>
      <w:r>
        <w:t xml:space="preserve"> </w:t>
      </w:r>
      <w:r>
        <w:t xml:space="preserve">[20] Camurus, comunicados del 10-jun-2026 (carta de rechazo) y del 17-jul-2026 (PDUFA 18-dic-2026).</w:t>
      </w:r>
      <w:r>
        <w:t xml:space="preserve"> </w:t>
      </w:r>
      <w:r>
        <w:t xml:space="preserve">[21] Camurus, comunicados del 1-jun-2026 (Lilly, amilina) y del 12-oct-2026 (aprobación en Canadá).</w:t>
      </w:r>
      <w:r>
        <w:t xml:space="preserve"> </w:t>
      </w:r>
      <w:r>
        <w:t xml:space="preserve">[22] StockAnalysis, estadísticas de Alkermes, Indivior, Halozyme y Neurocrine (14-oct-2026).</w:t>
      </w:r>
      <w:r>
        <w:t xml:space="preserve"> </w:t>
      </w:r>
      <w:r>
        <w:t xml:space="preserve">[23] De memoria, sin verificar en esta sesión: pacientes en tratamiento sustitutivo en Europa y Australia, tamaño del mercado de acromegalia, primera carta de rechazo de CAM2029 (dic-2023).</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2026-10-14T21:41:19Z</dcterms:created>
  <dcterms:modified xsi:type="dcterms:W3CDTF">2026-10-14T21:41:19Z</dcterms:modified>
</cp:coreProperties>
</file>

<file path=docProps/custom.xml><?xml version="1.0" encoding="utf-8"?>
<Properties xmlns="http://schemas.openxmlformats.org/officeDocument/2006/custom-properties" xmlns:vt="http://schemas.openxmlformats.org/officeDocument/2006/docPropsVTypes"/>
</file>