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atadog-ddog-análisis-growth-14-oct-2026"/>
    <w:p>
      <w:pPr>
        <w:pStyle w:val="Heading1"/>
      </w:pPr>
      <w:r>
        <w:t xml:space="preserve">Datadog (DDOG): análisis growth, 14-oct-2026</w:t>
      </w:r>
    </w:p>
    <w:p>
      <w:pPr>
        <w:pStyle w:val="FirstParagraph"/>
      </w:pPr>
      <w:r>
        <w:rPr>
          <w:bCs/>
          <w:b/>
        </w:rPr>
        <w:t xml:space="preserve">Señal (método v7): Comprar (convicción media)</w:t>
      </w:r>
      <w:r>
        <w:t xml:space="preserve"> </w:t>
      </w:r>
      <w:r>
        <w:t xml:space="preserve">· Puntuación 79,8/100 · Señales de cambio de tendencia 5/8 · EV/beneficio bruto 25,6x</w:t>
      </w:r>
      <w:r>
        <w:t xml:space="preserve"> </w:t>
      </w:r>
      <w:r>
        <w:t xml:space="preserve">Precio 283,34 USD (cierre del 13-oct) · Objetivo 12 m 314,3 USD (ponderada +10,9 %, base +13,9 %, bajista −44,1 %, alcista +60,1 %) · Compra hasta 299,3 USD</w:t>
      </w:r>
      <w:r>
        <w:t xml:space="preserve"> </w:t>
      </w:r>
      <w:r>
        <w:t xml:space="preserve">Peso orientativo: 4 % por la regla, pero</w:t>
      </w:r>
      <w:r>
        <w:t xml:space="preserve"> </w:t>
      </w:r>
      <w:r>
        <w:rPr>
          <w:bCs/>
          <w:b/>
        </w:rPr>
        <w:t xml:space="preserve">hoy no entra</w:t>
      </w:r>
      <w:r>
        <w:t xml:space="preserve"> </w:t>
      </w:r>
      <w:r>
        <w:t xml:space="preserve">(bolsillo growth en el 16,6 % y liquidez agotada; ver sección 13) · Por qué: cumple todos los requisitos de compra</w:t>
      </w:r>
    </w:p>
    <w:p>
      <w:pPr>
        <w:pStyle w:val="BlockText"/>
      </w:pPr>
      <w:r>
        <w:rPr>
          <w:bCs/>
          <w:b/>
        </w:rPr>
        <w:t xml:space="preserve">Calculado con el método v7</w:t>
      </w:r>
      <w:r>
        <w:t xml:space="preserve"> </w:t>
      </w:r>
      <w:r>
        <w:t xml:space="preserve">(</w:t>
      </w:r>
      <w:r>
        <w:rPr>
          <w:rStyle w:val="VerbatimChar"/>
        </w:rPr>
        <w:t xml:space="preserve">verticales/growth/metodo.md</w:t>
      </w:r>
      <w:r>
        <w:t xml:space="preserve">). Las ventas del año objetivo salen de la regla mecánica (6.578 M USD en el base) y el múltiplo, del de hoy rebajado por desaceleración (10,9x / 18,2x / 23,7x EV/ventas NTM). La proyección propia (5.500 / 6.300 / 6.900 M USD) es solo contraste.</w:t>
      </w:r>
      <w:r>
        <w:t xml:space="preserve"> </w:t>
      </w:r>
      <w:r>
        <w:rPr>
          <w:bCs/>
          <w:b/>
        </w:rPr>
        <w:t xml:space="preserve">Aviso</w:t>
      </w:r>
      <w:r>
        <w:t xml:space="preserve">: la señal es frágil. Si la proyección partiera del crecimiento que implica la guía (~27 %) en vez del pasado (~33 %), la ponderada bajaría a +4,7 % y la señal pasaría a Mantener (en vigilancia), con compra hasta ~282 USD (sección 9 y propuesta de mejora del método).</w:t>
      </w:r>
    </w:p>
    <w:bookmarkStart w:id="20" w:name="la-tesis-en-cinco-líneas"/>
    <w:p>
      <w:pPr>
        <w:pStyle w:val="Heading2"/>
      </w:pPr>
      <w:r>
        <w:t xml:space="preserve">1. La tesis en cinco líneas</w:t>
      </w:r>
    </w:p>
    <w:p>
      <w:pPr>
        <w:numPr>
          <w:ilvl w:val="0"/>
          <w:numId w:val="1001"/>
        </w:numPr>
        <w:pStyle w:val="Compact"/>
      </w:pPr>
      <w:r>
        <w:t xml:space="preserve">Datadog es la plataforma líder de observabilidad (monitorizar infraestructura, aplicaciones, registros y, cada vez más, modelos de IA) y seguridad en la nube. Vende</w:t>
      </w:r>
      <w:r>
        <w:t xml:space="preserve"> </w:t>
      </w:r>
      <w:r>
        <w:rPr>
          <w:bCs/>
          <w:b/>
        </w:rPr>
        <w:t xml:space="preserve">3.967 M USD en los últimos 12 meses (+31,5 %)</w:t>
      </w:r>
      <w:r>
        <w:t xml:space="preserve"> </w:t>
      </w:r>
      <w:r>
        <w:t xml:space="preserve">con un 79,5 % de margen bruto y un 27 % de FCF.</w:t>
      </w:r>
    </w:p>
    <w:p>
      <w:pPr>
        <w:numPr>
          <w:ilvl w:val="0"/>
          <w:numId w:val="1001"/>
        </w:numPr>
        <w:pStyle w:val="Compact"/>
      </w:pPr>
      <w:r>
        <w:rPr>
          <w:bCs/>
          <w:b/>
        </w:rPr>
        <w:t xml:space="preserve">Ha acelerado cuatro trimestres seguidos</w:t>
      </w:r>
      <w:r>
        <w:t xml:space="preserve"> </w:t>
      </w:r>
      <w:r>
        <w:t xml:space="preserve">(del +28 % al +36 % en el 2T26) a una escala de más de 4.000 M de ARR, empujada por las empresas de IA y por el resto de clientes (el negocio sin IA crece en la parte alta del 20 %).</w:t>
      </w:r>
    </w:p>
    <w:p>
      <w:pPr>
        <w:numPr>
          <w:ilvl w:val="0"/>
          <w:numId w:val="1001"/>
        </w:numPr>
        <w:pStyle w:val="Compact"/>
      </w:pPr>
      <w:r>
        <w:t xml:space="preserve">La percepción ha dado la vuelta: de «el software que se comerá la IA» (mínimo de 102,61 USD el 23-feb) a «la IA dispara la demanda de observabilidad» (+156 % en 6 meses). Pero ya cotiza a</w:t>
      </w:r>
      <w:r>
        <w:t xml:space="preserve"> </w:t>
      </w:r>
      <w:r>
        <w:rPr>
          <w:bCs/>
          <w:b/>
        </w:rPr>
        <w:t xml:space="preserve">20,3x ventas NTM</w:t>
      </w:r>
      <w:r>
        <w:t xml:space="preserve">, muy por encima de su mediana de 3 años (~12x).</w:t>
      </w:r>
    </w:p>
    <w:p>
      <w:pPr>
        <w:numPr>
          <w:ilvl w:val="0"/>
          <w:numId w:val="1001"/>
        </w:numPr>
        <w:pStyle w:val="Compact"/>
      </w:pPr>
      <w:r>
        <w:rPr>
          <w:bCs/>
          <w:b/>
        </w:rPr>
        <w:t xml:space="preserve">El riesgo concreto está anunciado</w:t>
      </w:r>
      <w:r>
        <w:t xml:space="preserve">: su mayor cliente (según la prensa, OpenAI) reduce el uso desde el 3T26, y la guía del 3T implica bajar del +36 % al ~+28 %. La regla mecánica no lo recoge del todo.</w:t>
      </w:r>
    </w:p>
    <w:p>
      <w:pPr>
        <w:numPr>
          <w:ilvl w:val="0"/>
          <w:numId w:val="1001"/>
        </w:numPr>
        <w:pStyle w:val="Compact"/>
      </w:pPr>
      <w:r>
        <w:t xml:space="preserve">Conclusión: la regla dice</w:t>
      </w:r>
      <w:r>
        <w:t xml:space="preserve"> </w:t>
      </w:r>
      <w:r>
        <w:rPr>
          <w:bCs/>
          <w:b/>
        </w:rPr>
        <w:t xml:space="preserve">Comprar (media)</w:t>
      </w:r>
      <w:r>
        <w:t xml:space="preserve"> </w:t>
      </w:r>
      <w:r>
        <w:t xml:space="preserve">por debajo de 299 USD, con un margen corto (ponderada +10,9 %, bajista −44 %) y muy sensible a la desaceleración.</w:t>
      </w:r>
      <w:r>
        <w:t xml:space="preserve"> </w:t>
      </w:r>
      <w:r>
        <w:rPr>
          <w:bCs/>
          <w:b/>
        </w:rPr>
        <w:t xml:space="preserve">No cabe hoy en la cartera</w:t>
      </w:r>
      <w:r>
        <w:t xml:space="preserve"> </w:t>
      </w:r>
      <w:r>
        <w:t xml:space="preserve">(tope del 20 % y sin liquidez): queda en vigilancia hasta los resultados del 3T.</w:t>
      </w:r>
    </w:p>
    <w:bookmarkEnd w:id="20"/>
    <w:bookmarkStart w:id="21" w:name="negocio-y-tecnología"/>
    <w:p>
      <w:pPr>
        <w:pStyle w:val="Heading2"/>
      </w:pPr>
      <w:r>
        <w:t xml:space="preserve">2. Negocio y tecnología</w:t>
      </w:r>
    </w:p>
    <w:p>
      <w:pPr>
        <w:pStyle w:val="FirstParagraph"/>
      </w:pPr>
      <w:r>
        <w:t xml:space="preserve">Datadog vende por suscripción y por uso una plataforma SaaS única con más de 20 productos: monitorización de infraestructura, APM (rendimiento de aplicaciones), gestión de registros, monitorización de experiencia de usuario, seguridad en la nube (SIEM, protección de cargas), entrega de software y, desde 2025-2026,</w:t>
      </w:r>
      <w:r>
        <w:t xml:space="preserve"> </w:t>
      </w:r>
      <w:r>
        <w:rPr>
          <w:bCs/>
          <w:b/>
        </w:rPr>
        <w:t xml:space="preserve">observabilidad de modelos de IA y GPU</w:t>
      </w:r>
      <w:r>
        <w:t xml:space="preserve"> </w:t>
      </w:r>
      <w:r>
        <w:t xml:space="preserve">[1][2][11]. Clientes: ~32.000 empresas, de startups a Fortune 500; ~4.720 con más de 100.000 USD de ARR (+23 %), que generan cerca del 90 % del ARR; el 58 % usa cuatro productos o más (52 % un año antes) [1][3][11].</w:t>
      </w:r>
    </w:p>
    <w:p>
      <w:pPr>
        <w:pStyle w:val="BodyText"/>
      </w:pPr>
      <w:r>
        <w:t xml:space="preserve">Lo nuevo es la capa de</w:t>
      </w:r>
      <w:r>
        <w:t xml:space="preserve"> </w:t>
      </w:r>
      <w:r>
        <w:rPr>
          <w:bCs/>
          <w:b/>
        </w:rPr>
        <w:t xml:space="preserve">agentes de IA propios</w:t>
      </w:r>
      <w:r>
        <w:t xml:space="preserve">: Bits AI SRE (investiga incidencias de forma autónoma), Bits AI Security Analyst, Bits Code, Bits Chat y Bits Agent Builder, presentados en DASH 2026, más AI Guard (protección de agentes frente a inyección de instrucciones) y «Bring Your Own Cloud». Compró Adaptive ML (aprendizaje por refuerzo) para entrenar modelos propios sobre sus datos de telemetría [1][11].</w:t>
      </w:r>
    </w:p>
    <w:p>
      <w:pPr>
        <w:numPr>
          <w:ilvl w:val="0"/>
          <w:numId w:val="1002"/>
        </w:numPr>
        <w:pStyle w:val="Compact"/>
      </w:pPr>
      <w:r>
        <w:rPr>
          <w:bCs/>
          <w:b/>
        </w:rPr>
        <w:t xml:space="preserve">Tecnología 4/5</w:t>
      </w:r>
      <w:r>
        <w:t xml:space="preserve">: los datos unificados de toda la pila (métricas, trazas, registros, seguridad) en una sola plataforma, con cientos de integraciones (de memoria), son difíciles de replicar y alimentan sus agentes. No es 5 porque el estándar abierto OpenTelemetry abarata cambiar de proveedor y hay alternativas serias (Grafana, Dynatrace, Splunk/Cisco, Elastic y las herramientas de los hiperescaladores).</w:t>
      </w:r>
    </w:p>
    <w:p>
      <w:pPr>
        <w:numPr>
          <w:ilvl w:val="0"/>
          <w:numId w:val="1002"/>
        </w:numPr>
        <w:pStyle w:val="Compact"/>
      </w:pPr>
      <w:r>
        <w:rPr>
          <w:bCs/>
          <w:b/>
        </w:rPr>
        <w:t xml:space="preserve">Posición 5/5</w:t>
      </w:r>
      <w:r>
        <w:t xml:space="preserve">: líder en el Cuadrante Mágico de Gartner de observabilidad por sexto año seguido y el que más gana cuota entre los independientes; el que crece más rápido a esta escala [11].</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r>
      <w:tr>
        <w:tc>
          <w:tcPr/>
          <w:p>
            <w:pPr>
              <w:pStyle w:val="Compact"/>
              <w:jc w:val="left"/>
            </w:pPr>
            <w:r>
              <w:t xml:space="preserve">3T24</w:t>
            </w:r>
          </w:p>
        </w:tc>
        <w:tc>
          <w:tcPr/>
          <w:p>
            <w:pPr>
              <w:pStyle w:val="Compact"/>
              <w:jc w:val="left"/>
            </w:pPr>
            <w:r>
              <w:t xml:space="preserve">690,0</w:t>
            </w:r>
          </w:p>
        </w:tc>
        <w:tc>
          <w:tcPr/>
          <w:p>
            <w:pPr>
              <w:pStyle w:val="Compact"/>
              <w:jc w:val="left"/>
            </w:pPr>
            <w:r>
              <w:t xml:space="preserve">26,0 %</w:t>
            </w:r>
          </w:p>
        </w:tc>
      </w:tr>
      <w:tr>
        <w:tc>
          <w:tcPr/>
          <w:p>
            <w:pPr>
              <w:pStyle w:val="Compact"/>
              <w:jc w:val="left"/>
            </w:pPr>
            <w:r>
              <w:t xml:space="preserve">4T24</w:t>
            </w:r>
          </w:p>
        </w:tc>
        <w:tc>
          <w:tcPr/>
          <w:p>
            <w:pPr>
              <w:pStyle w:val="Compact"/>
              <w:jc w:val="left"/>
            </w:pPr>
            <w:r>
              <w:t xml:space="preserve">737,7</w:t>
            </w:r>
          </w:p>
        </w:tc>
        <w:tc>
          <w:tcPr/>
          <w:p>
            <w:pPr>
              <w:pStyle w:val="Compact"/>
              <w:jc w:val="left"/>
            </w:pPr>
            <w:r>
              <w:t xml:space="preserve">25,1 %</w:t>
            </w:r>
          </w:p>
        </w:tc>
      </w:tr>
      <w:tr>
        <w:tc>
          <w:tcPr/>
          <w:p>
            <w:pPr>
              <w:pStyle w:val="Compact"/>
              <w:jc w:val="left"/>
            </w:pPr>
            <w:r>
              <w:t xml:space="preserve">1T25</w:t>
            </w:r>
          </w:p>
        </w:tc>
        <w:tc>
          <w:tcPr/>
          <w:p>
            <w:pPr>
              <w:pStyle w:val="Compact"/>
              <w:jc w:val="left"/>
            </w:pPr>
            <w:r>
              <w:t xml:space="preserve">761,6</w:t>
            </w:r>
          </w:p>
        </w:tc>
        <w:tc>
          <w:tcPr/>
          <w:p>
            <w:pPr>
              <w:pStyle w:val="Compact"/>
              <w:jc w:val="left"/>
            </w:pPr>
            <w:r>
              <w:t xml:space="preserve">24,6 %</w:t>
            </w:r>
          </w:p>
        </w:tc>
      </w:tr>
      <w:tr>
        <w:tc>
          <w:tcPr/>
          <w:p>
            <w:pPr>
              <w:pStyle w:val="Compact"/>
              <w:jc w:val="left"/>
            </w:pPr>
            <w:r>
              <w:t xml:space="preserve">2T25</w:t>
            </w:r>
          </w:p>
        </w:tc>
        <w:tc>
          <w:tcPr/>
          <w:p>
            <w:pPr>
              <w:pStyle w:val="Compact"/>
              <w:jc w:val="left"/>
            </w:pPr>
            <w:r>
              <w:t xml:space="preserve">826,8</w:t>
            </w:r>
          </w:p>
        </w:tc>
        <w:tc>
          <w:tcPr/>
          <w:p>
            <w:pPr>
              <w:pStyle w:val="Compact"/>
              <w:jc w:val="left"/>
            </w:pPr>
            <w:r>
              <w:t xml:space="preserve">28,1 %</w:t>
            </w:r>
          </w:p>
        </w:tc>
      </w:tr>
      <w:tr>
        <w:tc>
          <w:tcPr/>
          <w:p>
            <w:pPr>
              <w:pStyle w:val="Compact"/>
              <w:jc w:val="left"/>
            </w:pPr>
            <w:r>
              <w:t xml:space="preserve">3T25</w:t>
            </w:r>
          </w:p>
        </w:tc>
        <w:tc>
          <w:tcPr/>
          <w:p>
            <w:pPr>
              <w:pStyle w:val="Compact"/>
              <w:jc w:val="left"/>
            </w:pPr>
            <w:r>
              <w:t xml:space="preserve">885,7</w:t>
            </w:r>
          </w:p>
        </w:tc>
        <w:tc>
          <w:tcPr/>
          <w:p>
            <w:pPr>
              <w:pStyle w:val="Compact"/>
              <w:jc w:val="left"/>
            </w:pPr>
            <w:r>
              <w:t xml:space="preserve">28,4 %</w:t>
            </w:r>
          </w:p>
        </w:tc>
      </w:tr>
      <w:tr>
        <w:tc>
          <w:tcPr/>
          <w:p>
            <w:pPr>
              <w:pStyle w:val="Compact"/>
              <w:jc w:val="left"/>
            </w:pPr>
            <w:r>
              <w:t xml:space="preserve">4T25</w:t>
            </w:r>
          </w:p>
        </w:tc>
        <w:tc>
          <w:tcPr/>
          <w:p>
            <w:pPr>
              <w:pStyle w:val="Compact"/>
              <w:jc w:val="left"/>
            </w:pPr>
            <w:r>
              <w:t xml:space="preserve">953,2</w:t>
            </w:r>
          </w:p>
        </w:tc>
        <w:tc>
          <w:tcPr/>
          <w:p>
            <w:pPr>
              <w:pStyle w:val="Compact"/>
              <w:jc w:val="left"/>
            </w:pPr>
            <w:r>
              <w:t xml:space="preserve">29,2 %</w:t>
            </w:r>
          </w:p>
        </w:tc>
      </w:tr>
      <w:tr>
        <w:tc>
          <w:tcPr/>
          <w:p>
            <w:pPr>
              <w:pStyle w:val="Compact"/>
              <w:jc w:val="left"/>
            </w:pPr>
            <w:r>
              <w:t xml:space="preserve">1T26</w:t>
            </w:r>
          </w:p>
        </w:tc>
        <w:tc>
          <w:tcPr/>
          <w:p>
            <w:pPr>
              <w:pStyle w:val="Compact"/>
              <w:jc w:val="left"/>
            </w:pPr>
            <w:r>
              <w:t xml:space="preserve">1.006,4</w:t>
            </w:r>
          </w:p>
        </w:tc>
        <w:tc>
          <w:tcPr/>
          <w:p>
            <w:pPr>
              <w:pStyle w:val="Compact"/>
              <w:jc w:val="left"/>
            </w:pPr>
            <w:r>
              <w:t xml:space="preserve">32,1 %</w:t>
            </w:r>
          </w:p>
        </w:tc>
      </w:tr>
      <w:tr>
        <w:tc>
          <w:tcPr/>
          <w:p>
            <w:pPr>
              <w:pStyle w:val="Compact"/>
              <w:jc w:val="left"/>
            </w:pPr>
            <w:r>
              <w:t xml:space="preserve">2T26</w:t>
            </w:r>
          </w:p>
        </w:tc>
        <w:tc>
          <w:tcPr/>
          <w:p>
            <w:pPr>
              <w:pStyle w:val="Compact"/>
              <w:jc w:val="left"/>
            </w:pPr>
            <w:r>
              <w:t xml:space="preserve">1.121,5</w:t>
            </w:r>
          </w:p>
        </w:tc>
        <w:tc>
          <w:tcPr/>
          <w:p>
            <w:pPr>
              <w:pStyle w:val="Compact"/>
              <w:jc w:val="left"/>
            </w:pPr>
            <w:r>
              <w:t xml:space="preserve">35,6 %</w:t>
            </w:r>
          </w:p>
        </w:tc>
      </w:tr>
      <w:tr>
        <w:tc>
          <w:tcPr/>
          <w:p>
            <w:pPr>
              <w:pStyle w:val="Compact"/>
              <w:jc w:val="left"/>
            </w:pPr>
            <w:r>
              <w:t xml:space="preserve">Guía 3T26</w:t>
            </w:r>
          </w:p>
        </w:tc>
        <w:tc>
          <w:tcPr/>
          <w:p>
            <w:pPr>
              <w:pStyle w:val="Compact"/>
              <w:jc w:val="left"/>
            </w:pPr>
            <w:r>
              <w:t xml:space="preserve">1.135-1.145</w:t>
            </w:r>
          </w:p>
        </w:tc>
        <w:tc>
          <w:tcPr/>
          <w:p>
            <w:pPr>
              <w:pStyle w:val="Compact"/>
              <w:jc w:val="left"/>
            </w:pPr>
            <w:r>
              <w:t xml:space="preserve">~28-29 %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Crec.</w:t>
            </w:r>
          </w:p>
        </w:tc>
      </w:tr>
      <w:tr>
        <w:tc>
          <w:tcPr/>
          <w:p>
            <w:pPr>
              <w:pStyle w:val="Compact"/>
              <w:jc w:val="left"/>
            </w:pPr>
            <w:r>
              <w:t xml:space="preserve">2023</w:t>
            </w:r>
          </w:p>
        </w:tc>
        <w:tc>
          <w:tcPr/>
          <w:p>
            <w:pPr>
              <w:pStyle w:val="Compact"/>
              <w:jc w:val="left"/>
            </w:pPr>
            <w:r>
              <w:t xml:space="preserve">2.128</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2.684</w:t>
            </w:r>
          </w:p>
        </w:tc>
        <w:tc>
          <w:tcPr/>
          <w:p>
            <w:pPr>
              <w:pStyle w:val="Compact"/>
              <w:jc w:val="left"/>
            </w:pPr>
            <w:r>
              <w:t xml:space="preserve">26,1 %</w:t>
            </w:r>
          </w:p>
        </w:tc>
      </w:tr>
      <w:tr>
        <w:tc>
          <w:tcPr/>
          <w:p>
            <w:pPr>
              <w:pStyle w:val="Compact"/>
              <w:jc w:val="left"/>
            </w:pPr>
            <w:r>
              <w:t xml:space="preserve">2025</w:t>
            </w:r>
          </w:p>
        </w:tc>
        <w:tc>
          <w:tcPr/>
          <w:p>
            <w:pPr>
              <w:pStyle w:val="Compact"/>
              <w:jc w:val="left"/>
            </w:pPr>
            <w:r>
              <w:t xml:space="preserve">3.427</w:t>
            </w:r>
          </w:p>
        </w:tc>
        <w:tc>
          <w:tcPr/>
          <w:p>
            <w:pPr>
              <w:pStyle w:val="Compact"/>
              <w:jc w:val="left"/>
            </w:pPr>
            <w:r>
              <w:t xml:space="preserve">27,7 %</w:t>
            </w:r>
          </w:p>
        </w:tc>
      </w:tr>
      <w:tr>
        <w:tc>
          <w:tcPr/>
          <w:p>
            <w:pPr>
              <w:pStyle w:val="Compact"/>
              <w:jc w:val="left"/>
            </w:pPr>
            <w:r>
              <w:t xml:space="preserve">2026 (guía de agosto)</w:t>
            </w:r>
          </w:p>
        </w:tc>
        <w:tc>
          <w:tcPr/>
          <w:p>
            <w:pPr>
              <w:pStyle w:val="Compact"/>
              <w:jc w:val="left"/>
            </w:pPr>
            <w:r>
              <w:t xml:space="preserve">4.450-4.470</w:t>
            </w:r>
          </w:p>
        </w:tc>
        <w:tc>
          <w:tcPr/>
          <w:p>
            <w:pPr>
              <w:pStyle w:val="Compact"/>
              <w:jc w:val="left"/>
            </w:pPr>
            <w:r>
              <w:t xml:space="preserve">~30 %</w:t>
            </w:r>
          </w:p>
        </w:tc>
      </w:tr>
    </w:tbl>
    <w:p>
      <w:pPr>
        <w:pStyle w:val="BodyText"/>
      </w:pPr>
      <w:r>
        <w:t xml:space="preserve">Fuente: SEC XBRL y notas de resultados [1][2][4].</w:t>
      </w:r>
    </w:p>
    <w:p>
      <w:pPr>
        <w:numPr>
          <w:ilvl w:val="0"/>
          <w:numId w:val="1003"/>
        </w:numPr>
        <w:pStyle w:val="Compact"/>
      </w:pPr>
      <w:r>
        <w:rPr>
          <w:bCs/>
          <w:b/>
        </w:rPr>
        <w:t xml:space="preserve">Ventas de los últimos 12 meses</w:t>
      </w:r>
      <w:r>
        <w:t xml:space="preserve"> </w:t>
      </w:r>
      <w:r>
        <w:t xml:space="preserve">(3T25-2T26):</w:t>
      </w:r>
      <w:r>
        <w:t xml:space="preserve"> </w:t>
      </w:r>
      <w:r>
        <w:rPr>
          <w:bCs/>
          <w:b/>
        </w:rPr>
        <w:t xml:space="preserve">3.967 M USD, +31,5 %</w:t>
      </w:r>
      <w:r>
        <w:t xml:space="preserve">.</w:t>
      </w:r>
      <w:r>
        <w:t xml:space="preserve"> </w:t>
      </w:r>
      <w:r>
        <w:rPr>
          <w:bCs/>
          <w:b/>
        </w:rPr>
        <w:t xml:space="preserve">CAGR propio a 2 años: 28,7 %</w:t>
      </w:r>
      <w:r>
        <w:t xml:space="preserve"> </w:t>
      </w:r>
      <w:r>
        <w:t xml:space="preserve">(12 m a jun-2024: 2.394 M).</w:t>
      </w:r>
    </w:p>
    <w:p>
      <w:pPr>
        <w:numPr>
          <w:ilvl w:val="0"/>
          <w:numId w:val="1003"/>
        </w:numPr>
        <w:pStyle w:val="Compact"/>
      </w:pPr>
      <w:r>
        <w:rPr>
          <w:bCs/>
          <w:b/>
        </w:rPr>
        <w:t xml:space="preserve">Aceleración</w:t>
      </w:r>
      <w:r>
        <w:t xml:space="preserve">: el 2T26 (+35,6 %) frente a la media de los cuatro anteriores (+29,5 %):</w:t>
      </w:r>
      <w:r>
        <w:t xml:space="preserve"> </w:t>
      </w:r>
      <w:r>
        <w:rPr>
          <w:bCs/>
          <w:b/>
        </w:rPr>
        <w:t xml:space="preserve">+6,1 pp</w:t>
      </w:r>
      <w:r>
        <w:t xml:space="preserve">.</w:t>
      </w:r>
    </w:p>
    <w:p>
      <w:pPr>
        <w:numPr>
          <w:ilvl w:val="0"/>
          <w:numId w:val="1003"/>
        </w:numPr>
        <w:pStyle w:val="Compact"/>
      </w:pPr>
      <w:r>
        <w:rPr>
          <w:bCs/>
          <w:b/>
        </w:rPr>
        <w:t xml:space="preserve">Retención neta en dólares</w:t>
      </w:r>
      <w:r>
        <w:t xml:space="preserve">: «low-120%s» a 12 meses (~120 % un año antes); Bernstein espera una caída puntual en el 3T por el mayor cliente [3][8]. Se usa 121 % como aproximación.</w:t>
      </w:r>
    </w:p>
    <w:p>
      <w:pPr>
        <w:numPr>
          <w:ilvl w:val="0"/>
          <w:numId w:val="1003"/>
        </w:numPr>
        <w:pStyle w:val="Compact"/>
      </w:pPr>
      <w:r>
        <w:rPr>
          <w:bCs/>
          <w:b/>
        </w:rPr>
        <w:t xml:space="preserve">Guía</w:t>
      </w:r>
      <w:r>
        <w:t xml:space="preserve">: año 2026 elevada dos veces (de 4.060-4.100 M en febrero a 4.450-4.470 M en agosto). Pero la del 3T (+~1,6 % sobre el 2T) incluye ya la</w:t>
      </w:r>
      <w:r>
        <w:t xml:space="preserve"> </w:t>
      </w:r>
      <w:r>
        <w:rPr>
          <w:bCs/>
          <w:b/>
        </w:rPr>
        <w:t xml:space="preserve">reducción de uso del mayor cliente</w:t>
      </w:r>
      <w:r>
        <w:t xml:space="preserve">, que renovó un contrato de nueve cifras con menos consumo. La cohorte «AI-native» aportó «high single digit» puntos del crecimiento del 2T [3][8]. La dirección dice que sin ese cliente el crecimiento sigue acelerando. Datadog suele batir su guía en un 4-5 %.</w:t>
      </w:r>
    </w:p>
    <w:p>
      <w:pPr>
        <w:numPr>
          <w:ilvl w:val="0"/>
          <w:numId w:val="1003"/>
        </w:numPr>
        <w:pStyle w:val="Compact"/>
      </w:pPr>
      <w:r>
        <w:rPr>
          <w:bCs/>
          <w:b/>
        </w:rPr>
        <w:t xml:space="preserve">Lectura</w:t>
      </w:r>
      <w:r>
        <w:t xml:space="preserve">: el +36 % del 2T es el pico; lo realista para los próximos 12 meses es un ~25-28 %.</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~80.000 M USD en 2028</w:t>
      </w:r>
      <w:r>
        <w:t xml:space="preserve"> </w:t>
      </w:r>
      <w:r>
        <w:t xml:space="preserve">(estimación propia a partir de Gartner: observabilidad en la nube de 51.000 M USD en 2023 con +11 % anual, y una parte de la seguridad en la nube, 21.000 M con +16 %) [13]. Cantor y BMO daban 62.000-70.000 M para 2026. En el Investor Day de febrero la empresa habló de ~32.000 clientes, un ~7 % de su universo de ~500.000 empresas [11].</w:t>
      </w:r>
    </w:p>
    <w:p>
      <w:pPr>
        <w:numPr>
          <w:ilvl w:val="0"/>
          <w:numId w:val="1004"/>
        </w:numPr>
        <w:pStyle w:val="Compact"/>
      </w:pPr>
      <w:r>
        <w:rPr>
          <w:bCs/>
          <w:b/>
        </w:rPr>
        <w:t xml:space="preserve">Penetración</w:t>
      </w:r>
      <w:r>
        <w:t xml:space="preserve">: 3.967 / 80.000 =</w:t>
      </w:r>
      <w:r>
        <w:t xml:space="preserve"> </w:t>
      </w:r>
      <w:r>
        <w:rPr>
          <w:bCs/>
          <w:b/>
        </w:rPr>
        <w:t xml:space="preserve">5,0 %</w:t>
      </w:r>
      <w:r>
        <w:t xml:space="preserve"> </w:t>
      </w:r>
      <w:r>
        <w:t xml:space="preserve">(justo en el corte de 4 a 3 puntos: con un mercado de 70.000 M bajaría a 3 puntos y la puntuación a 78,5; no cambia la señal).</w:t>
      </w:r>
    </w:p>
    <w:p>
      <w:pPr>
        <w:numPr>
          <w:ilvl w:val="0"/>
          <w:numId w:val="1004"/>
        </w:numPr>
        <w:pStyle w:val="Compact"/>
      </w:pPr>
      <w:r>
        <w:rPr>
          <w:bCs/>
          <w:b/>
        </w:rPr>
        <w:t xml:space="preserve">Rivales</w:t>
      </w:r>
      <w:r>
        <w:t xml:space="preserve">: Dynatrace (gran empresa, más barato), Splunk (Cisco), New Relic y Sumo Logic (privatizadas), Grafana Labs (código abierto, la competencia más incómoda en precio), Elastic, Chronosphere, y las herramientas de AWS, Azure y Google. En seguridad, CrowdStrike, Palo Alto y Wiz (Google).</w:t>
      </w:r>
    </w:p>
    <w:p>
      <w:pPr>
        <w:numPr>
          <w:ilvl w:val="0"/>
          <w:numId w:val="1004"/>
        </w:numPr>
        <w:pStyle w:val="Compact"/>
      </w:pPr>
      <w:r>
        <w:rPr>
          <w:bCs/>
          <w:b/>
        </w:rPr>
        <w:t xml:space="preserve">Por qué gana</w:t>
      </w:r>
      <w:r>
        <w:t xml:space="preserve">: plataforma única en lugar de herramientas sueltas (venta cruzada: el 58 % usa 4+ productos), rapidez en producto (más de 400 funciones nuevas en 2025 y más de 100 en DASH 2026) y ser la opción por defecto de las empresas nativas de la nube y de la IA (las diez mayores empresas de IA son clientes). El riesgo es el precio: los clientes grandes optimizan su gasto cuando crece demasiado, como ya pasó en 2022-2023 y ahora con el mayor cliente.</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Guía 2026 de 4.080 a 4.460 M USD (+9 %) en dos subidas, por encima del consenso (4.350 M); precios objetivo al alza en octubre: CIBC 315, RBC 320, Barclays 300, FBN 325. Ojo: basada en guía y precios objetivo, no en una serie de estimaciones.</w:t>
            </w:r>
          </w:p>
        </w:tc>
        <w:tc>
          <w:tcPr/>
          <w:p>
            <w:pPr>
              <w:pStyle w:val="Compact"/>
              <w:jc w:val="left"/>
            </w:pPr>
            <w:r>
              <w:t xml:space="preserve">[1][2][7][8]</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Sí</w:t>
            </w:r>
          </w:p>
        </w:tc>
        <w:tc>
          <w:tcPr/>
          <w:p>
            <w:pPr>
              <w:pStyle w:val="Compact"/>
              <w:jc w:val="left"/>
            </w:pPr>
            <w:r>
              <w:t xml:space="preserve">283,34 USD frente a una media de 189,8 USD que sube (177,8 hace un mes, 161,1 hace tres).</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Sí</w:t>
            </w:r>
          </w:p>
        </w:tc>
        <w:tc>
          <w:tcPr/>
          <w:p>
            <w:pPr>
              <w:pStyle w:val="Compact"/>
              <w:jc w:val="left"/>
            </w:pPr>
            <w:r>
              <w:t xml:space="preserve">+156 % desde el 14-abr (110,57 USD) frente a +18 % del Nasdaq-100.</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EV/ventas NTM de ~8x (mínimo del 23-feb) a 20,3x (+150 %). Con la v8 no contaría: ya está a 1,7 veces su mediana de 3 años.</w:t>
            </w:r>
          </w:p>
        </w:tc>
        <w:tc>
          <w:tcPr/>
          <w:p>
            <w:pPr>
              <w:pStyle w:val="Compact"/>
              <w:jc w:val="left"/>
            </w:pPr>
            <w:r>
              <w:t xml:space="preserve">[5][12]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rentable en FCF. Margen operativo GAAP de −4,3 % a +0,5 % (+4,8 pp) y FCF de 20,0 % a 24,9 % (+4,9 pp): mejora clara, pero por debajo de +5 pp.</w:t>
            </w:r>
          </w:p>
        </w:tc>
        <w:tc>
          <w:tcPr/>
          <w:p>
            <w:pPr>
              <w:pStyle w:val="Compact"/>
              <w:jc w:val="left"/>
            </w:pPr>
            <w:r>
              <w:t xml:space="preserve">[1][4]</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Giró mucho desde febrero, pero hoy ya es muy alcista (máximos de 52 semanas, StockTwits con «to the moon» y compras apalancadas, precio por encima del objetivo medio de 280,51 USD). Se considera ya caliente, no mejorando desde abajo.</w:t>
            </w:r>
          </w:p>
        </w:tc>
        <w:tc>
          <w:tcPr/>
          <w:p>
            <w:pPr>
              <w:pStyle w:val="Compact"/>
              <w:jc w:val="left"/>
            </w:pPr>
            <w:r>
              <w:t xml:space="preserve">[7][9][10]</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Solo ventas: decenas de formularios 4 y 144 entre septiembre y el 9-oct.</w:t>
            </w:r>
          </w:p>
        </w:tc>
        <w:tc>
          <w:tcPr/>
          <w:p>
            <w:pPr>
              <w:pStyle w:val="Compact"/>
              <w:jc w:val="left"/>
            </w:pPr>
            <w:r>
              <w:t xml:space="preserve">[6]</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Agentes de IA propios (Bits AI) en disponibilidad general, observabilidad de LLM y GPU, compra de Adaptive ML; resultados del 3T a principios de noviembre.</w:t>
            </w:r>
          </w:p>
        </w:tc>
        <w:tc>
          <w:tcPr/>
          <w:p>
            <w:pPr>
              <w:pStyle w:val="Compact"/>
              <w:jc w:val="left"/>
            </w:pPr>
            <w:r>
              <w:t xml:space="preserve">[1][11]</w:t>
            </w:r>
          </w:p>
        </w:tc>
      </w:tr>
    </w:tbl>
    <w:p>
      <w:pPr>
        <w:pStyle w:val="BodyText"/>
      </w:pPr>
      <w:r>
        <w:rPr>
          <w:bCs/>
          <w:b/>
        </w:rPr>
        <w:t xml:space="preserve">Euforia: no</w:t>
      </w:r>
      <w:r>
        <w:t xml:space="preserve"> </w:t>
      </w:r>
      <w:r>
        <w:t xml:space="preserve">por la regla (+72,6 % en 12 meses, por debajo del 150 %; EV/beneficio bruto 25,6x). Pero la subida de 6 meses (+156 %) supera ese umbral: el método solo mira 12 meses y aquí se queda corto (sección 9).</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w:t>
      </w:r>
      <w:r>
        <w:t xml:space="preserve"> </w:t>
      </w:r>
      <w:r>
        <w:rPr>
          <w:bCs/>
          <w:b/>
        </w:rPr>
        <w:t xml:space="preserve">79,5 %</w:t>
      </w:r>
      <w:r>
        <w:t xml:space="preserve"> </w:t>
      </w:r>
      <w:r>
        <w:t xml:space="preserve">en los últimos 12 meses (beneficio bruto 3.154 M USD sobre 3.967 M); 79 % en el 2T26 frente a 80 % un año antes, por más coste de nube de terceros [3][4].</w:t>
      </w:r>
    </w:p>
    <w:p>
      <w:pPr>
        <w:numPr>
          <w:ilvl w:val="0"/>
          <w:numId w:val="1005"/>
        </w:numPr>
        <w:pStyle w:val="Compact"/>
      </w:pPr>
      <w:r>
        <w:rPr>
          <w:bCs/>
          <w:b/>
        </w:rPr>
        <w:t xml:space="preserve">FCF de los últimos 12 meses</w:t>
      </w:r>
      <w:r>
        <w:t xml:space="preserve">: flujo de explotación 1.229 M − inmovilizado 47 M − software capitalizado 109 M =</w:t>
      </w:r>
      <w:r>
        <w:t xml:space="preserve"> </w:t>
      </w:r>
      <w:r>
        <w:rPr>
          <w:bCs/>
          <w:b/>
        </w:rPr>
        <w:t xml:space="preserve">1.073 M USD, 27,1 %</w:t>
      </w:r>
      <w:r>
        <w:t xml:space="preserve"> </w:t>
      </w:r>
      <w:r>
        <w:t xml:space="preserve">de las ventas (2024: 775 M; 2025: 915 M):</w:t>
      </w:r>
      <w:r>
        <w:t xml:space="preserve"> </w:t>
      </w:r>
      <w:r>
        <w:rPr>
          <w:bCs/>
          <w:b/>
        </w:rPr>
        <w:t xml:space="preserve">FCF creciente</w:t>
      </w:r>
      <w:r>
        <w:t xml:space="preserve"> </w:t>
      </w:r>
      <w:r>
        <w:t xml:space="preserve">[4].</w:t>
      </w:r>
    </w:p>
    <w:p>
      <w:pPr>
        <w:numPr>
          <w:ilvl w:val="0"/>
          <w:numId w:val="1005"/>
        </w:numPr>
        <w:pStyle w:val="Compact"/>
      </w:pPr>
      <w:r>
        <w:rPr>
          <w:bCs/>
          <w:b/>
        </w:rPr>
        <w:t xml:space="preserve">Regla del 40</w:t>
      </w:r>
      <w:r>
        <w:t xml:space="preserve">: 31,5 + 27,1 =</w:t>
      </w:r>
      <w:r>
        <w:t xml:space="preserve"> </w:t>
      </w:r>
      <w:r>
        <w:rPr>
          <w:bCs/>
          <w:b/>
        </w:rPr>
        <w:t xml:space="preserve">58,6</w:t>
      </w:r>
      <w:r>
        <w:t xml:space="preserve">.</w:t>
      </w:r>
      <w:r>
        <w:t xml:space="preserve"> </w:t>
      </w:r>
      <w:r>
        <w:rPr>
          <w:bCs/>
          <w:b/>
        </w:rPr>
        <w:t xml:space="preserve">Ojo</w:t>
      </w:r>
      <w:r>
        <w:t xml:space="preserve">: con FCF menos pagos en acciones (1.073 − 823 = 250 M, 6,3 %) sería</w:t>
      </w:r>
      <w:r>
        <w:t xml:space="preserve"> </w:t>
      </w:r>
      <w:r>
        <w:rPr>
          <w:bCs/>
          <w:b/>
        </w:rPr>
        <w:t xml:space="preserve">37,8</w:t>
      </w:r>
      <w:r>
        <w:t xml:space="preserve">.</w:t>
      </w:r>
    </w:p>
    <w:p>
      <w:pPr>
        <w:numPr>
          <w:ilvl w:val="0"/>
          <w:numId w:val="1005"/>
        </w:numPr>
        <w:pStyle w:val="Compact"/>
      </w:pPr>
      <w:r>
        <w:rPr>
          <w:bCs/>
          <w:b/>
        </w:rPr>
        <w:t xml:space="preserve">Apalancamiento operativo</w:t>
      </w:r>
      <w:r>
        <w:t xml:space="preserve">: margen operativo no GAAP del 22-23 % (guía 2026: 1.010-1.030 M, ~23 %); GAAP aún en ~0 % por los pagos en acciones. El margen mejora despacio porque reinvierte en I+D (43 % de las ventas en el 2T).</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y valores</w:t>
      </w:r>
      <w:r>
        <w:t xml:space="preserve">:</w:t>
      </w:r>
      <w:r>
        <w:t xml:space="preserve"> </w:t>
      </w:r>
      <w:r>
        <w:rPr>
          <w:bCs/>
          <w:b/>
        </w:rPr>
        <w:t xml:space="preserve">4.985 M USD</w:t>
      </w:r>
      <w:r>
        <w:t xml:space="preserve"> </w:t>
      </w:r>
      <w:r>
        <w:t xml:space="preserve">a 30-jun-2026 (435 de caja y 4.550 de valores) [3][4].</w:t>
      </w:r>
    </w:p>
    <w:p>
      <w:pPr>
        <w:numPr>
          <w:ilvl w:val="0"/>
          <w:numId w:val="1006"/>
        </w:numPr>
        <w:pStyle w:val="Compact"/>
      </w:pPr>
      <w:r>
        <w:rPr>
          <w:bCs/>
          <w:b/>
        </w:rPr>
        <w:t xml:space="preserve">Deuda</w:t>
      </w:r>
      <w:r>
        <w:t xml:space="preserve">:</w:t>
      </w:r>
      <w:r>
        <w:t xml:space="preserve"> </w:t>
      </w:r>
      <w:r>
        <w:rPr>
          <w:bCs/>
          <w:b/>
        </w:rPr>
        <w:t xml:space="preserve">1.000 M USD</w:t>
      </w:r>
      <w:r>
        <w:t xml:space="preserve"> </w:t>
      </w:r>
      <w:r>
        <w:t xml:space="preserve">en bonos convertibles al 0 % con vencimiento en dic-2029, conversión a 217,60 USD y</w:t>
      </w:r>
      <w:r>
        <w:t xml:space="preserve"> </w:t>
      </w:r>
      <w:r>
        <w:rPr>
          <w:iCs/>
          <w:i/>
        </w:rPr>
        <w:t xml:space="preserve">capped call</w:t>
      </w:r>
      <w:r>
        <w:t xml:space="preserve"> </w:t>
      </w:r>
      <w:r>
        <w:t xml:space="preserve">hasta 322,38 USD: al precio de hoy la cobertura neutraliza la dilución, así que se cuentan como deuda y no como acciones [3]. Caja neta ~3.985 M.</w:t>
      </w:r>
    </w:p>
    <w:p>
      <w:pPr>
        <w:numPr>
          <w:ilvl w:val="0"/>
          <w:numId w:val="1006"/>
        </w:numPr>
        <w:pStyle w:val="Compact"/>
      </w:pPr>
      <w:r>
        <w:rPr>
          <w:bCs/>
          <w:b/>
        </w:rPr>
        <w:t xml:space="preserve">Pista</w:t>
      </w:r>
      <w:r>
        <w:t xml:space="preserve">: FCF positivo, sin quema.</w:t>
      </w:r>
    </w:p>
    <w:p>
      <w:pPr>
        <w:numPr>
          <w:ilvl w:val="0"/>
          <w:numId w:val="1006"/>
        </w:numPr>
        <w:pStyle w:val="Compact"/>
      </w:pPr>
      <w:r>
        <w:rPr>
          <w:bCs/>
          <w:b/>
        </w:rPr>
        <w:t xml:space="preserve">Acciones diluidas</w:t>
      </w:r>
      <w:r>
        <w:t xml:space="preserve">:</w:t>
      </w:r>
      <w:r>
        <w:t xml:space="preserve"> </w:t>
      </w:r>
      <w:r>
        <w:rPr>
          <w:bCs/>
          <w:b/>
        </w:rPr>
        <w:t xml:space="preserve">373 M</w:t>
      </w:r>
      <w:r>
        <w:t xml:space="preserve"> </w:t>
      </w:r>
      <w:r>
        <w:t xml:space="preserve">(guía de 378 M de media diluida para el 3T menos los 4,6 M de la conversión; 359,1 M en circulación a 31-jul) [1][3].</w:t>
      </w:r>
    </w:p>
    <w:p>
      <w:pPr>
        <w:numPr>
          <w:ilvl w:val="0"/>
          <w:numId w:val="1006"/>
        </w:numPr>
        <w:pStyle w:val="Compact"/>
      </w:pPr>
      <w:r>
        <w:rPr>
          <w:bCs/>
          <w:b/>
        </w:rPr>
        <w:t xml:space="preserve">Dilución</w:t>
      </w:r>
      <w:r>
        <w:t xml:space="preserve">: ~</w:t>
      </w:r>
      <w:r>
        <w:rPr>
          <w:bCs/>
          <w:b/>
        </w:rPr>
        <w:t xml:space="preserve">3 %</w:t>
      </w:r>
      <w:r>
        <w:t xml:space="preserve"> </w:t>
      </w:r>
      <w:r>
        <w:t xml:space="preserve">anual (media diluida del 2T de 358,7 a 371,0 M; básica de 346,2 a 356,3 M). No recompra acciones.</w:t>
      </w:r>
    </w:p>
    <w:p>
      <w:pPr>
        <w:numPr>
          <w:ilvl w:val="0"/>
          <w:numId w:val="1006"/>
        </w:numPr>
        <w:pStyle w:val="Compact"/>
      </w:pPr>
      <w:r>
        <w:rPr>
          <w:bCs/>
          <w:b/>
        </w:rPr>
        <w:t xml:space="preserve">Pagos en acciones: 20,7 % de las ventas</w:t>
      </w:r>
      <w:r>
        <w:t xml:space="preserve"> </w:t>
      </w:r>
      <w:r>
        <w:t xml:space="preserve">(823 M USD en 12 meses; 433 M en el semestre, contando lo capitalizado).</w:t>
      </w:r>
      <w:r>
        <w:t xml:space="preserve"> </w:t>
      </w:r>
      <w:r>
        <w:rPr>
          <w:bCs/>
          <w:b/>
        </w:rPr>
        <w:t xml:space="preserve">En rojo: por encima del 15 % del método.</w:t>
      </w:r>
      <w:r>
        <w:t xml:space="preserve"> </w:t>
      </w:r>
      <w:r>
        <w:t xml:space="preserve">Es el coste oculto del FCF del 27 %.</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(5/5)</w:t>
      </w:r>
      <w:r>
        <w:t xml:space="preserve">: en 2026 batió la guía de ventas en los dos trimestres (y, de memoria, lo ha hecho en todos desde su salida a bolsa en 2019): 1T 1.006 M frente a 951-961 M y 2T 1.121 M frente a 1.070-1.080 M, con el año subido dos veces [1][2]. La guía es conservadora a propósito.</w:t>
      </w:r>
    </w:p>
    <w:p>
      <w:pPr>
        <w:numPr>
          <w:ilvl w:val="0"/>
          <w:numId w:val="1007"/>
        </w:numPr>
        <w:pStyle w:val="Compact"/>
      </w:pPr>
      <w:r>
        <w:rPr>
          <w:bCs/>
          <w:b/>
        </w:rPr>
        <w:t xml:space="preserve">Dirección (3/5)</w:t>
      </w:r>
      <w:r>
        <w:t xml:space="preserve">: los fundadores Olivier Pomel (CEO) y Alexis Lê-Quôc (CTO) siguen al mando y controlan el voto con las acciones de clase B (24,2 M; 10 votos por acción, de memoria). La asignación de capital es prudente (caja neta, compras pequeñas). Le restan los pagos en acciones del 21 % de las ventas, la falta de recompras y las ventas continuas de directivos [3][6].</w:t>
      </w:r>
    </w:p>
    <w:bookmarkEnd w:id="27"/>
    <w:bookmarkStart w:id="28" w:name="valoración"/>
    <w:p>
      <w:pPr>
        <w:pStyle w:val="Heading2"/>
      </w:pPr>
      <w:r>
        <w:t xml:space="preserve">9. Valoración</w:t>
      </w:r>
    </w:p>
    <w:p>
      <w:pPr>
        <w:pStyle w:val="FirstParagraph"/>
      </w:pPr>
      <w:r>
        <w:rPr>
          <w:bCs/>
          <w:b/>
        </w:rPr>
        <w:t xml:space="preserve">Ejercicio objetivo</w:t>
      </w:r>
      <w:r>
        <w:t xml:space="preserve">: 12 meses a jun-2028 (ventas de los 12 meses siguientes dentro de un año; 2 años sobre los 12 m a jun-2026, como en el backtest).</w:t>
      </w:r>
      <w:r>
        <w:t xml:space="preserve"> </w:t>
      </w:r>
      <w:r>
        <w:rPr>
          <w:bCs/>
          <w:b/>
        </w:rPr>
        <w:t xml:space="preserve">Métrica: EV/ventas NTM</w:t>
      </w:r>
      <w:r>
        <w:t xml:space="preserve">: el margen operativo GAAP es ~0 %, así que el EV/EBITDA no es estable.</w:t>
      </w:r>
    </w:p>
    <w:p>
      <w:pPr>
        <w:numPr>
          <w:ilvl w:val="0"/>
          <w:numId w:val="1008"/>
        </w:numPr>
        <w:pStyle w:val="Compact"/>
      </w:pPr>
      <w:r>
        <w:rPr>
          <w:bCs/>
          <w:b/>
        </w:rPr>
        <w:t xml:space="preserve">EV de hoy</w:t>
      </w:r>
      <w:r>
        <w:t xml:space="preserve">: 283,34 × 373 + 1.000 − 4.985 =</w:t>
      </w:r>
      <w:r>
        <w:t xml:space="preserve"> </w:t>
      </w:r>
      <w:r>
        <w:rPr>
          <w:bCs/>
          <w:b/>
        </w:rPr>
        <w:t xml:space="preserve">101.700 M USD</w:t>
      </w:r>
      <w:r>
        <w:t xml:space="preserve">.</w:t>
      </w:r>
    </w:p>
    <w:p>
      <w:pPr>
        <w:numPr>
          <w:ilvl w:val="0"/>
          <w:numId w:val="1008"/>
        </w:numPr>
        <w:pStyle w:val="Compact"/>
      </w:pPr>
      <w:r>
        <w:rPr>
          <w:bCs/>
          <w:b/>
        </w:rPr>
        <w:t xml:space="preserve">Ventas NTM</w:t>
      </w:r>
      <w:r>
        <w:t xml:space="preserve">: ~5.000 M USD (12 m × 1,26; la guía da 1.140 M en el 3T y ~1.192 M implícitos en el 4T).</w:t>
      </w:r>
      <w:r>
        <w:t xml:space="preserve"> </w:t>
      </w:r>
      <w:r>
        <w:rPr>
          <w:bCs/>
          <w:b/>
        </w:rPr>
        <w:t xml:space="preserve">EV/ventas NTM: 20,3x; EV/beneficio bruto NTM: 25,6x</w:t>
      </w:r>
      <w:r>
        <w:t xml:space="preserve"> </w:t>
      </w:r>
      <w:r>
        <w:t xml:space="preserve">(tope del método: 35x).</w:t>
      </w:r>
    </w:p>
    <w:p>
      <w:pPr>
        <w:numPr>
          <w:ilvl w:val="0"/>
          <w:numId w:val="1008"/>
        </w:numPr>
        <w:pStyle w:val="Compact"/>
      </w:pPr>
      <w:r>
        <w:rPr>
          <w:bCs/>
          <w:b/>
        </w:rPr>
        <w:t xml:space="preserve">Mediana de 3 años: ~12x</w:t>
      </w:r>
      <w:r>
        <w:t xml:space="preserve"> </w:t>
      </w:r>
      <w:r>
        <w:t xml:space="preserve">(cálculo propio, EV de cierre de cada trimestre de 2023-2025 sobre las ventas reales de los cuatro siguientes, 11,6x).</w:t>
      </w:r>
      <w:r>
        <w:t xml:space="preserve"> </w:t>
      </w:r>
      <w:r>
        <w:rPr>
          <w:bCs/>
          <w:b/>
        </w:rPr>
        <w:t xml:space="preserve">Mínimo de 3 años: ~7,8x</w:t>
      </w:r>
      <w:r>
        <w:t xml:space="preserve"> </w:t>
      </w:r>
      <w:r>
        <w:t xml:space="preserve">(abril de 2025).</w:t>
      </w:r>
      <w:r>
        <w:t xml:space="preserve"> </w:t>
      </w:r>
      <w:r>
        <w:rPr>
          <w:bCs/>
          <w:b/>
        </w:rPr>
        <w:t xml:space="preserve">Comparables: ~15x</w:t>
      </w:r>
      <w:r>
        <w:t xml:space="preserve"> </w:t>
      </w:r>
      <w:r>
        <w:t xml:space="preserve">(de memoria; no afecta al cálculo) [12][14].</w:t>
      </w:r>
    </w:p>
    <w:p>
      <w:pPr>
        <w:numPr>
          <w:ilvl w:val="0"/>
          <w:numId w:val="1008"/>
        </w:numPr>
        <w:pStyle w:val="Compact"/>
      </w:pPr>
      <w:r>
        <w:rPr>
          <w:bCs/>
          <w:b/>
        </w:rPr>
        <w:t xml:space="preserve">Desaceleración</w:t>
      </w:r>
      <w:r>
        <w:t xml:space="preserve">: 26 % NTM frente a 21 % en el año objetivo → factor 0,90.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año objetivo (M USD)</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5.191</w:t>
            </w:r>
          </w:p>
        </w:tc>
        <w:tc>
          <w:tcPr/>
          <w:p>
            <w:pPr>
              <w:pStyle w:val="Compact"/>
              <w:jc w:val="left"/>
            </w:pPr>
            <w:r>
              <w:t xml:space="preserve">10,9x</w:t>
            </w:r>
          </w:p>
        </w:tc>
        <w:tc>
          <w:tcPr/>
          <w:p>
            <w:pPr>
              <w:pStyle w:val="Compact"/>
              <w:jc w:val="left"/>
            </w:pPr>
            <w:r>
              <w:t xml:space="preserve">158,3</w:t>
            </w:r>
          </w:p>
        </w:tc>
        <w:tc>
          <w:tcPr/>
          <w:p>
            <w:pPr>
              <w:pStyle w:val="Compact"/>
              <w:jc w:val="left"/>
            </w:pPr>
            <w:r>
              <w:t xml:space="preserve">−44,1 %</w:t>
            </w:r>
          </w:p>
        </w:tc>
      </w:tr>
      <w:tr>
        <w:tc>
          <w:tcPr/>
          <w:p>
            <w:pPr>
              <w:pStyle w:val="Compact"/>
              <w:jc w:val="left"/>
            </w:pPr>
            <w:r>
              <w:t xml:space="preserve">Base (50 %)</w:t>
            </w:r>
          </w:p>
        </w:tc>
        <w:tc>
          <w:tcPr/>
          <w:p>
            <w:pPr>
              <w:pStyle w:val="Compact"/>
              <w:jc w:val="left"/>
            </w:pPr>
            <w:r>
              <w:t xml:space="preserve">6.578</w:t>
            </w:r>
          </w:p>
        </w:tc>
        <w:tc>
          <w:tcPr/>
          <w:p>
            <w:pPr>
              <w:pStyle w:val="Compact"/>
              <w:jc w:val="left"/>
            </w:pPr>
            <w:r>
              <w:t xml:space="preserve">18,2x</w:t>
            </w:r>
          </w:p>
        </w:tc>
        <w:tc>
          <w:tcPr/>
          <w:p>
            <w:pPr>
              <w:pStyle w:val="Compact"/>
              <w:jc w:val="left"/>
            </w:pPr>
            <w:r>
              <w:t xml:space="preserve">322,7</w:t>
            </w:r>
          </w:p>
        </w:tc>
        <w:tc>
          <w:tcPr/>
          <w:p>
            <w:pPr>
              <w:pStyle w:val="Compact"/>
              <w:jc w:val="left"/>
            </w:pPr>
            <w:r>
              <w:t xml:space="preserve">+13,9 %</w:t>
            </w:r>
          </w:p>
        </w:tc>
      </w:tr>
      <w:tr>
        <w:tc>
          <w:tcPr/>
          <w:p>
            <w:pPr>
              <w:pStyle w:val="Compact"/>
              <w:jc w:val="left"/>
            </w:pPr>
            <w:r>
              <w:t xml:space="preserve">Alcista (25 %)</w:t>
            </w:r>
          </w:p>
        </w:tc>
        <w:tc>
          <w:tcPr/>
          <w:p>
            <w:pPr>
              <w:pStyle w:val="Compact"/>
              <w:jc w:val="left"/>
            </w:pPr>
            <w:r>
              <w:t xml:space="preserve">7.178</w:t>
            </w:r>
          </w:p>
        </w:tc>
        <w:tc>
          <w:tcPr/>
          <w:p>
            <w:pPr>
              <w:pStyle w:val="Compact"/>
              <w:jc w:val="left"/>
            </w:pPr>
            <w:r>
              <w:t xml:space="preserve">23,7x</w:t>
            </w:r>
          </w:p>
        </w:tc>
        <w:tc>
          <w:tcPr/>
          <w:p>
            <w:pPr>
              <w:pStyle w:val="Compact"/>
              <w:jc w:val="left"/>
            </w:pPr>
            <w:r>
              <w:t xml:space="preserve">453,5</w:t>
            </w:r>
          </w:p>
        </w:tc>
        <w:tc>
          <w:tcPr/>
          <w:p>
            <w:pPr>
              <w:pStyle w:val="Compact"/>
              <w:jc w:val="left"/>
            </w:pPr>
            <w:r>
              <w:t xml:space="preserve">+60,1 %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314,3</w:t>
            </w:r>
          </w:p>
        </w:tc>
        <w:tc>
          <w:tcPr/>
          <w:p>
            <w:pPr>
              <w:pStyle w:val="Compact"/>
              <w:jc w:val="left"/>
            </w:pPr>
            <w:r>
              <w:rPr>
                <w:bCs/>
                <w:b/>
              </w:rPr>
              <w:t xml:space="preserve">+10,9 %</w:t>
            </w:r>
          </w:p>
        </w:tc>
      </w:tr>
    </w:tbl>
    <w:p>
      <w:pPr>
        <w:pStyle w:val="BodyText"/>
      </w:pPr>
      <w:r>
        <w:t xml:space="preserve">Acciones dentro de 12 meses: 384,2 M (dilución del 3 %); caja neta de hoy sin sumar el FCF futuro, por la regla.</w:t>
      </w:r>
      <w:r>
        <w:t xml:space="preserve"> </w:t>
      </w:r>
      <w:r>
        <w:rPr>
          <w:bCs/>
          <w:b/>
        </w:rPr>
        <w:t xml:space="preserve">Asimetría: 1,4.</w:t>
      </w:r>
      <w:r>
        <w:t xml:space="preserve"> </w:t>
      </w:r>
      <w:r>
        <w:rPr>
          <w:bCs/>
          <w:b/>
        </w:rPr>
        <w:t xml:space="preserve">Precio máximo de compra: 299,3 USD</w:t>
      </w:r>
      <w:r>
        <w:t xml:space="preserve"> </w:t>
      </w:r>
      <w:r>
        <w:t xml:space="preserve">(el que da ponderada +5 %; el tope de 35x beneficio bruto estaría por encima).</w:t>
      </w:r>
    </w:p>
    <w:p>
      <w:pPr>
        <w:numPr>
          <w:ilvl w:val="0"/>
          <w:numId w:val="1009"/>
        </w:numPr>
        <w:pStyle w:val="Compact"/>
      </w:pPr>
      <w:r>
        <w:rPr>
          <w:bCs/>
          <w:b/>
        </w:rPr>
        <w:t xml:space="preserve">Proyección propia (contraste)</w:t>
      </w:r>
      <w:r>
        <w:t xml:space="preserve">: 5.500 / 6.300 / 6.900 M USD (base: ~4.500 M en 2026 batiendo algo la guía, +23 % en 2027 y +21 % en 2028). Es un 4 % menor que la mecánica (6.578 M), que parte de un crecimiento del 31 % que incluye el empujón del mayor cliente.</w:t>
      </w:r>
    </w:p>
    <w:p>
      <w:pPr>
        <w:numPr>
          <w:ilvl w:val="0"/>
          <w:numId w:val="1009"/>
        </w:numPr>
        <w:pStyle w:val="Compact"/>
      </w:pPr>
      <w:r>
        <w:rPr>
          <w:bCs/>
          <w:b/>
        </w:rPr>
        <w:t xml:space="preserve">Sensibilidad clave</w:t>
      </w:r>
      <w:r>
        <w:t xml:space="preserve">: con el crecimiento implícito en la guía (~27 %) como partida, el base daría 6.194 M y 304,5 USD (+7,5 %), la ponderada</w:t>
      </w:r>
      <w:r>
        <w:t xml:space="preserve"> </w:t>
      </w:r>
      <w:r>
        <w:rPr>
          <w:bCs/>
          <w:b/>
        </w:rPr>
        <w:t xml:space="preserve">+4,7 %</w:t>
      </w:r>
      <w:r>
        <w:t xml:space="preserve"> </w:t>
      </w:r>
      <w:r>
        <w:t xml:space="preserve">y la señal</w:t>
      </w:r>
      <w:r>
        <w:t xml:space="preserve"> </w:t>
      </w:r>
      <w:r>
        <w:rPr>
          <w:bCs/>
          <w:b/>
        </w:rPr>
        <w:t xml:space="preserve">Mantener (en vigilancia)</w:t>
      </w:r>
      <w:r>
        <w:t xml:space="preserve">, con compra hasta ~282 USD. Con probabilidades 35/50/15 (si se tratara la cohorte de IA como un hecho que no se repite), ponderada +0,5 %.</w:t>
      </w:r>
      <w:r>
        <w:t xml:space="preserve"> </w:t>
      </w:r>
      <w:r>
        <w:rPr>
          <w:bCs/>
          <w:b/>
        </w:rPr>
        <w:t xml:space="preserve">La compra depende de que el crecimiento no baje del ~30 %.</w:t>
      </w:r>
    </w:p>
    <w:p>
      <w:pPr>
        <w:numPr>
          <w:ilvl w:val="0"/>
          <w:numId w:val="1009"/>
        </w:numPr>
        <w:pStyle w:val="Compact"/>
      </w:pPr>
      <w:r>
        <w:rPr>
          <w:bCs/>
          <w:b/>
        </w:rPr>
        <w:t xml:space="preserve">Con la v8</w:t>
      </w:r>
      <w:r>
        <w:t xml:space="preserve"> </w:t>
      </w:r>
      <w:r>
        <w:t xml:space="preserve">(señal de múltiplo con tope): 4 señales y 77,3 puntos; la señal sigue en Comprar.</w:t>
      </w:r>
    </w:p>
    <w:p>
      <w:pPr>
        <w:numPr>
          <w:ilvl w:val="0"/>
          <w:numId w:val="1009"/>
        </w:numPr>
        <w:pStyle w:val="Compact"/>
      </w:pPr>
      <w:r>
        <w:rPr>
          <w:bCs/>
          <w:b/>
        </w:rPr>
        <w:t xml:space="preserve">Consenso</w:t>
      </w:r>
      <w:r>
        <w:t xml:space="preserve">: precio objetivo medio de 280,51 USD (46 analistas, MarketBeat), por debajo del precio; máximo 340 (Arete), mínimo 158 (Goldman Sachs, Venta) [7]. Consenso de ventas del año objetivo: no encontrado (null).</w:t>
      </w:r>
    </w:p>
    <w:p>
      <w:pPr>
        <w:numPr>
          <w:ilvl w:val="0"/>
          <w:numId w:val="1009"/>
        </w:numPr>
        <w:pStyle w:val="Compact"/>
      </w:pPr>
      <w:r>
        <w:rPr>
          <w:bCs/>
          <w:b/>
        </w:rPr>
        <w:t xml:space="preserve">DCF inverso</w:t>
      </w:r>
      <w:r>
        <w:t xml:space="preserve">: con WACC del 9,5 %, margen FCF del 27 % al 30 % y crecimiento terminal del 4 %, el precio descuenta</w:t>
      </w:r>
      <w:r>
        <w:t xml:space="preserve"> </w:t>
      </w:r>
      <w:r>
        <w:rPr>
          <w:bCs/>
          <w:b/>
        </w:rPr>
        <w:t xml:space="preserve">~24 % anual durante 10 años</w:t>
      </w:r>
      <w:r>
        <w:t xml:space="preserve"> </w:t>
      </w:r>
      <w:r>
        <w:t xml:space="preserve">(ventas de ~34.000 M USD en 2036, más que el mercado alcanzable de hoy). Si el FCF se mide después de pagos en acciones (margen final ~20 %), haría falta un ~29 %.</w:t>
      </w:r>
      <w:r>
        <w:t xml:space="preserve"> </w:t>
      </w:r>
      <w:r>
        <w:rPr>
          <w:bCs/>
          <w:b/>
        </w:rPr>
        <w:t xml:space="preserve">Exigente</w:t>
      </w:r>
      <w:r>
        <w:t xml:space="preserve">: pide mantener casi el ritmo actual una década.</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el relato pasó de «la IA destruirá el software» (febrero; BMO bajó el objetivo por el riesgo de OpenAI) a «la IA es un catalizador de demanda» tras el 1T (Wedbush; +31 % el 7-may). El 6-ago cayó un 19 % pese a batir y subir la guía: recogida de beneficios y el aviso del mayor cliente; Evercore lo llamó «un poco extremo». En octubre llegan nuevas subidas de objetivo (CIBC, RBC, Barclays, FBN) y Goldman mantiene la Venta [7][8][10].</w:t>
      </w:r>
    </w:p>
    <w:p>
      <w:pPr>
        <w:numPr>
          <w:ilvl w:val="0"/>
          <w:numId w:val="1010"/>
        </w:numPr>
        <w:pStyle w:val="Compact"/>
      </w:pPr>
      <w:r>
        <w:rPr>
          <w:bCs/>
          <w:b/>
        </w:rPr>
        <w:t xml:space="preserve">Seeking Alpha</w:t>
      </w:r>
      <w:r>
        <w:t xml:space="preserve">: tono de «ejecución fantástica, valoración exigente» (Jetstream Research, Mantener, jul-2026, ~25x ventas); los artículos alcistas son minoría [10].</w:t>
      </w:r>
    </w:p>
    <w:p>
      <w:pPr>
        <w:numPr>
          <w:ilvl w:val="0"/>
          <w:numId w:val="1010"/>
        </w:numPr>
        <w:pStyle w:val="Compact"/>
      </w:pPr>
      <w:r>
        <w:rPr>
          <w:bCs/>
          <w:b/>
        </w:rPr>
        <w:t xml:space="preserve">StockTwits / X</w:t>
      </w:r>
      <w:r>
        <w:t xml:space="preserve">: mayoría alcista, con mensajes de «to the moon», objetivos de 330-350 USD, compras apalancadas y rotura de 300 USD intradía el 12-oct; algunos avisan de «techo» y de rotación a semiconductores [9]. Indicio de calentamiento en el inversor minorista.</w:t>
      </w:r>
    </w:p>
    <w:p>
      <w:pPr>
        <w:numPr>
          <w:ilvl w:val="0"/>
          <w:numId w:val="1010"/>
        </w:numPr>
        <w:pStyle w:val="Compact"/>
      </w:pPr>
      <w:r>
        <w:rPr>
          <w:bCs/>
          <w:b/>
        </w:rPr>
        <w:t xml:space="preserve">Reddit (r/stocks, r/investing, r/datadog)</w:t>
      </w:r>
      <w:r>
        <w:t xml:space="preserve">: no se pudieron leer hilos recientes (la API devolvió una página sin datos).</w:t>
      </w:r>
      <w:r>
        <w:t xml:space="preserve"> </w:t>
      </w:r>
      <w:r>
        <w:rPr>
          <w:bCs/>
          <w:b/>
        </w:rPr>
        <w:t xml:space="preserve">Laguna.</w:t>
      </w:r>
    </w:p>
    <w:p>
      <w:pPr>
        <w:numPr>
          <w:ilvl w:val="0"/>
          <w:numId w:val="1010"/>
        </w:numPr>
        <w:pStyle w:val="Compact"/>
      </w:pPr>
      <w:r>
        <w:rPr>
          <w:bCs/>
          <w:b/>
        </w:rPr>
        <w:t xml:space="preserve">En castellano</w:t>
      </w:r>
      <w:r>
        <w:t xml:space="preserve">: no aparecen hilos en Rankia ni en Investing ES; TIKR en español recoge el consenso (34 compra, 10 superar al mercado) y una valoración justa de 181 USD en junio; Simply Wall St la ve un 16 % sobrevalorada [10].</w:t>
      </w:r>
      <w:r>
        <w:t xml:space="preserve"> </w:t>
      </w:r>
      <w:r>
        <w:rPr>
          <w:bCs/>
          <w:b/>
        </w:rPr>
        <w:t xml:space="preserve">Laguna parcial.</w:t>
      </w:r>
    </w:p>
    <w:p>
      <w:pPr>
        <w:numPr>
          <w:ilvl w:val="0"/>
          <w:numId w:val="1010"/>
        </w:numPr>
        <w:pStyle w:val="Compact"/>
      </w:pPr>
      <w:r>
        <w:rPr>
          <w:bCs/>
          <w:b/>
        </w:rPr>
        <w:t xml:space="preserve">Contraste con los datos</w:t>
      </w:r>
      <w:r>
        <w:t xml:space="preserve">: a diferencia de 2021, el giro tiene base (aceleración real y guía subida dos veces), pero el precio ya ha pasado al consenso de analistas y el múltiplo está muy por encima de su historia. Es justo el terreno donde el método avisa de que el precio cae más que el negocio si la percepción gira, como el 6-ago (−19 % en un día).</w:t>
      </w:r>
    </w:p>
    <w:bookmarkEnd w:id="29"/>
    <w:bookmarkStart w:id="30" w:name="riesgos-y-qué-rompería-la-tesis"/>
    <w:p>
      <w:pPr>
        <w:pStyle w:val="Heading2"/>
      </w:pPr>
      <w:r>
        <w:t xml:space="preserve">11. Riesgos y qué rompería la tesis</w:t>
      </w:r>
    </w:p>
    <w:p>
      <w:pPr>
        <w:numPr>
          <w:ilvl w:val="0"/>
          <w:numId w:val="1011"/>
        </w:numPr>
        <w:pStyle w:val="Compact"/>
      </w:pPr>
      <w:r>
        <w:rPr>
          <w:bCs/>
          <w:b/>
        </w:rPr>
        <w:t xml:space="preserve">Reversión del sentimiento y del múltiplo</w:t>
      </w:r>
      <w:r>
        <w:t xml:space="preserve">: es el principal. A 20x ventas, volver a la mediana (12x) con el negocio creciendo al 25 % supone perder un tercio; el bajista (−44 %) es eso más un crecimiento a la mitad.</w:t>
      </w:r>
    </w:p>
    <w:p>
      <w:pPr>
        <w:numPr>
          <w:ilvl w:val="0"/>
          <w:numId w:val="1011"/>
        </w:numPr>
        <w:pStyle w:val="Compact"/>
      </w:pPr>
      <w:r>
        <w:rPr>
          <w:bCs/>
          <w:b/>
        </w:rPr>
        <w:t xml:space="preserve">Concentración en la cohorte de IA</w:t>
      </w:r>
      <w:r>
        <w:t xml:space="preserve">: el mayor cliente (según la prensa, OpenAI) ya reduce el uso y renovó con menos consumo; la cohorte «AI-native» aportó varios puntos del crecimiento. Otras empresas de IA podrían optimizar o internalizar la observabilidad.</w:t>
      </w:r>
    </w:p>
    <w:p>
      <w:pPr>
        <w:numPr>
          <w:ilvl w:val="0"/>
          <w:numId w:val="1011"/>
        </w:numPr>
        <w:pStyle w:val="Compact"/>
      </w:pPr>
      <w:r>
        <w:rPr>
          <w:bCs/>
          <w:b/>
        </w:rPr>
        <w:t xml:space="preserve">Optimización de costes de los clientes</w:t>
      </w:r>
      <w:r>
        <w:t xml:space="preserve">: el modelo por uso amplifica los ciclos (2022-2023).</w:t>
      </w:r>
    </w:p>
    <w:p>
      <w:pPr>
        <w:numPr>
          <w:ilvl w:val="0"/>
          <w:numId w:val="1011"/>
        </w:numPr>
        <w:pStyle w:val="Compact"/>
      </w:pPr>
      <w:r>
        <w:rPr>
          <w:bCs/>
          <w:b/>
        </w:rPr>
        <w:t xml:space="preserve">Pagos en acciones del 21 % de las ventas</w:t>
      </w:r>
      <w:r>
        <w:t xml:space="preserve"> </w:t>
      </w:r>
      <w:r>
        <w:t xml:space="preserve">y dilución del 3 % anual: el FCF «real» para el accionista es del 6 %.</w:t>
      </w:r>
    </w:p>
    <w:p>
      <w:pPr>
        <w:numPr>
          <w:ilvl w:val="0"/>
          <w:numId w:val="1011"/>
        </w:numPr>
        <w:pStyle w:val="Compact"/>
      </w:pPr>
      <w:r>
        <w:rPr>
          <w:bCs/>
          <w:b/>
        </w:rPr>
        <w:t xml:space="preserve">Competencia y precio</w:t>
      </w:r>
      <w:r>
        <w:t xml:space="preserve">: OpenTelemetry y Grafana abaratan el cambio; los hiperescaladores mejoran sus herramientas.</w:t>
      </w:r>
    </w:p>
    <w:p>
      <w:pPr>
        <w:numPr>
          <w:ilvl w:val="0"/>
          <w:numId w:val="1011"/>
        </w:numPr>
        <w:pStyle w:val="Compact"/>
      </w:pPr>
      <w:r>
        <w:rPr>
          <w:bCs/>
          <w:b/>
        </w:rPr>
        <w:t xml:space="preserve">Gobierno</w:t>
      </w:r>
      <w:r>
        <w:t xml:space="preserve">: voto controlado por los fundadores y ventas continuas de directivos.</w:t>
      </w:r>
    </w:p>
    <w:p>
      <w:pPr>
        <w:pStyle w:val="FirstParagraph"/>
      </w:pPr>
      <w:r>
        <w:rPr>
          <w:bCs/>
          <w:b/>
        </w:rPr>
        <w:t xml:space="preserve">Señales de venta concretas</w:t>
      </w:r>
      <w:r>
        <w:t xml:space="preserve">:</w:t>
      </w:r>
      <w:r>
        <w:t xml:space="preserve"> </w:t>
      </w:r>
      <w:r>
        <w:t xml:space="preserve">- Crecimiento de ventas por debajo del 20 % dos trimestres seguidos, o retención neta por debajo del 110 %.</w:t>
      </w:r>
      <w:r>
        <w:t xml:space="preserve"> </w:t>
      </w:r>
      <w:r>
        <w:t xml:space="preserve">- Que el crecimiento sin el mayor cliente deje de acelerar (la dirección lo comenta en cada llamada).</w:t>
      </w:r>
      <w:r>
        <w:t xml:space="preserve"> </w:t>
      </w:r>
      <w:r>
        <w:t xml:space="preserve">- Margen bruto por debajo del 75 % o margen FCF por debajo del 20 %.</w:t>
      </w:r>
      <w:r>
        <w:t xml:space="preserve"> </w:t>
      </w:r>
      <w:r>
        <w:t xml:space="preserve">- Caída por debajo de la media de 200 sesiones con la media girando a la baja.</w:t>
      </w:r>
    </w:p>
    <w:p>
      <w:pPr>
        <w:pStyle w:val="BodyText"/>
      </w:pPr>
      <w:r>
        <w:t xml:space="preserve">Hoy no hay tesis rota.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Principios de nov-2026 (sin anunciar; el año pasado, 6-nov)</w:t>
            </w:r>
          </w:p>
        </w:tc>
        <w:tc>
          <w:tcPr/>
          <w:p>
            <w:pPr>
              <w:pStyle w:val="Compact"/>
              <w:jc w:val="left"/>
            </w:pPr>
            <w:r>
              <w:t xml:space="preserve">Resultados del 3T26: primer trimestre con la rebaja del mayor cliente, guía 2027 cualitativa</w:t>
            </w:r>
          </w:p>
        </w:tc>
        <w:tc>
          <w:tcPr/>
          <w:p>
            <w:pPr>
              <w:pStyle w:val="Compact"/>
              <w:jc w:val="left"/>
            </w:pPr>
            <w:r>
              <w:t xml:space="preserve">+/−</w:t>
            </w:r>
          </w:p>
        </w:tc>
      </w:tr>
      <w:tr>
        <w:tc>
          <w:tcPr/>
          <w:p>
            <w:pPr>
              <w:pStyle w:val="Compact"/>
              <w:jc w:val="left"/>
            </w:pPr>
            <w:r>
              <w:t xml:space="preserve">Dic-2026</w:t>
            </w:r>
          </w:p>
        </w:tc>
        <w:tc>
          <w:tcPr/>
          <w:p>
            <w:pPr>
              <w:pStyle w:val="Compact"/>
              <w:jc w:val="left"/>
            </w:pPr>
            <w:r>
              <w:t xml:space="preserve">AWS re:Invent (acuerdos y lanzamientos con AWS)</w:t>
            </w:r>
          </w:p>
        </w:tc>
        <w:tc>
          <w:tcPr/>
          <w:p>
            <w:pPr>
              <w:pStyle w:val="Compact"/>
              <w:jc w:val="left"/>
            </w:pPr>
            <w:r>
              <w:t xml:space="preserve">+</w:t>
            </w:r>
          </w:p>
        </w:tc>
      </w:tr>
      <w:tr>
        <w:tc>
          <w:tcPr/>
          <w:p>
            <w:pPr>
              <w:pStyle w:val="Compact"/>
              <w:jc w:val="left"/>
            </w:pPr>
            <w:r>
              <w:t xml:space="preserve">Feb-2027</w:t>
            </w:r>
          </w:p>
        </w:tc>
        <w:tc>
          <w:tcPr/>
          <w:p>
            <w:pPr>
              <w:pStyle w:val="Compact"/>
              <w:jc w:val="left"/>
            </w:pPr>
            <w:r>
              <w:t xml:space="preserve">Resultados del 4T y guía 2027 (en 2026 la guía inicial fue el freno)</w:t>
            </w:r>
          </w:p>
        </w:tc>
        <w:tc>
          <w:tcPr/>
          <w:p>
            <w:pPr>
              <w:pStyle w:val="Compact"/>
              <w:jc w:val="left"/>
            </w:pPr>
            <w:r>
              <w:t xml:space="preserve">+/−</w:t>
            </w:r>
          </w:p>
        </w:tc>
      </w:tr>
      <w:tr>
        <w:tc>
          <w:tcPr/>
          <w:p>
            <w:pPr>
              <w:pStyle w:val="Compact"/>
              <w:jc w:val="left"/>
            </w:pPr>
            <w:r>
              <w:t xml:space="preserve">Jun-2027</w:t>
            </w:r>
          </w:p>
        </w:tc>
        <w:tc>
          <w:tcPr/>
          <w:p>
            <w:pPr>
              <w:pStyle w:val="Compact"/>
              <w:jc w:val="left"/>
            </w:pPr>
            <w:r>
              <w:t xml:space="preserve">DASH 2027 (nuevos agentes Bits AI)</w:t>
            </w:r>
          </w:p>
        </w:tc>
        <w:tc>
          <w:tcPr/>
          <w:p>
            <w:pPr>
              <w:pStyle w:val="Compact"/>
              <w:jc w:val="left"/>
            </w:pPr>
            <w:r>
              <w:t xml:space="preserve">+</w:t>
            </w:r>
          </w:p>
        </w:tc>
      </w:tr>
      <w:tr>
        <w:tc>
          <w:tcPr/>
          <w:p>
            <w:pPr>
              <w:pStyle w:val="Compact"/>
              <w:jc w:val="left"/>
            </w:pPr>
            <w:r>
              <w:t xml:space="preserve">Dic-2029</w:t>
            </w:r>
          </w:p>
        </w:tc>
        <w:tc>
          <w:tcPr/>
          <w:p>
            <w:pPr>
              <w:pStyle w:val="Compact"/>
              <w:jc w:val="left"/>
            </w:pPr>
            <w:r>
              <w:t xml:space="preserve">Vencimiento de los convertibles (1.000 M, cubiertos con caja)</w:t>
            </w:r>
          </w:p>
        </w:tc>
        <w:tc>
          <w:tcPr/>
          <w:p>
            <w:pPr>
              <w:pStyle w:val="Compact"/>
              <w:jc w:val="left"/>
            </w:pPr>
            <w:r>
              <w:t xml:space="preserve">neutro</w:t>
            </w:r>
          </w:p>
        </w:tc>
      </w:tr>
    </w:tbl>
    <w:bookmarkEnd w:id="31"/>
    <w:bookmarkStart w:id="32" w:name="encaje-en-cartera"/>
    <w:p>
      <w:pPr>
        <w:pStyle w:val="Heading2"/>
      </w:pPr>
      <w:r>
        <w:t xml:space="preserve">13. Encaje en cartera</w:t>
      </w:r>
    </w:p>
    <w:p>
      <w:pPr>
        <w:pStyle w:val="FirstParagraph"/>
      </w:pPr>
      <w:r>
        <w:rPr>
          <w:bCs/>
          <w:b/>
        </w:rPr>
        <w:t xml:space="preserve">Cartera value vigente</w:t>
      </w:r>
      <w:r>
        <w:t xml:space="preserve"> </w:t>
      </w:r>
      <w:r>
        <w:t xml:space="preserve">(</w:t>
      </w:r>
      <w:r>
        <w:rPr>
          <w:rStyle w:val="VerbatimChar"/>
        </w:rPr>
        <w:t xml:space="preserve">informes/cartera-2026-10-14-15h.md</w:t>
      </w:r>
      <w:r>
        <w:t xml:space="preserve">): IGLN (oro), Edenred, Daiichi Sankyo, Uber, Viscofan, Alphabet, Netflix, SAP, Intuit, Nemetschek, LVMH y Bureau Veritas, con órdenes con límite hasta el 7-nov y suplentes.</w:t>
      </w:r>
      <w:r>
        <w:t xml:space="preserve"> </w:t>
      </w:r>
      <w:r>
        <w:rPr>
          <w:bCs/>
          <w:b/>
        </w:rPr>
        <w:t xml:space="preserve">Bolsillo growth aprobado</w:t>
      </w:r>
      <w:r>
        <w:t xml:space="preserve"> </w:t>
      </w:r>
      <w:r>
        <w:t xml:space="preserve">(</w:t>
      </w:r>
      <w:r>
        <w:rPr>
          <w:rStyle w:val="VerbatimChar"/>
        </w:rPr>
        <w:t xml:space="preserve">informes-growth/cartera-growth.md</w:t>
      </w:r>
      <w:r>
        <w:t xml:space="preserve">): Nu (4 %), argenx (4,9 %), Shopify (4 %) y Axon (3,7 %),</w:t>
      </w:r>
      <w:r>
        <w:t xml:space="preserve"> </w:t>
      </w:r>
      <w:r>
        <w:rPr>
          <w:bCs/>
          <w:b/>
        </w:rPr>
        <w:t xml:space="preserve">≈16,6 % de la cartera</w:t>
      </w:r>
      <w:r>
        <w:t xml:space="preserve">; la liquidez queda casi agotada sobrantes antes de Shopify, que la consume).</w:t>
      </w:r>
    </w:p>
    <w:p>
      <w:pPr>
        <w:pStyle w:val="BodyText"/>
      </w:pPr>
      <w:r>
        <w:rPr>
          <w:bCs/>
          <w:b/>
        </w:rPr>
        <w:t xml:space="preserve">Datadog no entra hoy</w:t>
      </w:r>
      <w:r>
        <w:t xml:space="preserve">, aunque la regla diga Comprar con un 4 %:</w:t>
      </w:r>
      <w:r>
        <w:t xml:space="preserve"> </w:t>
      </w:r>
      <w:r>
        <w:t xml:space="preserve">-</w:t>
      </w:r>
      <w:r>
        <w:t xml:space="preserve"> </w:t>
      </w:r>
      <w:r>
        <w:rPr>
          <w:bCs/>
          <w:b/>
        </w:rPr>
        <w:t xml:space="preserve">Tope del 20 %</w:t>
      </w:r>
      <w:r>
        <w:t xml:space="preserve">: con un 4 % más el bolsillo pasaría al ~20,6 %.</w:t>
      </w:r>
      <w:r>
        <w:t xml:space="preserve"> </w:t>
      </w:r>
      <w:r>
        <w:t xml:space="preserve">-</w:t>
      </w:r>
      <w:r>
        <w:t xml:space="preserve"> </w:t>
      </w:r>
      <w:r>
        <w:rPr>
          <w:bCs/>
          <w:b/>
        </w:rPr>
        <w:t xml:space="preserve">Liquidez</w:t>
      </w:r>
      <w:r>
        <w:t xml:space="preserve">: no hay libres (el mínimo por posición) sin cancelar órdenes ya decididas.</w:t>
      </w:r>
      <w:r>
        <w:t xml:space="preserve"> </w:t>
      </w:r>
      <w:r>
        <w:t xml:space="preserve">-</w:t>
      </w:r>
      <w:r>
        <w:t xml:space="preserve"> </w:t>
      </w:r>
      <w:r>
        <w:rPr>
          <w:bCs/>
          <w:b/>
        </w:rPr>
        <w:t xml:space="preserve">Rentabilidad relativa</w:t>
      </w:r>
      <w:r>
        <w:t xml:space="preserve">: su ponderada (+10,9 %) es la más baja de las compras growth (argenx +45,7 %, Axon +34,2 %, Nu +27,4 %, Shopify +14,9 %) y la más frágil (con la guía, +4,7 %). No justifica sustituir a ninguna.</w:t>
      </w:r>
      <w:r>
        <w:t xml:space="preserve"> </w:t>
      </w:r>
      <w:r>
        <w:t xml:space="preserve">-</w:t>
      </w:r>
      <w:r>
        <w:t xml:space="preserve"> </w:t>
      </w:r>
      <w:r>
        <w:rPr>
          <w:bCs/>
          <w:b/>
        </w:rPr>
        <w:t xml:space="preserve">Solapamiento</w:t>
      </w:r>
      <w:r>
        <w:t xml:space="preserve">: añade software e IA a una cartera que ya tiene Alphabet, SAP, Intuit, Nemetschek y, en growth, Shopify. Diversifica poco.</w:t>
      </w:r>
    </w:p>
    <w:p>
      <w:pPr>
        <w:pStyle w:val="BodyText"/>
      </w:pPr>
      <w:r>
        <w:rPr>
          <w:bCs/>
          <w:b/>
        </w:rPr>
        <w:t xml:space="preserve">Qué hacer</w:t>
      </w:r>
      <w:r>
        <w:t xml:space="preserve">: queda</w:t>
      </w:r>
      <w:r>
        <w:t xml:space="preserve"> </w:t>
      </w:r>
      <w:r>
        <w:rPr>
          <w:bCs/>
          <w:b/>
        </w:rPr>
        <w:t xml:space="preserve">en vigilancia como suplente growth</w:t>
      </w:r>
      <w:r>
        <w:t xml:space="preserve">. Se revisa con los resultados del 3T (principios de noviembre). Entraría solo si llega liquidez nueva o se libera hueco (por ejemplo, una orden value que caduque el 7-nov), y si se cumplen dos condiciones: el crecimiento del 3T supera el ~28 % de la guía y el crecimiento sin el mayor cliente sigue acelerando. Entonces, ~4 %, unas 4-5 acciones a ~1,16 USD/EUR) en dos tramos: la mitad con límite de</w:t>
      </w:r>
      <w:r>
        <w:t xml:space="preserve"> </w:t>
      </w:r>
      <w:r>
        <w:rPr>
          <w:bCs/>
          <w:b/>
        </w:rPr>
        <w:t xml:space="preserve">~282 USD</w:t>
      </w:r>
      <w:r>
        <w:t xml:space="preserve"> </w:t>
      </w:r>
      <w:r>
        <w:t xml:space="preserve">(el máximo de compra con la guía como partida, más prudente que los 299 de la regla) y la otra mitad tras el 4T o con una caída del 10 % sin cambio de tesis.</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20,0</w:t>
            </w:r>
          </w:p>
        </w:tc>
        <w:tc>
          <w:tcPr/>
          <w:p>
            <w:pPr>
              <w:pStyle w:val="Compact"/>
              <w:jc w:val="left"/>
            </w:pPr>
            <w:r>
              <w:t xml:space="preserve">25</w:t>
            </w:r>
          </w:p>
        </w:tc>
        <w:tc>
          <w:tcPr/>
          <w:p>
            <w:pPr>
              <w:pStyle w:val="Compact"/>
              <w:jc w:val="left"/>
            </w:pPr>
            <w:r>
              <w:t xml:space="preserve">Ventas 12 m +31,5 % (4), CAGR a 2 años 28,7 % (3), aceleración +6,1 pp (5)</w:t>
            </w:r>
          </w:p>
        </w:tc>
      </w:tr>
      <w:tr>
        <w:tc>
          <w:tcPr/>
          <w:p>
            <w:pPr>
              <w:pStyle w:val="Compact"/>
              <w:jc w:val="left"/>
            </w:pPr>
            <w:r>
              <w:t xml:space="preserve">B. Mercado y tecnología</w:t>
            </w:r>
          </w:p>
        </w:tc>
        <w:tc>
          <w:tcPr/>
          <w:p>
            <w:pPr>
              <w:pStyle w:val="Compact"/>
              <w:jc w:val="left"/>
            </w:pPr>
            <w:r>
              <w:t xml:space="preserve">17,3</w:t>
            </w:r>
          </w:p>
        </w:tc>
        <w:tc>
          <w:tcPr/>
          <w:p>
            <w:pPr>
              <w:pStyle w:val="Compact"/>
              <w:jc w:val="left"/>
            </w:pPr>
            <w:r>
              <w:t xml:space="preserve">20</w:t>
            </w:r>
          </w:p>
        </w:tc>
        <w:tc>
          <w:tcPr/>
          <w:p>
            <w:pPr>
              <w:pStyle w:val="Compact"/>
              <w:jc w:val="left"/>
            </w:pPr>
            <w:r>
              <w:t xml:space="preserve">Penetración 5,0 % (4), tecnología 4, posición 5</w:t>
            </w:r>
          </w:p>
        </w:tc>
      </w:tr>
      <w:tr>
        <w:tc>
          <w:tcPr/>
          <w:p>
            <w:pPr>
              <w:pStyle w:val="Compact"/>
              <w:jc w:val="left"/>
            </w:pPr>
            <w:r>
              <w:t xml:space="preserve">C. Cambio de tendencia</w:t>
            </w:r>
          </w:p>
        </w:tc>
        <w:tc>
          <w:tcPr/>
          <w:p>
            <w:pPr>
              <w:pStyle w:val="Compact"/>
              <w:jc w:val="left"/>
            </w:pPr>
            <w:r>
              <w:t xml:space="preserve">12,5</w:t>
            </w:r>
          </w:p>
        </w:tc>
        <w:tc>
          <w:tcPr/>
          <w:p>
            <w:pPr>
              <w:pStyle w:val="Compact"/>
              <w:jc w:val="left"/>
            </w:pPr>
            <w:r>
              <w:t xml:space="preserve">20</w:t>
            </w:r>
          </w:p>
        </w:tc>
        <w:tc>
          <w:tcPr/>
          <w:p>
            <w:pPr>
              <w:pStyle w:val="Compact"/>
              <w:jc w:val="left"/>
            </w:pPr>
            <w:r>
              <w:t xml:space="preserve">5/8 señales, sin euforia</w:t>
            </w:r>
          </w:p>
        </w:tc>
      </w:tr>
      <w:tr>
        <w:tc>
          <w:tcPr/>
          <w:p>
            <w:pPr>
              <w:pStyle w:val="Compact"/>
              <w:jc w:val="left"/>
            </w:pPr>
            <w:r>
              <w:t xml:space="preserve">D. Economía unitaria</w:t>
            </w:r>
          </w:p>
        </w:tc>
        <w:tc>
          <w:tcPr/>
          <w:p>
            <w:pPr>
              <w:pStyle w:val="Compact"/>
              <w:jc w:val="left"/>
            </w:pPr>
            <w:r>
              <w:t xml:space="preserve">14,0</w:t>
            </w:r>
          </w:p>
        </w:tc>
        <w:tc>
          <w:tcPr/>
          <w:p>
            <w:pPr>
              <w:pStyle w:val="Compact"/>
              <w:jc w:val="left"/>
            </w:pPr>
            <w:r>
              <w:t xml:space="preserve">15</w:t>
            </w:r>
          </w:p>
        </w:tc>
        <w:tc>
          <w:tcPr/>
          <w:p>
            <w:pPr>
              <w:pStyle w:val="Compact"/>
              <w:jc w:val="left"/>
            </w:pPr>
            <w:r>
              <w:t xml:space="preserve">Margen bruto 79,5 % (5), regla del 40 = 58,6 (4), FCF creciente (5)</w:t>
            </w:r>
          </w:p>
        </w:tc>
      </w:tr>
      <w:tr>
        <w:tc>
          <w:tcPr/>
          <w:p>
            <w:pPr>
              <w:pStyle w:val="Compact"/>
              <w:jc w:val="left"/>
            </w:pPr>
            <w:r>
              <w:t xml:space="preserve">E. Caja y dilución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FCF positivo (5), dilución ~3 % (3)</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5, dirección 3</w:t>
            </w:r>
          </w:p>
        </w:tc>
      </w:tr>
      <w:tr>
        <w:tc>
          <w:tcPr/>
          <w:p>
            <w:pPr>
              <w:pStyle w:val="Compact"/>
              <w:jc w:val="left"/>
            </w:pPr>
            <w:r>
              <w:rPr>
                <w:bCs/>
                <w:b/>
              </w:rPr>
              <w:t xml:space="preserve">Total</w:t>
            </w:r>
          </w:p>
        </w:tc>
        <w:tc>
          <w:tcPr/>
          <w:p>
            <w:pPr>
              <w:pStyle w:val="Compact"/>
              <w:jc w:val="left"/>
            </w:pPr>
            <w:r>
              <w:rPr>
                <w:bCs/>
                <w:b/>
              </w:rPr>
              <w:t xml:space="preserve">79,8</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Comprar (media)</w:t>
            </w:r>
            <w:r>
              <w:t xml:space="preserve">; cumple todos los requisitos de compra</w:t>
            </w:r>
          </w:p>
        </w:tc>
      </w:tr>
    </w:tbl>
    <w:p>
      <w:pPr>
        <w:pStyle w:val="BodyText"/>
      </w:pPr>
      <w:r>
        <w:rPr>
          <w:bCs/>
          <w:b/>
        </w:rPr>
        <w:t xml:space="preserve">Propuestas de mejora del método</w:t>
      </w:r>
      <w:r>
        <w:t xml:space="preserve"> </w:t>
      </w:r>
      <w:r>
        <w:t xml:space="preserve">(sin tocar el código; para probar con el backtest):</w:t>
      </w:r>
      <w:r>
        <w:t xml:space="preserve"> </w:t>
      </w:r>
      <w:r>
        <w:t xml:space="preserve">1.</w:t>
      </w:r>
      <w:r>
        <w:t xml:space="preserve"> </w:t>
      </w:r>
      <w:r>
        <w:rPr>
          <w:bCs/>
          <w:b/>
        </w:rPr>
        <w:t xml:space="preserve">Partir de la guía cuando la empresa ya ha anunciado la desaceleración.</w:t>
      </w:r>
      <w:r>
        <w:t xml:space="preserve"> </w:t>
      </w:r>
      <w:r>
        <w:t xml:space="preserve">La proyección mecánica mezcla el crecimiento de 12 meses, el del último trimestre y el CAGR (31 % aquí), aunque la guía del trimestre siguiente ya baja al ~28 % por un motivo conocido (el mayor cliente). Propuesta: limitar el crecimiento de partida al implícito en la guía de la empresa, más el margen medio con que la bate (aquí ~27-29 %). En Datadog cambia la señal de Comprar a Mantener (en vigilancia). Va en la línea de la v8 («proyección que respete la desaceleración»), que solo actúa si la aceleración es menor de −10 pp y aquí no salta.</w:t>
      </w:r>
      <w:r>
        <w:t xml:space="preserve"> </w:t>
      </w:r>
      <w:r>
        <w:t xml:space="preserve">2.</w:t>
      </w:r>
      <w:r>
        <w:t xml:space="preserve"> </w:t>
      </w:r>
      <w:r>
        <w:rPr>
          <w:bCs/>
          <w:b/>
        </w:rPr>
        <w:t xml:space="preserve">Regla del 40 y euforia más realistas en software con muchos pagos en acciones</w:t>
      </w:r>
      <w:r>
        <w:t xml:space="preserve">: si los pagos en acciones superan el 15 % de las ventas, medir la regla del 40 con FCF menos esos pagos (Datadog: 37,8 en vez de 58,6, −2 puntos), y mirar también la subida de 6 meses en la euforia (aquí +156 % en 6 meses frente a +73 % en 12).</w:t>
      </w:r>
    </w:p>
    <w:bookmarkEnd w:id="33"/>
    <w:bookmarkStart w:id="34" w:name="fuentes"/>
    <w:p>
      <w:pPr>
        <w:pStyle w:val="Heading2"/>
      </w:pPr>
      <w:r>
        <w:t xml:space="preserve">Fuentes</w:t>
      </w:r>
    </w:p>
    <w:p>
      <w:pPr>
        <w:pStyle w:val="FirstParagraph"/>
      </w:pPr>
      <w:r>
        <w:t xml:space="preserve">[1] Datadog, nota de resultados del 2T 2026 (6-ago-2026), 8-K ex. 99.1 (SEC EDGAR).</w:t>
      </w:r>
      <w:r>
        <w:t xml:space="preserve"> </w:t>
      </w:r>
      <w:r>
        <w:t xml:space="preserve">[2] Datadog, notas de resultados del 1T 2026 (7-may-2026) y del 4T y año 2025 (10-feb-2026), 8-K ex. 99.1 (SEC EDGAR).</w:t>
      </w:r>
      <w:r>
        <w:t xml:space="preserve"> </w:t>
      </w:r>
      <w:r>
        <w:t xml:space="preserve">[3] Datadog, 10-Q del 2T 2026 (6-ago-2026, SEC): retención neta, mayor cliente, cohorte AI-native, convertibles y</w:t>
      </w:r>
      <w:r>
        <w:t xml:space="preserve"> </w:t>
      </w:r>
      <w:r>
        <w:rPr>
          <w:iCs/>
          <w:i/>
        </w:rPr>
        <w:t xml:space="preserve">capped call</w:t>
      </w:r>
      <w:r>
        <w:t xml:space="preserve">, acciones en circulación, pagos en acciones.</w:t>
      </w:r>
      <w:r>
        <w:t xml:space="preserve"> </w:t>
      </w:r>
      <w:r>
        <w:t xml:space="preserve">[4] SEC XBRL companyfacts de Datadog (CIK 1561550): series trimestrales de ventas, beneficio bruto, flujos, inversiones, pagos en acciones, caja y acciones.</w:t>
      </w:r>
      <w:r>
        <w:t xml:space="preserve"> </w:t>
      </w:r>
      <w:r>
        <w:t xml:space="preserve">[5] Yahoo Finance chart API (DDOG y ^NDX) y Nasdaq.com (histórico): cierre de 283,34 USD el 13-oct-2026 en las dos fuentes; medias y subidas calculadas.</w:t>
      </w:r>
      <w:r>
        <w:t xml:space="preserve"> </w:t>
      </w:r>
      <w:r>
        <w:t xml:space="preserve">[6] SEC EDGAR, presentaciones de Datadog: formularios 4 y 144 (sep-oct 2026).</w:t>
      </w:r>
      <w:r>
        <w:t xml:space="preserve"> </w:t>
      </w:r>
      <w:r>
        <w:t xml:space="preserve">[7] MarketBeat, previsiones de analistas de DDOG (14-oct-2026).</w:t>
      </w:r>
      <w:r>
        <w:t xml:space="preserve"> </w:t>
      </w:r>
      <w:r>
        <w:t xml:space="preserve">[8] Investing.com, «Datadog sinks 17% despite raised guidance, Q2 beat» (6-ago-2026); TIKR, «Datadog fell 19% on a Q2 beat» (21-ago-2026) y «Four quarters of accelerating growth» (27-may-2026).</w:t>
      </w:r>
      <w:r>
        <w:t xml:space="preserve"> </w:t>
      </w:r>
      <w:r>
        <w:t xml:space="preserve">[9] StockTwits, flujo de mensajes de $DDOG (10-14 oct-2026).</w:t>
      </w:r>
      <w:r>
        <w:t xml:space="preserve"> </w:t>
      </w:r>
      <w:r>
        <w:t xml:space="preserve">[10] Seeking Alpha (Jetstream Research, jul-2026); Invezz (feb-2026); Finviz / BMO (feb-2026); Simply Wall St; TIKR en español.</w:t>
      </w:r>
      <w:r>
        <w:t xml:space="preserve"> </w:t>
      </w:r>
      <w:r>
        <w:t xml:space="preserve">[11] Datadog, DASH 2026 y nota del 2T; Gartner Magic Quadrant de observabilidad 2026; MarketBeat, resumen del Investor Day (feb-2026).</w:t>
      </w:r>
      <w:r>
        <w:t xml:space="preserve"> </w:t>
      </w:r>
      <w:r>
        <w:t xml:space="preserve">[12] Cálculo propio de EV, múltiplos de hoy, mínimo de 12 meses y mediana y mínimo de 3 años.</w:t>
      </w:r>
      <w:r>
        <w:t xml:space="preserve"> </w:t>
      </w:r>
      <w:r>
        <w:t xml:space="preserve">[13] Mercado alcanzable: Gartner, citado por Sergey CYW (Substack); Benzinga / Cantor Fitzgerald (2023).</w:t>
      </w:r>
      <w:r>
        <w:t xml:space="preserve"> </w:t>
      </w:r>
      <w:r>
        <w:t xml:space="preserve">[14]</w:t>
      </w:r>
      <w:r>
        <w:t xml:space="preserve"> </w:t>
      </w:r>
      <w:r>
        <w:rPr>
          <w:bCs/>
          <w:b/>
        </w:rPr>
        <w:t xml:space="preserve">De memoria, sin verificar en esta sesión</w:t>
      </w:r>
      <w:r>
        <w:t xml:space="preserve">: múltiplos de Dynatrace, Snowflake y MongoDB; los de Cloudflare y CrowdStrike salen de los informes growth del repo del 14-oct.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2026-10-14T21:44:13Z</dcterms:created>
  <dcterms:modified xsi:type="dcterms:W3CDTF">2026-10-14T21:44:13Z</dcterms:modified>
</cp:coreProperties>
</file>

<file path=docProps/custom.xml><?xml version="1.0" encoding="utf-8"?>
<Properties xmlns="http://schemas.openxmlformats.org/officeDocument/2006/custom-properties" xmlns:vt="http://schemas.openxmlformats.org/officeDocument/2006/docPropsVTypes"/>
</file>