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dexcom-dxcm-análisis-growth-14-oct-2026"/>
    <w:p>
      <w:pPr>
        <w:pStyle w:val="Heading1"/>
      </w:pPr>
      <w:r>
        <w:t xml:space="preserve">Dexcom (DXCM): análisis growth, 14-oct-2026</w:t>
      </w:r>
    </w:p>
    <w:p>
      <w:pPr>
        <w:pStyle w:val="FirstParagraph"/>
      </w:pPr>
      <w:r>
        <w:rPr>
          <w:bCs/>
          <w:b/>
        </w:rPr>
        <w:t xml:space="preserve">Señal (método v7): Comprar (convicción baja)</w:t>
      </w:r>
      <w:r>
        <w:t xml:space="preserve"> </w:t>
      </w:r>
      <w:r>
        <w:t xml:space="preserve">· Puntuación 68,2/100 · Señales de cambio de tendencia 7/8 · EV/beneficio bruto 9,3x</w:t>
      </w:r>
      <w:r>
        <w:t xml:space="preserve"> </w:t>
      </w:r>
      <w:r>
        <w:t xml:space="preserve">Precio 85,06 USD · Objetivo 12 m 99,3 USD (ponderada +16,7 %, base +19,8 %, bajista −34,8 %, alcista +61,9 %) · Compra hasta 94,5 USD</w:t>
      </w:r>
      <w:r>
        <w:t xml:space="preserve"> </w:t>
      </w:r>
      <w:r>
        <w:t xml:space="preserve">Peso orientativo: 3,5 %, 13 acciones en dos tramos), pero</w:t>
      </w:r>
      <w:r>
        <w:t xml:space="preserve"> </w:t>
      </w:r>
      <w:r>
        <w:rPr>
          <w:bCs/>
          <w:b/>
        </w:rPr>
        <w:t xml:space="preserve">el bolsillo growth está lleno y no hay liquidez</w:t>
      </w:r>
      <w:r>
        <w:t xml:space="preserve">: hoy no sustituye a ninguna (sección 13) · Por qué: cumple todos los requisitos de compra</w:t>
      </w:r>
    </w:p>
    <w:p>
      <w:pPr>
        <w:pStyle w:val="BlockText"/>
      </w:pPr>
      <w:r>
        <w:rPr>
          <w:bCs/>
          <w:b/>
        </w:rPr>
        <w:t xml:space="preserve">Calculado con el método v7</w:t>
      </w:r>
      <w:r>
        <w:t xml:space="preserve"> </w:t>
      </w:r>
      <w:r>
        <w:t xml:space="preserve">(</w:t>
      </w:r>
      <w:r>
        <w:rPr>
          <w:rStyle w:val="VerbatimChar"/>
        </w:rPr>
        <w:t xml:space="preserve">verticales/growth/metodo.md</w:t>
      </w:r>
      <w:r>
        <w:t xml:space="preserve">) y</w:t>
      </w:r>
      <w:r>
        <w:t xml:space="preserve"> </w:t>
      </w:r>
      <w:r>
        <w:rPr>
          <w:bCs/>
          <w:b/>
        </w:rPr>
        <w:t xml:space="preserve">valorado por EV/EBITDA ajustado de los 12 meses siguientes</w:t>
      </w:r>
      <w:r>
        <w:t xml:space="preserve">, porque Dexcom gana dinero de forma estable (margen operativo GAAP de más del 20 % y FCF positivo desde hace años). Múltiplos: 10,7x / 17,8x / 23,1x. Las ventas del año objetivo salen de la regla mecánica (6.272 M USD en el base, con un crecimiento del +13,4 % y el +11,3 %).</w:t>
      </w:r>
      <w:r>
        <w:t xml:space="preserve"> </w:t>
      </w:r>
      <w:r>
        <w:rPr>
          <w:bCs/>
          <w:b/>
        </w:rPr>
        <w:t xml:space="preserve">Con la guía de la empresa la proyección es menor</w:t>
      </w:r>
      <w:r>
        <w:t xml:space="preserve"> </w:t>
      </w:r>
      <w:r>
        <w:t xml:space="preserve">(+10 % anual: 6.013 M en el base). Recalculado a mano con ella, la señal</w:t>
      </w:r>
      <w:r>
        <w:t xml:space="preserve"> </w:t>
      </w:r>
      <w:r>
        <w:rPr>
          <w:bCs/>
          <w:b/>
        </w:rPr>
        <w:t xml:space="preserve">sigue siendo Comprar (baja)</w:t>
      </w:r>
      <w:r>
        <w:t xml:space="preserve">, con ponderada +12,0 %, base +15,0 %, bajista −36,1 % y</w:t>
      </w:r>
      <w:r>
        <w:t xml:space="preserve"> </w:t>
      </w:r>
      <w:r>
        <w:rPr>
          <w:bCs/>
          <w:b/>
        </w:rPr>
        <w:t xml:space="preserve">compra hasta ~90,7 USD</w:t>
      </w:r>
      <w:r>
        <w:t xml:space="preserve">. Este es el límite que recomiendo (sección 9).</w:t>
      </w:r>
    </w:p>
    <w:bookmarkStart w:id="20" w:name="la-tesis-en-cinco-líneas"/>
    <w:p>
      <w:pPr>
        <w:pStyle w:val="Heading2"/>
      </w:pPr>
      <w:r>
        <w:t xml:space="preserve">1. La tesis en cinco líneas</w:t>
      </w:r>
    </w:p>
    <w:p>
      <w:pPr>
        <w:numPr>
          <w:ilvl w:val="0"/>
          <w:numId w:val="1001"/>
        </w:numPr>
        <w:pStyle w:val="Compact"/>
      </w:pPr>
      <w:r>
        <w:t xml:space="preserve">Dexcom es el número dos mundial en monitores continuos de glucosa (MCG), por detrás de Abbott (Libre), y el líder entre quienes se pinchan insulina y entre los usuarios de bombas. Vende</w:t>
      </w:r>
      <w:r>
        <w:t xml:space="preserve"> </w:t>
      </w:r>
      <w:r>
        <w:rPr>
          <w:bCs/>
          <w:b/>
        </w:rPr>
        <w:t xml:space="preserve">4.969 M USD en 12 meses (+15,5 %)</w:t>
      </w:r>
      <w:r>
        <w:t xml:space="preserve">, con margen bruto del 62,5 % y FCF de 1.405 M (28 %).</w:t>
      </w:r>
    </w:p>
    <w:p>
      <w:pPr>
        <w:numPr>
          <w:ilvl w:val="0"/>
          <w:numId w:val="1001"/>
        </w:numPr>
        <w:pStyle w:val="Compact"/>
      </w:pPr>
      <w:r>
        <w:t xml:space="preserve">En 2024-2025 tropezó: recortó la guía en julio de 2024, recibió una carta de advertencia de la FDA (marzo de 2025) por un cambio en el sensor G7 y retiró ~600.000 receptores. Un bajista (Hunterbrook) publicó un informe sobre la precisión del G7 y cambió el consejero delegado. La acción cayó de 139 USD (marzo de 2024) a 54,84 USD (noviembre de 2025).</w:t>
      </w:r>
    </w:p>
    <w:p>
      <w:pPr>
        <w:numPr>
          <w:ilvl w:val="0"/>
          <w:numId w:val="1001"/>
        </w:numPr>
        <w:pStyle w:val="Compact"/>
      </w:pPr>
      <w:r>
        <w:t xml:space="preserve">En 2026 los números giran:</w:t>
      </w:r>
      <w:r>
        <w:t xml:space="preserve"> </w:t>
      </w:r>
      <w:r>
        <w:rPr>
          <w:bCs/>
          <w:b/>
        </w:rPr>
        <w:t xml:space="preserve">el margen operativo GAAP sube 6-8 puntos</w:t>
      </w:r>
      <w:r>
        <w:t xml:space="preserve"> </w:t>
      </w:r>
      <w:r>
        <w:t xml:space="preserve">(24,3 % en el 2T26), la guía de márgenes se ha subido dos veces y el Investor Day promete</w:t>
      </w:r>
      <w:r>
        <w:t xml:space="preserve"> </w:t>
      </w:r>
      <w:r>
        <w:rPr>
          <w:bCs/>
          <w:b/>
        </w:rPr>
        <w:t xml:space="preserve">≥ 10 % de crecimiento orgánico cada año hasta 2030</w:t>
      </w:r>
      <w:r>
        <w:t xml:space="preserve">, con margen EBITDA del 36-37 %. El ensayo CONNECT abre la puerta a que Medicare cubra a los tipo 2 sin insulina (12 M de personas más, con decisión antes de fin de año).</w:t>
      </w:r>
    </w:p>
    <w:p>
      <w:pPr>
        <w:numPr>
          <w:ilvl w:val="0"/>
          <w:numId w:val="1001"/>
        </w:numPr>
        <w:pStyle w:val="Compact"/>
      </w:pPr>
      <w:r>
        <w:t xml:space="preserve">Aun así cotiza a</w:t>
      </w:r>
      <w:r>
        <w:t xml:space="preserve"> </w:t>
      </w:r>
      <w:r>
        <w:rPr>
          <w:bCs/>
          <w:b/>
        </w:rPr>
        <w:t xml:space="preserve">17,8x EV/EBITDA NTM y 5,8x ventas</w:t>
      </w:r>
      <w:r>
        <w:t xml:space="preserve">, frente a una mediana de ~21,6x en tres años. El DCF inverso descuenta ~10,5 % anual durante 10 años, justo lo que promete la empresa.</w:t>
      </w:r>
    </w:p>
    <w:p>
      <w:pPr>
        <w:numPr>
          <w:ilvl w:val="0"/>
          <w:numId w:val="1001"/>
        </w:numPr>
        <w:pStyle w:val="Compact"/>
      </w:pPr>
      <w:r>
        <w:t xml:space="preserve">Conclusión:</w:t>
      </w:r>
      <w:r>
        <w:t xml:space="preserve"> </w:t>
      </w:r>
      <w:r>
        <w:rPr>
          <w:bCs/>
          <w:b/>
        </w:rPr>
        <w:t xml:space="preserve">Comprar con convicción baja</w:t>
      </w:r>
      <w:r>
        <w:t xml:space="preserve">. Es una growth madura (crece al 10-13 %, no al 30 %) en plena recuperación de percepción: 7 de 8 señales. El riesgo principal es de precio: la subasta competitiva de Medicare desde 2028 y Abbott, más barata, pueden comprimir precio y margen.</w:t>
      </w:r>
    </w:p>
    <w:bookmarkEnd w:id="20"/>
    <w:bookmarkStart w:id="21" w:name="negocio-y-tecnología"/>
    <w:p>
      <w:pPr>
        <w:pStyle w:val="Heading2"/>
      </w:pPr>
      <w:r>
        <w:t xml:space="preserve">2. Negocio y tecnología</w:t>
      </w:r>
    </w:p>
    <w:p>
      <w:pPr>
        <w:pStyle w:val="FirstParagraph"/>
      </w:pPr>
      <w:r>
        <w:t xml:space="preserve">Dexcom vende sensores de glucosa que se llevan pegados al brazo o al abdomen 10-15 días y envían la lectura al móvil, al reloj o a la bomba de insulina:</w:t>
      </w:r>
      <w:r>
        <w:t xml:space="preserve"> </w:t>
      </w:r>
      <w:r>
        <w:rPr>
          <w:bCs/>
          <w:b/>
        </w:rPr>
        <w:t xml:space="preserve">G7</w:t>
      </w:r>
      <w:r>
        <w:t xml:space="preserve"> </w:t>
      </w:r>
      <w:r>
        <w:t xml:space="preserve">(y G7 15 días, el MCG de mayor duración autorizado, en todos los canales de EE. UU. desde el 1T26), G6,</w:t>
      </w:r>
      <w:r>
        <w:t xml:space="preserve"> </w:t>
      </w:r>
      <w:r>
        <w:rPr>
          <w:bCs/>
          <w:b/>
        </w:rPr>
        <w:t xml:space="preserve">ONE+</w:t>
      </w:r>
      <w:r>
        <w:t xml:space="preserve"> </w:t>
      </w:r>
      <w:r>
        <w:t xml:space="preserve">(internacional, más barato) y</w:t>
      </w:r>
      <w:r>
        <w:t xml:space="preserve"> </w:t>
      </w:r>
      <w:r>
        <w:rPr>
          <w:bCs/>
          <w:b/>
        </w:rPr>
        <w:t xml:space="preserve">Stelo</w:t>
      </w:r>
      <w:r>
        <w:t xml:space="preserve">, sin receta, para tipo 2 sin insulina y para bienestar (&gt; 100 M USD en su primer año) [1][2][3][4]. El 96 % de sus ventas en EE. UU. pasa por distribuidores y farmacias, y el 29 % de las ventas viene de fuera de EE. UU. (+19 % en el 2T26) [1].</w:t>
      </w:r>
    </w:p>
    <w:p>
      <w:pPr>
        <w:pStyle w:val="BodyText"/>
      </w:pPr>
      <w:r>
        <w:t xml:space="preserve">Lo nuevo: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Smart Basal</w:t>
      </w:r>
      <w:r>
        <w:t xml:space="preserve">, el primer módulo que ajusta la dosis de insulina basal a partir del MCG, autorizado por la FDA en el 4T25 [3].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IA en las aplicaciones</w:t>
      </w:r>
      <w:r>
        <w:t xml:space="preserve">: registro de comidas con foto y una aplicación de Stelo rehecha [1][2].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G8</w:t>
      </w:r>
      <w:r>
        <w:t xml:space="preserve">: la mitad de tamaño y preparado para medir varias sustancias. Se presentará a la FDA en 2027 y llegaría a finales de 2027 o principios de 2028 [6].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Tecnología 4/5</w:t>
      </w:r>
      <w:r>
        <w:t xml:space="preserve">: es el MCG de referencia en precisión y en integración con bombas (Tandem, Insulet, Beta Bionics), con 25 años de datos clínicos. No es un 5: Abbott tiene una tecnología comparable y más barata, y los fallos de calidad de 2024-2025 muestran que la fabricación no está resuelta.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Posición 4/5</w:t>
      </w:r>
      <w:r>
        <w:t xml:space="preserve">: es el número dos del mundo por ventas, pero crece más deprisa que Abbott en MCG (+13 % frente a +9,5 % en el 2T26) y lidera en usuarios de insulina intensiva en EE. UU. [18][21].</w:t>
      </w:r>
    </w:p>
    <w:bookmarkEnd w:id="21"/>
    <w:bookmarkStart w:id="22" w:name="crecimiento"/>
    <w:p>
      <w:pPr>
        <w:pStyle w:val="Heading2"/>
      </w:pPr>
      <w:r>
        <w:t xml:space="preserve">3. Crecimiento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Trimestre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interanual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GAAP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994,2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1.113,5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1.036,0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1.157,1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1.209,3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4T25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1.259,6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2T26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1.308,4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24,3 %</w:t>
            </w:r>
          </w:p>
        </w:tc>
      </w:tr>
    </w:tbl>
    <w:p>
      <w:pPr>
        <w:pStyle w:val="BodyText"/>
      </w:pPr>
      <w:r>
        <w:t xml:space="preserve">Fuentes: [1][2][3][4][5].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4.033,0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4.662,0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 (guía)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5.180-5.250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11-13 %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Ventas de los últimos 12 meses</w:t>
      </w:r>
      <w:r>
        <w:t xml:space="preserve"> </w:t>
      </w:r>
      <w:r>
        <w:t xml:space="preserve">(3T25-2T26):</w:t>
      </w:r>
      <w:r>
        <w:t xml:space="preserve"> </w:t>
      </w:r>
      <w:r>
        <w:rPr>
          <w:bCs/>
          <w:b/>
        </w:rPr>
        <w:t xml:space="preserve">4.969,2 M USD, +15,5 %</w:t>
      </w:r>
      <w:r>
        <w:t xml:space="preserve">.</w:t>
      </w:r>
      <w:r>
        <w:t xml:space="preserve"> </w:t>
      </w:r>
      <w:r>
        <w:rPr>
          <w:bCs/>
          <w:b/>
        </w:rPr>
        <w:t xml:space="preserve">CAGR propio a 2 años: 12,4 %</w:t>
      </w:r>
      <w:r>
        <w:t xml:space="preserve"> </w:t>
      </w:r>
      <w:r>
        <w:t xml:space="preserve">(12 m a jun-2024: 3.934,8 M) [5].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Aceleración: −3,1 pp</w:t>
      </w:r>
      <w:r>
        <w:t xml:space="preserve"> </w:t>
      </w:r>
      <w:r>
        <w:t xml:space="preserve">(el 2T26, +13,1 %, frente a la media de los cuatro anteriores, +16,2 %). El +21,6 % del 3T25 compara con un 3T24 hundido por problemas de canal, así que la tendencia real es estable, en torno al 12-13 % orgánico.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Retención</w:t>
      </w:r>
      <w:r>
        <w:t xml:space="preserve">: no publica retención neta (</w:t>
      </w:r>
      <w:r>
        <w:rPr>
          <w:rStyle w:val="VerbatimChar"/>
        </w:rPr>
        <w:t xml:space="preserve">nrr_pct</w:t>
      </w:r>
      <w:r>
        <w:t xml:space="preserve"> </w:t>
      </w:r>
      <w:r>
        <w:t xml:space="preserve">= null). Al ser un consumible que se repone cada 10-15 días, los ingresos son de facto recurrentes.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Guía 2026</w:t>
      </w:r>
      <w:r>
        <w:t xml:space="preserve">: ventas de 5.180-5.250 M (+11-13 %), subida en el 2T desde 5.160; margen bruto no GAAP ~64 %, operativo 23,5-24 % y EBITDA ajustado 31,5-32 % (subidos en el 1T y en el 2T) [1][2]. La guía implica ~+10 % en el segundo semestre.</w:t>
      </w:r>
      <w:r>
        <w:t xml:space="preserve"> </w:t>
      </w:r>
      <w:r>
        <w:rPr>
          <w:bCs/>
          <w:b/>
        </w:rPr>
        <w:t xml:space="preserve">Plan a 2030: ≥ 10 % orgánico cada año</w:t>
      </w:r>
      <w:r>
        <w:t xml:space="preserve"> </w:t>
      </w:r>
      <w:r>
        <w:t xml:space="preserve">[6].</w:t>
      </w:r>
    </w:p>
    <w:bookmarkEnd w:id="22"/>
    <w:bookmarkStart w:id="23" w:name="mercado-y-competencia"/>
    <w:p>
      <w:pPr>
        <w:pStyle w:val="Heading2"/>
      </w:pPr>
      <w:r>
        <w:t xml:space="preserve">4. Mercado y competencia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Mercado alcanzable: ~30.000 M USD en 2028</w:t>
      </w:r>
      <w:r>
        <w:t xml:space="preserve"> </w:t>
      </w:r>
      <w:r>
        <w:t xml:space="preserve">(estimación propia: ~35 M de vidas cubiertas por ~850 USD al año). Hoy hay ~23 M de vidas cubiertas en el mundo, y la empresa prevé ~52 M en 2030. En EE. UU. hay ~15 M y se doblarían en 2027 con Medicare para los tipo 2 sin insulina [6][12]. El mercado servido hoy ronda los 14.000-15.000 M (Abbott ~8.000 M en MCG, Dexcom ~5.000 M, Medtronic y otros) [18]. Abbott calcula que 75-80 M de personas podrían usar un MCG, frente a ~15 M que lo usan [18].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Penetración</w:t>
      </w:r>
      <w:r>
        <w:t xml:space="preserve">: 4.969 / 30.000 =</w:t>
      </w:r>
      <w:r>
        <w:t xml:space="preserve"> </w:t>
      </w:r>
      <w:r>
        <w:rPr>
          <w:bCs/>
          <w:b/>
        </w:rPr>
        <w:t xml:space="preserve">16,6 %</w:t>
      </w:r>
      <w:r>
        <w:t xml:space="preserve">. Dexcom tiene &gt; 3,5 M de usuarios [6].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Rivales</w:t>
      </w:r>
      <w:r>
        <w:t xml:space="preserve">: Abbott (Libre 3 y Libre Duo de glucosa y cetonas, con marcado CE en mayo de 2026; más barato y primero en volumen), Medtronic/MiniMed (Simplera, ligado a sus bombas), Senseonics (implantable de un año), Roche y fabricantes chinos (Sibionics, Yuwell) en precio fuera de EE. UU. [18][21].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Por qué gana</w:t>
      </w:r>
      <w:r>
        <w:t xml:space="preserve">: precisión, integración con las bombas y el canal de farmacia en EE. UU. La partida de los próximos años se juega en los tipo 2 sin insulina (el ensayo CONNECT es de Dexcom) y en el consumidor (Stelo).</w:t>
      </w:r>
      <w:r>
        <w:t xml:space="preserve"> </w:t>
      </w:r>
      <w:r>
        <w:rPr>
          <w:bCs/>
          <w:b/>
        </w:rPr>
        <w:t xml:space="preserve">Por qué puede perder</w:t>
      </w:r>
      <w:r>
        <w:t xml:space="preserve">: la subasta competitiva de Medicare desde 2028 premiaría al más barato (Abbott), y el propio plan de Dexcom ya supone presión de precio [6][19].</w:t>
      </w:r>
    </w:p>
    <w:bookmarkEnd w:id="23"/>
    <w:bookmarkStart w:id="24" w:name="cambio-de-tendencia"/>
    <w:p>
      <w:pPr>
        <w:pStyle w:val="Heading2"/>
      </w:pPr>
      <w:r>
        <w:t xml:space="preserve">5. Cambio de tendencia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Sí/No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Revisiones al alza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 (débil)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Guía de ventas de 5.160-5.250 a 5.180-5.250 M y márgenes subidos dos veces (EBITDA ajustado del 30-31 % al 31,5-32 %). Objetivos al alza tras el 2T: Mizuho 95, JPMorgan 65 → 82, RBC 85 → 90, Morgan Stanley 82 → 89, Benchmark 82; Redburn sube a Compra y Citi la reitera como «top pick» (6-oct). Basada en guía y precios objetivo.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[1][2][9]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sobre la media de 200 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85,06 frente a 73,8 USD, y la media sube (67,4 → 71,8 → 73,8 en 60 sesiones).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Fuerza relativa a 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+34,8 % desde el 13-abr frente a +20,4 % del Nasdaq-100, +13,4 % del S&amp;P 500 y −2,3 % del ETF de tecnología médica (IHI).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 del múltiplo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 NTM de ~12,4x (10-nov-2025) a 17,8x (+44 %), aún por debajo de su mediana de ~21,6x.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[7][20]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Inflexión operativa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operativo GAAP +5,9 pp en el 2T26 (24,3 %) y +8,5 pp en el 1T26 (21,4 %); margen bruto del 59,5 % al 63,4 %.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[1][2]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Sentimiento mejorando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«Dexcom está rota» (Hunterbrook, FDA, Evercore In Line, mínimo de 54,84 USD) a consenso de Compra fuerte (29 analistas, objetivo medio 96,46 USD). StockTwits: 8 alcistas y 2 bajistas. Sin euforia.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[9][14][16][17]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Compras de directivos o institucionales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compra de directivos en abr-oct 2026, solo ventas: Sayer (exCEO) ~107.000 acciones a 72-91 USD, y otros consejeros y directivos. Los 13G de abril son la reorganización interna de Vanguard.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Catalizador nuevo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de Medicare sobre los tipo 2 sin insulina antes de fin de 2026, resultados del 3T el 29-oct, G7 15 días, nuevo Stelo, entrada en India, Brasil y México, G8 en 2027.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[6][12][22]</w:t>
            </w:r>
          </w:p>
        </w:tc>
      </w:tr>
    </w:tbl>
    <w:p>
      <w:pPr>
        <w:pStyle w:val="BodyText"/>
      </w:pPr>
      <w:r>
        <w:rPr>
          <w:bCs/>
          <w:b/>
        </w:rPr>
        <w:t xml:space="preserve">Euforia: no.</w:t>
      </w:r>
      <w:r>
        <w:t xml:space="preserve"> </w:t>
      </w:r>
      <w:r>
        <w:t xml:space="preserve">Sube un</w:t>
      </w:r>
      <w:r>
        <w:t xml:space="preserve"> </w:t>
      </w:r>
      <w:r>
        <w:rPr>
          <w:bCs/>
          <w:b/>
        </w:rPr>
        <w:t xml:space="preserve">30,5 %</w:t>
      </w:r>
      <w:r>
        <w:t xml:space="preserve"> </w:t>
      </w:r>
      <w:r>
        <w:t xml:space="preserve">en 12 meses (de 65,20 a 85,06 USD), con 9,3x de EV/beneficio bruto. Está lejos del +150 % que el método considera euforia.</w:t>
      </w:r>
      <w:r>
        <w:t xml:space="preserve"> </w:t>
      </w:r>
      <w:r>
        <w:rPr>
          <w:bCs/>
          <w:b/>
        </w:rPr>
        <w:t xml:space="preserve">Aviso</w:t>
      </w:r>
      <w:r>
        <w:t xml:space="preserve">: 7 de 8 señales es mucho. Varias (2, 3 y 4) son la misma cosa vista de tres maneras, la recuperación del precio desde el mínimo de noviembre, y la 1 es débil. El método advierte de que las señales salían «sí» casi siempre en los casos famosos y casi nunca en el universo neutral.</w:t>
      </w:r>
    </w:p>
    <w:bookmarkEnd w:id="24"/>
    <w:bookmarkStart w:id="25" w:name="X6a3ced9ea5ed5bb9ac58f5e7c1bb09ad4718b77"/>
    <w:p>
      <w:pPr>
        <w:pStyle w:val="Heading2"/>
      </w:pPr>
      <w:r>
        <w:t xml:space="preserve">6. Economía unitaria y camino a la rentabilidad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Margen bruto</w:t>
      </w:r>
      <w:r>
        <w:t xml:space="preserve">:</w:t>
      </w:r>
      <w:r>
        <w:t xml:space="preserve"> </w:t>
      </w:r>
      <w:r>
        <w:rPr>
          <w:bCs/>
          <w:b/>
        </w:rPr>
        <w:t xml:space="preserve">62,5 %</w:t>
      </w:r>
      <w:r>
        <w:t xml:space="preserve"> </w:t>
      </w:r>
      <w:r>
        <w:t xml:space="preserve">GAAP en 12 meses (3.104 M sobre 4.969 M) y 63,4 % en el 2T26 (64,1 % no GAAP). Viene del 57 % del 1T25: el G7 se fabrica mejor y el G7 15 días gasta menos sensores por paciente. Objetivo de 2030: 67-69 % [1][6].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FCF de 12 meses</w:t>
      </w:r>
      <w:r>
        <w:t xml:space="preserve">: flujo operativo 1.748,7 − inversiones 343,7 =</w:t>
      </w:r>
      <w:r>
        <w:t xml:space="preserve"> </w:t>
      </w:r>
      <w:r>
        <w:rPr>
          <w:bCs/>
          <w:b/>
        </w:rPr>
        <w:t xml:space="preserve">1.405 M USD (28,3 %)</w:t>
      </w:r>
      <w:r>
        <w:t xml:space="preserve">, frente a 571 M un año antes. Ojo: lo empujan ~247 M de proveedores y gastos devengados en el semestre (capital circulante). El FCF normal está más cerca del 22-25 % de las ventas [5].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Regla del 40</w:t>
      </w:r>
      <w:r>
        <w:t xml:space="preserve">: 15,5 + 28,3 =</w:t>
      </w:r>
      <w:r>
        <w:t xml:space="preserve"> </w:t>
      </w:r>
      <w:r>
        <w:rPr>
          <w:bCs/>
          <w:b/>
        </w:rPr>
        <w:t xml:space="preserve">43,8</w:t>
      </w:r>
      <w:r>
        <w:t xml:space="preserve"> </w:t>
      </w:r>
      <w:r>
        <w:t xml:space="preserve">(~38-40 con el FCF normal).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Apalancamiento operativo</w:t>
      </w:r>
      <w:r>
        <w:t xml:space="preserve">: ya es rentable y el margen sube rápido. El margen operativo GAAP pasa del 19,6 % en 2025 al ~24 % en 2026, y el EBITDA ajustado de 12 meses es de 1.576 M (31,7 %). La empresa promete un 29-30 % operativo y un 36-37 % de EBITDA en 2030 [1][6].</w:t>
      </w:r>
    </w:p>
    <w:bookmarkEnd w:id="25"/>
    <w:bookmarkStart w:id="26" w:name="caja-deuda-y-dilución"/>
    <w:p>
      <w:pPr>
        <w:pStyle w:val="Heading2"/>
      </w:pPr>
      <w:r>
        <w:t xml:space="preserve">7. Caja, deuda y dilución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Caja y títulos</w:t>
      </w:r>
      <w:r>
        <w:t xml:space="preserve">:</w:t>
      </w:r>
      <w:r>
        <w:t xml:space="preserve"> </w:t>
      </w:r>
      <w:r>
        <w:rPr>
          <w:bCs/>
          <w:b/>
        </w:rPr>
        <w:t xml:space="preserve">1.947 M USD</w:t>
      </w:r>
      <w:r>
        <w:t xml:space="preserve"> </w:t>
      </w:r>
      <w:r>
        <w:t xml:space="preserve">a 30-jun-2026.</w:t>
      </w:r>
      <w:r>
        <w:t xml:space="preserve"> </w:t>
      </w:r>
      <w:r>
        <w:rPr>
          <w:bCs/>
          <w:b/>
        </w:rPr>
        <w:t xml:space="preserve">Deuda</w:t>
      </w:r>
      <w:r>
        <w:t xml:space="preserve">: un convertible del 0,375 % con vencimiento en 2028 de 1.250 M, cuya conversión implícita (~162 USD) queda muy por encima del precio. La línea de crédito está sin disponer. En noviembre de 2025 devolvió el convertible de 2025 (~1.200 M).</w:t>
      </w:r>
      <w:r>
        <w:t xml:space="preserve"> </w:t>
      </w:r>
      <w:r>
        <w:rPr>
          <w:bCs/>
          <w:b/>
        </w:rPr>
        <w:t xml:space="preserve">Caja neta ≈ 700 M</w:t>
      </w:r>
      <w:r>
        <w:t xml:space="preserve"> </w:t>
      </w:r>
      <w:r>
        <w:t xml:space="preserve">[1][5].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Pista</w:t>
      </w:r>
      <w:r>
        <w:t xml:space="preserve">: FCF positivo, sin quema. El vencimiento de 2028 se paga con un año de FCF.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Recompras</w:t>
      </w:r>
      <w:r>
        <w:t xml:space="preserve">: 500 M USD en 2025 y 603,6 M en el 1S26. El programa de 1.000 M se completará en 2026 y después irá</w:t>
      </w:r>
      <w:r>
        <w:t xml:space="preserve"> </w:t>
      </w:r>
      <w:r>
        <w:rPr>
          <w:bCs/>
          <w:b/>
        </w:rPr>
        <w:t xml:space="preserve">al menos el 50 % del FCF</w:t>
      </w:r>
      <w:r>
        <w:t xml:space="preserve"> </w:t>
      </w:r>
      <w:r>
        <w:t xml:space="preserve">a recompras [1][6].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Dilución</w:t>
      </w:r>
      <w:r>
        <w:t xml:space="preserve">:</w:t>
      </w:r>
      <w:r>
        <w:t xml:space="preserve"> </w:t>
      </w:r>
      <w:r>
        <w:rPr>
          <w:bCs/>
          <w:b/>
        </w:rPr>
        <w:t xml:space="preserve">−4,5 %</w:t>
      </w:r>
      <w:r>
        <w:t xml:space="preserve"> </w:t>
      </w:r>
      <w:r>
        <w:t xml:space="preserve">en 12 meses (de 400,5 a 382,4 M de acciones diluidas no GAAP). El cálculo supone que sigue igual y, a cambio, no suma a la caja el FCF del año (~1.400 M), una compensación prudente.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Pagos en acciones</w:t>
      </w:r>
      <w:r>
        <w:t xml:space="preserve">:</w:t>
      </w:r>
      <w:r>
        <w:t xml:space="preserve"> </w:t>
      </w:r>
      <w:r>
        <w:rPr>
          <w:bCs/>
          <w:b/>
        </w:rPr>
        <w:t xml:space="preserve">3,3 %</w:t>
      </w:r>
      <w:r>
        <w:t xml:space="preserve"> </w:t>
      </w:r>
      <w:r>
        <w:t xml:space="preserve">de las ventas (162 M). Muy por debajo del límite rojo del 15 %.</w:t>
      </w:r>
    </w:p>
    <w:bookmarkEnd w:id="26"/>
    <w:bookmarkStart w:id="27" w:name="dirección-y-ejecución"/>
    <w:p>
      <w:pPr>
        <w:pStyle w:val="Heading2"/>
      </w:pPr>
      <w:r>
        <w:t xml:space="preserve">8. Dirección y ejecución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Historial (4/5)</w:t>
      </w:r>
      <w:r>
        <w:t xml:space="preserve">: en 2025-2026 ha batido su guía de ventas trimestre a trimestre y la ha subido. Le restan el recorte de la guía de jul-2024 (−40 % en un día, de memoria [21]), la rebaja del margen bruto en el 3T25 y los fallos de calidad: la carta de advertencia de la FDA (no consta que esté cerrada) y la retirada de clase I de receptores [4][13].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Dirección (3/5)</w:t>
      </w:r>
      <w:r>
        <w:t xml:space="preserve">: Jake Leach es consejero delegado desde enero de 2026 (lleva 20 años en la empresa y antes era director de operaciones). En septiembre, el director financiero, Jereme Sylvain, pasó a dirigir también operaciones y</w:t>
      </w:r>
      <w:r>
        <w:t xml:space="preserve"> </w:t>
      </w:r>
      <w:r>
        <w:rPr>
          <w:bCs/>
          <w:b/>
        </w:rPr>
        <w:t xml:space="preserve">calidad</w:t>
      </w:r>
      <w:r>
        <w:t xml:space="preserve">, una señal de que la calidad es prioridad, y el consejo se ha reforzado con el exdirector financiero de Stryker y un directivo de Google [11]. La asignación de capital es sensata: recompra con la acción baja y no ha hecho compras caras. Restan que no es una empresa de fundador, que los directivos venden sin comprar y que hay</w:t>
      </w:r>
      <w:r>
        <w:t xml:space="preserve"> </w:t>
      </w:r>
      <w:r>
        <w:rPr>
          <w:bCs/>
          <w:b/>
        </w:rPr>
        <w:t xml:space="preserve">litigios abiertos</w:t>
      </w:r>
      <w:r>
        <w:t xml:space="preserve">: demandas de accionistas por el G7 (2025), demandas por producto y tres demandas por una supuesta filtración de datos (oct-2026, sin confirmar) [10][14][15].</w:t>
      </w:r>
    </w:p>
    <w:bookmarkEnd w:id="27"/>
    <w:bookmarkStart w:id="28" w:name="valoración"/>
    <w:p>
      <w:pPr>
        <w:pStyle w:val="Heading2"/>
      </w:pPr>
      <w:r>
        <w:t xml:space="preserve">9. Valoración</w:t>
      </w:r>
    </w:p>
    <w:p>
      <w:pPr>
        <w:pStyle w:val="FirstParagraph"/>
      </w:pPr>
      <w:r>
        <w:rPr>
          <w:bCs/>
          <w:b/>
        </w:rPr>
        <w:t xml:space="preserve">Ejercicio objetivo: 2028</w:t>
      </w:r>
      <w:r>
        <w:t xml:space="preserve"> </w:t>
      </w:r>
      <w:r>
        <w:t xml:space="preserve">(ventas de los 12 meses siguientes dentro de un año).</w:t>
      </w:r>
      <w:r>
        <w:t xml:space="preserve"> </w:t>
      </w:r>
      <w:r>
        <w:rPr>
          <w:bCs/>
          <w:b/>
        </w:rPr>
        <w:t xml:space="preserve">Métrica: EV/EBITDA ajustado NTM.</w:t>
      </w:r>
      <w:r>
        <w:t xml:space="preserve"> </w:t>
      </w:r>
      <w:r>
        <w:t xml:space="preserve">Dexcom es rentable de forma estable y el EV/ventas ignoraría que un tercio de cada venta es EBITDA. El código traduce el múltiplo a ventas con el margen EBITDA implícito de hoy (~32,7 %), así que</w:t>
      </w:r>
      <w:r>
        <w:t xml:space="preserve"> </w:t>
      </w:r>
      <w:r>
        <w:rPr>
          <w:bCs/>
          <w:b/>
        </w:rPr>
        <w:t xml:space="preserve">no premia la subida de margen al 36-37 % del plan</w:t>
      </w:r>
      <w:r>
        <w:t xml:space="preserve">. Es una opción prudente.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EV de hoy</w:t>
      </w:r>
      <w:r>
        <w:t xml:space="preserve">: 85,06 × 382,4 + 1.250 − 1.947 =</w:t>
      </w:r>
      <w:r>
        <w:t xml:space="preserve"> </w:t>
      </w:r>
      <w:r>
        <w:rPr>
          <w:bCs/>
          <w:b/>
        </w:rPr>
        <w:t xml:space="preserve">31.830 M USD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Ventas NTM</w:t>
      </w:r>
      <w:r>
        <w:t xml:space="preserve">: ~5.466 M (+10 %, con la guía).</w:t>
      </w:r>
      <w:r>
        <w:t xml:space="preserve"> </w:t>
      </w:r>
      <w:r>
        <w:rPr>
          <w:bCs/>
          <w:b/>
        </w:rPr>
        <w:t xml:space="preserve">EV/ventas NTM: 5,8x; EV/beneficio bruto NTM: 9,3x; EV/EBITDA ajustado NTM: 17,8x</w:t>
      </w:r>
      <w:r>
        <w:t xml:space="preserve"> </w:t>
      </w:r>
      <w:r>
        <w:t xml:space="preserve">(sobre ~1.785 M) [20].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Mediana de 3 años: ~21,6x NTM</w:t>
      </w:r>
      <w:r>
        <w:t xml:space="preserve"> </w:t>
      </w:r>
      <w:r>
        <w:t xml:space="preserve">(cálculo propio al cierre de cada trimestre: ~34-50x en 2023-24, ~15-23x desde la caída de jul-2024) [20].</w:t>
      </w:r>
      <w:r>
        <w:t xml:space="preserve"> </w:t>
      </w:r>
      <w:r>
        <w:rPr>
          <w:bCs/>
          <w:b/>
        </w:rPr>
        <w:t xml:space="preserve">Mínimo: ~12,4x</w:t>
      </w:r>
      <w:r>
        <w:t xml:space="preserve"> </w:t>
      </w:r>
      <w:r>
        <w:t xml:space="preserve">(10-nov-2025).</w:t>
      </w:r>
      <w:r>
        <w:t xml:space="preserve"> </w:t>
      </w:r>
      <w:r>
        <w:rPr>
          <w:bCs/>
          <w:b/>
        </w:rPr>
        <w:t xml:space="preserve">Comparables: ~15x</w:t>
      </w:r>
      <w:r>
        <w:t xml:space="preserve"> </w:t>
      </w:r>
      <w:r>
        <w:t xml:space="preserve">(Abbott ~16x y Insulet ~13-14x NTM estimados; Tandem sin EBITDA) [18]. La mediana histórica fija el alcista (21,6x &lt; 17,8 × 1,3 = 23,1x, así que manda base × 1,3).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Desaceleración</w:t>
      </w:r>
      <w:r>
        <w:t xml:space="preserve">: 10 % NTM y 10 % en 2028 (plan de la empresa), así que el factor es 1,0.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−34,8 %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(50 %)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+19,8 %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(25 %)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+61,9 %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 (regla v7)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+16,7 %</w:t>
            </w:r>
          </w:p>
        </w:tc>
      </w:tr>
    </w:tbl>
    <w:p>
      <w:pPr>
        <w:pStyle w:val="BodyText"/>
      </w:pPr>
      <w:r>
        <w:t xml:space="preserve">Acciones dentro de 12 meses: 365,2 M (−4,5 %); caja de 1.947 M y deuda de 1.250 M.</w:t>
      </w:r>
      <w:r>
        <w:t xml:space="preserve"> </w:t>
      </w:r>
      <w:r>
        <w:rPr>
          <w:bCs/>
          <w:b/>
        </w:rPr>
        <w:t xml:space="preserve">Asimetría: 1,8.</w:t>
      </w:r>
      <w:r>
        <w:t xml:space="preserve"> </w:t>
      </w:r>
      <w:r>
        <w:rPr>
          <w:bCs/>
          <w:b/>
        </w:rPr>
        <w:t xml:space="preserve">Precio máximo de compra (regla): 94,5 USD</w:t>
      </w:r>
      <w:r>
        <w:t xml:space="preserve"> </w:t>
      </w:r>
      <w:r>
        <w:t xml:space="preserve">(el que da ponderada +5 %; el tope de 35x beneficio bruto queda en ~314 USD).</w:t>
      </w:r>
    </w:p>
    <w:p>
      <w:pPr>
        <w:pStyle w:val="BodyText"/>
      </w:pPr>
      <w:r>
        <w:rPr>
          <w:bCs/>
          <w:b/>
        </w:rPr>
        <w:t xml:space="preserve">Contraste con la guía de la empresa (mejora pendiente de la tanda 4, calculada a mano sin tocar el código).</w:t>
      </w:r>
      <w:r>
        <w:t xml:space="preserve"> </w:t>
      </w:r>
      <w:r>
        <w:t xml:space="preserve">La regla mecánica parte del +13,4 % (mezcla del +15,5 % de 12 meses, el +13,1 % del trimestre y el 12,4 % a dos años). La guía y el plan dicen ~+10 % anual, así que se rehace con ventas de +10 % y +10 % en el base, la mitad en el bajista y ×1,2 en el alcista. Los múltiplos, el margen EBITDA implícito (32,7 %), las acciones y la caja son los mismos: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2028 (M 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12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Bajista (+5 % y +5 %)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−36,1 %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(+10 % y +10 %)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17,8x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Alcista (+12 % y +12 %)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+54,1 %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Ponderado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95,3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+12,0 %</w:t>
            </w:r>
          </w:p>
        </w:tc>
      </w:tr>
    </w:tbl>
    <w:p>
      <w:pPr>
        <w:pStyle w:val="BodyText"/>
      </w:pPr>
      <w:r>
        <w:t xml:space="preserve">Con la guía</w:t>
      </w:r>
      <w:r>
        <w:t xml:space="preserve"> </w:t>
      </w:r>
      <w:r>
        <w:rPr>
          <w:bCs/>
          <w:b/>
        </w:rPr>
        <w:t xml:space="preserve">también sale Comprar (baja)</w:t>
      </w:r>
      <w:r>
        <w:t xml:space="preserve">: puntuación 68,2 ≥ 60, EV/beneficio bruto 9,3 ≤ 35, base ≥ 0, ponderada ≥ 5 % y bajista mejor que −50 %. El</w:t>
      </w:r>
      <w:r>
        <w:t xml:space="preserve"> </w:t>
      </w:r>
      <w:r>
        <w:rPr>
          <w:bCs/>
          <w:b/>
        </w:rPr>
        <w:t xml:space="preserve">precio máximo de compra baja a ~90,7 USD</w:t>
      </w:r>
      <w:r>
        <w:t xml:space="preserve"> </w:t>
      </w:r>
      <w:r>
        <w:t xml:space="preserve">(ponderada +5 %). Con probabilidades prudentes de 35/50/15 (si se considera que depende de un solo producto), la ponderada sería +7,0 % con la regla y</w:t>
      </w:r>
      <w:r>
        <w:t xml:space="preserve"> </w:t>
      </w:r>
      <w:r>
        <w:rPr>
          <w:bCs/>
          <w:b/>
        </w:rPr>
        <w:t xml:space="preserve">+3,0 % con la guía</w:t>
      </w:r>
      <w:r>
        <w:t xml:space="preserve">. En ese caso pasaría a «Mantener en vigilancia». Es el punto débil del caso.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Consenso</w:t>
      </w:r>
      <w:r>
        <w:t xml:space="preserve">: precio objetivo medio de</w:t>
      </w:r>
      <w:r>
        <w:t xml:space="preserve"> </w:t>
      </w:r>
      <w:r>
        <w:rPr>
          <w:bCs/>
          <w:b/>
        </w:rPr>
        <w:t xml:space="preserve">96,46 USD</w:t>
      </w:r>
      <w:r>
        <w:t xml:space="preserve"> </w:t>
      </w:r>
      <w:r>
        <w:t xml:space="preserve">(StockAnalysis, 29 analistas, Compra fuerte) y 94,48 USD en Investing (28 analistas). Va de 68 (Evercore, nov-2025) a 115 (Redburn) [9][17]. Consenso de ventas de 2028: no encontrado (null).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DCF inverso</w:t>
      </w:r>
      <w:r>
        <w:t xml:space="preserve">: con WACC del 10 %, margen FCF constante del 25 % y crecimiento terminal del 3 %, el precio descuenta</w:t>
      </w:r>
      <w:r>
        <w:t xml:space="preserve"> </w:t>
      </w:r>
      <w:r>
        <w:rPr>
          <w:bCs/>
          <w:b/>
        </w:rPr>
        <w:t xml:space="preserve">~10,5 % anual durante 10 años</w:t>
      </w:r>
      <w:r>
        <w:t xml:space="preserve">. Con un margen del 22 % (FCF menos pagos en acciones), ~12 %.</w:t>
      </w:r>
      <w:r>
        <w:t xml:space="preserve"> </w:t>
      </w:r>
      <w:r>
        <w:rPr>
          <w:bCs/>
          <w:b/>
        </w:rPr>
        <w:t xml:space="preserve">El precio descuenta justo el plan de la empresa</w:t>
      </w:r>
      <w:r>
        <w:t xml:space="preserve">: no hay margen de seguridad si el crecimiento cae por debajo del 10 % por la subasta de Medicare.</w:t>
      </w:r>
    </w:p>
    <w:bookmarkEnd w:id="28"/>
    <w:bookmarkStart w:id="29" w:name="foros-y-sentimiento"/>
    <w:p>
      <w:pPr>
        <w:pStyle w:val="Heading2"/>
      </w:pPr>
      <w:r>
        <w:t xml:space="preserve">10. Foros y sentimiento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Prensa y analistas</w:t>
      </w:r>
      <w:r>
        <w:t xml:space="preserve">: el relato de 2025 fue de «calidad rota y competencia de Abbott»: el informe corto de Hunterbrook (sep-2025), la carta de la FDA, Evercore In Line con 68 USD y la caída a 54,84 USD [9][13][14]. Desde diciembre gira: Morgan Stanley sube a Sobreponderar («recuperación infravalorada y potencial de margen del G7»), el Investor Day de mayo convence y tras el 2T llegan subidas de objetivo en cadena. Hoy la mayoría está en Compra (29 analistas, «Strong Buy») y solo JPMorgan sigue en Neutral (82 USD) [9].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StockTwits</w:t>
      </w:r>
      <w:r>
        <w:t xml:space="preserve"> </w:t>
      </w:r>
      <w:r>
        <w:t xml:space="preserve">(14-oct): 8 alcistas, 2 bajistas y 20 neutros en los 30 últimos mensajes. El tono es de «infravalorada, no debería estar por debajo de 90» y «Citi top pick». También hay ruido nuevo: tres demandas por una supuesta filtración de datos (ShinyHunters, sin confirmar) y un comentario sin verificar sobre fallos del G7 15 días visto en una farmacia [15][16].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Seeking Alpha</w:t>
      </w:r>
      <w:r>
        <w:t xml:space="preserve">: no se pudieron leer artículos recientes (de pago). Un usuario de StockTwits cita una «Strong Buy» del sistema de Seeking Alpha.</w:t>
      </w:r>
      <w:r>
        <w:t xml:space="preserve"> </w:t>
      </w:r>
      <w:r>
        <w:rPr>
          <w:bCs/>
          <w:b/>
        </w:rPr>
        <w:t xml:space="preserve">Laguna parcial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Reddit (r/stocks, r/investing, r/diabetes)</w:t>
      </w:r>
      <w:r>
        <w:t xml:space="preserve">: la API respondió «Blocked» y no se encontraron hilos recientes indexados.</w:t>
      </w:r>
      <w:r>
        <w:t xml:space="preserve"> </w:t>
      </w:r>
      <w:r>
        <w:rPr>
          <w:bCs/>
          <w:b/>
        </w:rPr>
        <w:t xml:space="preserve">Laguna.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 castellano</w:t>
      </w:r>
      <w:r>
        <w:t xml:space="preserve">: Investing.com ES (may-2026) publica un DAFO, «la acción enfrenta vientos competitivos en 2026», con riesgos de competencia, cambio de CEO y la acusación de un bajista. En Rankia no hay hilos activos sobre DXCM [17].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Contraste con los datos</w:t>
      </w:r>
      <w:r>
        <w:t xml:space="preserve">: el pesimismo de finales de 2025 iba por delante de los datos. El margen ya se estaba recuperando y las ventas crecían al 13-15 %. Hoy el sentimiento acompaña a los datos sin euforia. Las posiciones cortas son bajas (3,7 %) [18]. El riesgo es que el consenso ya es muy comprador: si el 3T decepciona, hay poca gente por convencer y mucha que puede vender.</w:t>
      </w:r>
    </w:p>
    <w:bookmarkEnd w:id="29"/>
    <w:bookmarkStart w:id="30" w:name="riesgos-y-qué-rompería-la-tesis"/>
    <w:p>
      <w:pPr>
        <w:pStyle w:val="Heading2"/>
      </w:pPr>
      <w:r>
        <w:t xml:space="preserve">11. Riesgos y qué rompería la tesis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Precio y reembolso</w:t>
      </w:r>
      <w:r>
        <w:t xml:space="preserve">: es el principal riesgo. Los CMS propusieron en 2025 meter los MCG en subasta competitiva con pago mensual (~15 % del negocio de Dexcom es Medicare por acto), y el plan de la empresa ya supone subasta desde 2028 [6][19]. Eso favorece al más barato (Abbott).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Competencia</w:t>
      </w:r>
      <w:r>
        <w:t xml:space="preserve">: Abbott (Libre Duo, más barato), Medtronic y fabricantes chinos fuera de EE. UU. Insulet acaba de recortar su guía por la menor retención de tipo 2 (−20 % el 5-ago) [18]: el segmento de tipo 2 puede ser menos fiel de lo que se piensa.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Calidad y regulación</w:t>
      </w:r>
      <w:r>
        <w:t xml:space="preserve">: la carta de advertencia de la FDA no consta como cerrada, hubo una retirada de clase I de receptores y siguen las demandas por el G7 [13][14]. Un nuevo problema de fabricación costaría margen y cuota.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Ciberseguridad y litigios</w:t>
      </w:r>
      <w:r>
        <w:t xml:space="preserve">: tres demandas por una supuesta filtración (oct-2026), sin confirmar por la empresa [15].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Concentración</w:t>
      </w:r>
      <w:r>
        <w:t xml:space="preserve">: todo es MCG. Un solo producto en sentido amplio: con probabilidades de 35/50/15 la ponderada con la guía cae al +3 %.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Dependencia de la cobertura de Medicare para los tipo 2 sin insulina</w:t>
      </w:r>
      <w:r>
        <w:t xml:space="preserve">: si los CMS dicen que no o la retrasan, desaparece el principal catalizador de 2027.</w:t>
      </w:r>
    </w:p>
    <w:p>
      <w:pPr>
        <w:pStyle w:val="FirstParagraph"/>
      </w:pPr>
      <w:r>
        <w:rPr>
          <w:bCs/>
          <w:b/>
        </w:rPr>
        <w:t xml:space="preserve">Señales de venta concretas</w:t>
      </w:r>
      <w:r>
        <w:t xml:space="preserve">:</w:t>
      </w:r>
      <w:r>
        <w:t xml:space="preserve"> </w:t>
      </w:r>
      <w:r>
        <w:t xml:space="preserve">- Crecimiento orgánico por debajo del 8 % dos trimestres seguidos (el plan es ≥ 10 %).</w:t>
      </w:r>
      <w:r>
        <w:t xml:space="preserve"> </w:t>
      </w:r>
      <w:r>
        <w:t xml:space="preserve">- Margen bruto no GAAP por debajo del 61 % (vuelta a los problemas de 2025).</w:t>
      </w:r>
      <w:r>
        <w:t xml:space="preserve"> </w:t>
      </w:r>
      <w:r>
        <w:t xml:space="preserve">- Una nueva carta de advertencia, una retirada de clase I de sensores o la confirmación de la filtración con datos de salud.</w:t>
      </w:r>
      <w:r>
        <w:t xml:space="preserve"> </w:t>
      </w:r>
      <w:r>
        <w:t xml:space="preserve">- Una tarifa de la subasta de Medicare que obligue a recortar el plan de 2030.</w:t>
      </w:r>
      <w:r>
        <w:t xml:space="preserve"> </w:t>
      </w:r>
      <w:r>
        <w:t xml:space="preserve">- Resultados del 3T (29-oct) por debajo de la guía implícita (~1.330-1.350 M de ventas) o recorte de la guía anual.</w:t>
      </w:r>
    </w:p>
    <w:p>
      <w:pPr>
        <w:pStyle w:val="BodyText"/>
      </w:pPr>
      <w:r>
        <w:t xml:space="preserve">Hoy no hay tesis rota.</w:t>
      </w:r>
    </w:p>
    <w:bookmarkEnd w:id="30"/>
    <w:bookmarkStart w:id="31" w:name="catalizadores-con-fecha"/>
    <w:p>
      <w:pPr>
        <w:pStyle w:val="Heading2"/>
      </w:pPr>
      <w:r>
        <w:t xml:space="preserve">12. Catalizadores con fecha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29-oct-2026</w:t>
      </w:r>
      <w:r>
        <w:t xml:space="preserve">: resultados del 3T26, con la guía 2026 actualizada y quizá las primeras pistas de 2027 [22].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Antes de fin de 2026</w:t>
      </w:r>
      <w:r>
        <w:t xml:space="preserve">: decisión de los CMS sobre la cobertura de Medicare para los tipo 2 sin insulina, con implantación hacia mediados de 2027 [12].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Febrero de 2027</w:t>
      </w:r>
      <w:r>
        <w:t xml:space="preserve">: resultados del 4T y guía de 2027, la primera prueba del «≥ 10 % cada año».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2027</w:t>
      </w:r>
      <w:r>
        <w:t xml:space="preserve">: presentación del G8 a la FDA; entrada en India, Brasil y México [6].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2028</w:t>
      </w:r>
      <w:r>
        <w:t xml:space="preserve">: posible subasta competitiva de Medicare (riesgo) y vencimiento del convertible de 1.250 M.</w:t>
      </w:r>
    </w:p>
    <w:bookmarkEnd w:id="31"/>
    <w:bookmarkStart w:id="32" w:name="encaje-en-cartera"/>
    <w:p>
      <w:pPr>
        <w:pStyle w:val="Heading2"/>
      </w:pPr>
      <w:r>
        <w:t xml:space="preserve">13. Encaje en cartera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Frente a la cartera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MEMORIA.md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informes/cartera-2026-10-14-15h.md</w:t>
      </w:r>
      <w:r>
        <w:t xml:space="preserve">): en salud están</w:t>
      </w:r>
      <w:r>
        <w:t xml:space="preserve"> </w:t>
      </w:r>
      <w:r>
        <w:rPr>
          <w:bCs/>
          <w:b/>
        </w:rPr>
        <w:t xml:space="preserve">Daiichi Sankyo</w:t>
      </w:r>
      <w:r>
        <w:t xml:space="preserve"> </w:t>
      </w:r>
      <w:r>
        <w:t xml:space="preserve">(farmacéutica, +31,6 % a 12 meses) y</w:t>
      </w:r>
      <w:r>
        <w:t xml:space="preserve"> </w:t>
      </w:r>
      <w:r>
        <w:rPr>
          <w:bCs/>
          <w:b/>
        </w:rPr>
        <w:t xml:space="preserve">Zoetis</w:t>
      </w:r>
      <w:r>
        <w:t xml:space="preserve"> </w:t>
      </w:r>
      <w:r>
        <w:t xml:space="preserve">(salud animal), que la propuesta del 14-oct vende. Dexcom no se solapa con ninguna (tecnología médica, sensores) y daría a la cartera una exposición a la diabetes y la obesidad que hoy no tiene. Para la regla value no es una compra: el PER de ~30x a futuro no pasa los tres requisitos. Aquí se mira solo como growth.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Frente al bolsillo growth</w:t>
      </w:r>
      <w:r>
        <w:t xml:space="preserve"> </w:t>
      </w:r>
      <w:r>
        <w:t xml:space="preserve">(</w:t>
      </w:r>
      <w:r>
        <w:rPr>
          <w:rStyle w:val="VerbatimChar"/>
        </w:rPr>
        <w:t xml:space="preserve">informes-growth/cartera-growth.md</w:t>
      </w:r>
      <w:r>
        <w:t xml:space="preserve">): está</w:t>
      </w:r>
      <w:r>
        <w:t xml:space="preserve"> </w:t>
      </w:r>
      <w:r>
        <w:rPr>
          <w:bCs/>
          <w:b/>
        </w:rPr>
        <w:t xml:space="preserve">lleno (~19,5 %)</w:t>
      </w:r>
      <w:r>
        <w:t xml:space="preserve"> </w:t>
      </w:r>
      <w:r>
        <w:t xml:space="preserve">con Nu, argenx, Shopify, Axon y Duolingo, y</w:t>
      </w:r>
      <w:r>
        <w:t xml:space="preserve"> </w:t>
      </w:r>
      <w:r>
        <w:rPr>
          <w:bCs/>
          <w:b/>
        </w:rPr>
        <w:t xml:space="preserve">no hay liquidez</w:t>
      </w:r>
      <w:r>
        <w:t xml:space="preserve">. Comparación: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(regla)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Ponderada (con la 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EV/beneficio bruto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+45,7 %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−37,2 %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Duolingo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+40,6 %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−25,4 % (−32,8 % con la guía)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+34,2 %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−42,4 %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+27,4 %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−45,3 %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Dexcom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+16,7 %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+12,0 %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−34,8 % (−36,1 %)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9,3x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Shopify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−43,2 %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28x</w:t>
            </w:r>
          </w:p>
        </w:tc>
      </w:tr>
    </w:tbl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¿A quién sustituiría?</w:t>
      </w:r>
      <w:r>
        <w:t xml:space="preserve"> </w:t>
      </w:r>
      <w:r>
        <w:t xml:space="preserve">La candidata natural es</w:t>
      </w:r>
      <w:r>
        <w:t xml:space="preserve"> </w:t>
      </w:r>
      <w:r>
        <w:rPr>
          <w:bCs/>
          <w:b/>
        </w:rPr>
        <w:t xml:space="preserve">Shopify</w:t>
      </w:r>
      <w:r>
        <w:t xml:space="preserve">, la de menor ponderada (+14,9 %). Dexcom solo la supera en 1,8 puntos con la regla y queda por debajo con la guía (+12,0 %). Tiene menos riesgo de caída (−35 % frente a −43 %) y un múltiplo mucho menor, pero también menos puntuación y convicción (baja frente a media) y la mitad de crecimiento. La otra comparable es</w:t>
      </w:r>
      <w:r>
        <w:t xml:space="preserve"> </w:t>
      </w:r>
      <w:r>
        <w:rPr>
          <w:bCs/>
          <w:b/>
        </w:rPr>
        <w:t xml:space="preserve">Duolingo</w:t>
      </w:r>
      <w:r>
        <w:t xml:space="preserve">, la más parecida (rentable y castigada, convicción baja): con la guía empatan en ponderada (+12,5 % frente a +12,0 %), y Duolingo tiene mejor bajista y menor múltiplo.</w:t>
      </w:r>
      <w:r>
        <w:t xml:space="preserve"> </w:t>
      </w:r>
      <w:r>
        <w:rPr>
          <w:bCs/>
          <w:b/>
        </w:rPr>
        <w:t xml:space="preserve">La diferencia no paga el coste de rotar</w:t>
      </w:r>
      <w:r>
        <w:t xml:space="preserve">, ni las comisiones ni el riesgo de cambiar de tesis a dos semanas de los resultados de las tres.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Recomendación: no sustituir hoy.</w:t>
      </w:r>
      <w:r>
        <w:t xml:space="preserve"> </w:t>
      </w:r>
      <w:r>
        <w:t xml:space="preserve">Dexcom entra como</w:t>
      </w:r>
      <w:r>
        <w:t xml:space="preserve"> </w:t>
      </w:r>
      <w:r>
        <w:rPr>
          <w:bCs/>
          <w:b/>
        </w:rPr>
        <w:t xml:space="preserve">primera suplente growth</w:t>
      </w:r>
      <w:r>
        <w:t xml:space="preserve">, con límite</w:t>
      </w:r>
      <w:r>
        <w:t xml:space="preserve"> </w:t>
      </w:r>
      <w:r>
        <w:rPr>
          <w:bCs/>
          <w:b/>
        </w:rPr>
        <w:t xml:space="preserve">≤ 90,7 USD</w:t>
      </w:r>
      <w:r>
        <w:t xml:space="preserve"> </w:t>
      </w:r>
      <w:r>
        <w:t xml:space="preserve">(el de la guía; 13 acciones, en dos tramos de 7 y 6). Pasaría a sustituir:</w:t>
      </w:r>
    </w:p>
    <w:p>
      <w:pPr>
        <w:numPr>
          <w:ilvl w:val="1"/>
          <w:numId w:val="1015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Duolingo</w:t>
      </w:r>
      <w:r>
        <w:t xml:space="preserve">, si su 3T (3-nov) sale por debajo de la guía (la condición que ya cancela su tramo 2) y el 3T de Dexcom (29-oct) cumple;</w:t>
      </w:r>
    </w:p>
    <w:p>
      <w:pPr>
        <w:numPr>
          <w:ilvl w:val="1"/>
          <w:numId w:val="1015"/>
        </w:numPr>
        <w:pStyle w:val="Compact"/>
      </w:pPr>
      <w:r>
        <w:t xml:space="preserve">o a</w:t>
      </w:r>
      <w:r>
        <w:t xml:space="preserve"> </w:t>
      </w:r>
      <w:r>
        <w:rPr>
          <w:bCs/>
          <w:b/>
        </w:rPr>
        <w:t xml:space="preserve">Shopify</w:t>
      </w:r>
      <w:r>
        <w:t xml:space="preserve">, si su 3T (3-nov) rompe la tesis.</w:t>
      </w:r>
      <w:r>
        <w:t xml:space="preserve"> </w:t>
      </w:r>
      <w:r>
        <w:t xml:space="preserve">En ambos casos aporta lo que le falta al bolsillo: diversificar fuera del software y el consumo digital, con un negocio ya rentable y menos caída en el bajista. Si los CMS aprueban la cobertura de los tipo 2 antes de fin de año, se recalcula: la convicción podría subir.</w:t>
      </w:r>
    </w:p>
    <w:bookmarkEnd w:id="32"/>
    <w:bookmarkStart w:id="33" w:name="puntuación"/>
    <w:p>
      <w:pPr>
        <w:pStyle w:val="Heading2"/>
      </w:pPr>
      <w:r>
        <w:t xml:space="preserve">14. Puntuación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A. Crecimiento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Ventas 12 m +15,5 % (2/5), CAGR 2 años 12,4 % (1/5), aceleración −3,1 pp (2/5)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B. Mercado y 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Penetración 16,6 % (2/5), tecnología 4/5, posición 4/5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C. Cambio de tendencia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de 8 señales, sin euforia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D. Economía unitaria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Margen bruto 62,5 % (4/5), regla del 40 = 43,8 (3/5), FCF creciente 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E. Caja y dilución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FCF positivo (5/5), dilución −4,5 % (5/5)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F. Ejecución y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4/5, dirección 3/5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68,2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Comprar (baja): cumple todos los requisitos de compra</w:t>
            </w:r>
          </w:p>
        </w:tc>
      </w:tr>
    </w:tbl>
    <w:p>
      <w:pPr>
        <w:pStyle w:val="BodyText"/>
      </w:pPr>
      <w:r>
        <w:rPr>
          <w:bCs/>
          <w:b/>
        </w:rPr>
        <w:t xml:space="preserve">Mejora de método detectada</w:t>
      </w:r>
      <w:r>
        <w:t xml:space="preserve">: al pasar a la proyección con la guía (pendiente de la tanda 4), hay que tocar también la conversión del múltiplo. Hoy</w:t>
      </w:r>
      <w:r>
        <w:t xml:space="preserve"> </w:t>
      </w:r>
      <w:r>
        <w:rPr>
          <w:rStyle w:val="VerbatimChar"/>
        </w:rPr>
        <w:t xml:space="preserve">motor/growth.mjs</w:t>
      </w:r>
      <w:r>
        <w:t xml:space="preserve"> </w:t>
      </w:r>
      <w:r>
        <w:t xml:space="preserve">solo aplica el margen EBITDA implícito (</w:t>
      </w:r>
      <w:r>
        <w:rPr>
          <w:rStyle w:val="VerbatimChar"/>
        </w:rPr>
        <w:t xml:space="preserve">margenImpl</w:t>
      </w:r>
      <w:r>
        <w:t xml:space="preserve">) cuando la proyección es mecánica. Si se usan las ventas del analista con una métrica de EBITDA, multiplicaría el EV/EBITDA por las ventas y el precio saldría ~3 veces mayor. El cálculo a mano de la sección 9 aplica el margen; el código, cuando se cambie, debería hacerlo igual.</w:t>
      </w:r>
    </w:p>
    <w:bookmarkEnd w:id="33"/>
    <w:bookmarkStart w:id="34" w:name="fuentes"/>
    <w:p>
      <w:pPr>
        <w:pStyle w:val="Heading2"/>
      </w:pPr>
      <w:r>
        <w:t xml:space="preserve">Fuentes</w:t>
      </w:r>
    </w:p>
    <w:p>
      <w:pPr>
        <w:pStyle w:val="FirstParagraph"/>
      </w:pPr>
      <w:r>
        <w:t xml:space="preserve">[1] Dexcom, resultados del 2T 2026 (30-jul-2026), 8-K ex. 99.1, SEC (leído directamente).</w:t>
      </w:r>
      <w:r>
        <w:t xml:space="preserve"> </w:t>
      </w:r>
      <w:r>
        <w:t xml:space="preserve">[2] Dexcom, resultados del 1T 2026 (30-abr-2026), 8-K ex. 99.1, SEC.</w:t>
      </w:r>
      <w:r>
        <w:t xml:space="preserve"> </w:t>
      </w:r>
      <w:r>
        <w:t xml:space="preserve">[3] Dexcom, preliminares del 4T25 y guía 2026 (12-ene-2026) y resultados del 4T y del año 2025 (12-feb-2026), 8-K ex. 99.1, SEC.</w:t>
      </w:r>
      <w:r>
        <w:t xml:space="preserve"> </w:t>
      </w:r>
      <w:r>
        <w:t xml:space="preserve">[4] Dexcom, resultados del 3T 2025 (30-oct-2025), 8-K ex. 99.1, SEC.</w:t>
      </w:r>
      <w:r>
        <w:t xml:space="preserve"> </w:t>
      </w:r>
      <w:r>
        <w:t xml:space="preserve">[5] SEC XBRL companyfacts (CIK 1093557): ventas, márgenes, flujo de caja, inversiones, amortizaciones, pagos en acciones, recompras y acciones diluidas de 2023 a jun-2026.</w:t>
      </w:r>
      <w:r>
        <w:t xml:space="preserve"> </w:t>
      </w:r>
      <w:r>
        <w:t xml:space="preserve">[6] Dexcom, 8-K del 14-may-2026 (Investor Day: objetivos a 2030), SEC; resúmenes de Yahoo Finance y The Stock Observer (usuarios, vidas cubiertas, recompras, G8, supuestos de subasta y precio).</w:t>
      </w:r>
      <w:r>
        <w:t xml:space="preserve"> </w:t>
      </w:r>
      <w:r>
        <w:t xml:space="preserve">[7] Yahoo Finance chart API (DXCM, QQQ, SPY, IHI, ABT, PODD y TNDM): cierres, mínimos, máximos y medias de 200 sesiones calculadas.</w:t>
      </w:r>
      <w:r>
        <w:t xml:space="preserve"> </w:t>
      </w:r>
      <w:r>
        <w:t xml:space="preserve">[8] Nasdaq.com, histórico de DXCM: cierre del 13-oct-2026 85,06 USD.</w:t>
      </w:r>
      <w:r>
        <w:t xml:space="preserve"> </w:t>
      </w:r>
      <w:r>
        <w:t xml:space="preserve">[9] MarketBeat (Mizuho, JPMorgan, RBC, Benchmark, jul-ago 2026); TipRanks/The Fly (Morgan Stanley, Redburn); Yahoo Finance (Morgan Stanley, dic-2025); Evercore (nov-2025); StockAnalysis (consenso del 14-oct-2026); Citi (6-oct-2026, vía StockTwits).</w:t>
      </w:r>
      <w:r>
        <w:t xml:space="preserve"> </w:t>
      </w:r>
      <w:r>
        <w:t xml:space="preserve">[10] SEC, Formularios 4 de abr-oct 2026 y Schedule 13G de Vanguard (abr-2026), leídos directamente.</w:t>
      </w:r>
      <w:r>
        <w:t xml:space="preserve"> </w:t>
      </w:r>
      <w:r>
        <w:t xml:space="preserve">[11] Dexcom, 8-K del 7-ene, 26-feb, 10-sep y 14-sep-2026 (CEO, consejeros y director de operaciones), SEC.</w:t>
      </w:r>
      <w:r>
        <w:t xml:space="preserve"> </w:t>
      </w:r>
      <w:r>
        <w:t xml:space="preserve">[12] MarketBeat / Ticker Report (llamada del 2T26) y MedTech Dive: ensayo CONNECT y calendario de los CMS.</w:t>
      </w:r>
      <w:r>
        <w:t xml:space="preserve"> </w:t>
      </w:r>
      <w:r>
        <w:t xml:space="preserve">[13] FDA y MassDevice / Seeking Alpha: carta de advertencia de mar-2025 y retirada de clase I de receptores Z-1944-2025.</w:t>
      </w:r>
      <w:r>
        <w:t xml:space="preserve"> </w:t>
      </w:r>
      <w:r>
        <w:t xml:space="preserve">[14] Hunterbrook Media, «Dexcom’s Fatal Flaws» (18-sep-2025), y demandas colectivas de accionistas (BLB&amp;G, Robbins LLP).</w:t>
      </w:r>
      <w:r>
        <w:t xml:space="preserve"> </w:t>
      </w:r>
      <w:r>
        <w:t xml:space="preserve">[15] OpenClassActions y Cybernews (oct-2026): supuesta filtración de ShinyHunters y tres demandas.</w:t>
      </w:r>
      <w:r>
        <w:t xml:space="preserve"> </w:t>
      </w:r>
      <w:r>
        <w:t xml:space="preserve">[16] StockTwits, flujo de DXCM (API pública, 14-oct-2026).</w:t>
      </w:r>
      <w:r>
        <w:t xml:space="preserve"> </w:t>
      </w:r>
      <w:r>
        <w:t xml:space="preserve">[17] Investing.com ES (DAFO, may-2026), Investing.com MX (consenso) y Rankia.</w:t>
      </w:r>
      <w:r>
        <w:t xml:space="preserve"> </w:t>
      </w:r>
      <w:r>
        <w:t xml:space="preserve">[18] StockAnalysis (14-oct-2026: Abbott, Insulet y Dexcom); MarketBeat / Sentisense (recorte de guía de Insulet, 5-ago-2026); Nasdaq/Zacks (MCG de Abbott del 1T y 2T 2026).</w:t>
      </w:r>
      <w:r>
        <w:t xml:space="preserve"> </w:t>
      </w:r>
      <w:r>
        <w:t xml:space="preserve">[19] MedTech Dive y Reuters (30-jun-2025): propuesta de subasta competitiva de los CMS para MCG y bombas.</w:t>
      </w:r>
      <w:r>
        <w:t xml:space="preserve"> </w:t>
      </w:r>
      <w:r>
        <w:t xml:space="preserve">[20] Cálculo propio: EV, ventas y EBITDA NTM, EV/EBITDA histórico al cierre de cada trimestre (2023-2024 aproximado), DCF inverso.</w:t>
      </w:r>
      <w:r>
        <w:t xml:space="preserve"> </w:t>
      </w:r>
      <w:r>
        <w:t xml:space="preserve">[21] DE MEMORIA (no verificado en esta sesión): caída del ~40 % tras recortar la guía en jul-2024; Abbott, primera en MCG por volumen; liderazgo de Dexcom con las bombas.</w:t>
      </w:r>
      <w:r>
        <w:t xml:space="preserve"> </w:t>
      </w:r>
      <w:r>
        <w:t xml:space="preserve">[22] Finviz / Business Wire (7-oct-2026): resultados del 3T el 29-oct-2026.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2026-10-14T21:44:15Z</dcterms:created>
  <dcterms:modified xsi:type="dcterms:W3CDTF">2026-10-14T21:44:15Z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