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2034cc5dbe644e0e3bc6c4b533bd8dc3e9e4ccd"/>
    <w:p>
      <w:pPr>
        <w:pStyle w:val="Heading1"/>
      </w:pPr>
      <w:r>
        <w:t xml:space="preserve">Duolingo (DUOL): análisis growth, 14-oct-2026</w:t>
      </w:r>
    </w:p>
    <w:p>
      <w:pPr>
        <w:pStyle w:val="FirstParagraph"/>
      </w:pPr>
      <w:r>
        <w:rPr>
          <w:bCs/>
          <w:b/>
        </w:rPr>
        <w:t xml:space="preserve">Señal (método v7): Comprar (convicción baja)</w:t>
      </w:r>
      <w:r>
        <w:t xml:space="preserve"> </w:t>
      </w:r>
      <w:r>
        <w:t xml:space="preserve">· Puntuación 70,8/100 · Señales de cambio de tendencia 5/8 · EV/beneficio bruto 6,2x</w:t>
      </w:r>
      <w:r>
        <w:t xml:space="preserve"> </w:t>
      </w:r>
      <w:r>
        <w:t xml:space="preserve">Precio 140,10 USD · Objetivo 12 m 196,9 USD (ponderada +40,6 %, base +34,3 %, bajista −25,4 %, alcista +119,0 %) · Compra hasta 187,5 USD</w:t>
      </w:r>
      <w:r>
        <w:t xml:space="preserve"> </w:t>
      </w:r>
      <w:r>
        <w:t xml:space="preserve">Peso orientativo: 3,5 %, 8 acciones en dos tramos), pero</w:t>
      </w:r>
      <w:r>
        <w:t xml:space="preserve"> </w:t>
      </w:r>
      <w:r>
        <w:rPr>
          <w:bCs/>
          <w:b/>
        </w:rPr>
        <w:t xml:space="preserve">no hay liquidez para pagarlo</w:t>
      </w:r>
      <w:r>
        <w:t xml:space="preserve">: ver sección 13 · Por qué: cumple todos los requisitos de compra</w:t>
      </w:r>
    </w:p>
    <w:p>
      <w:pPr>
        <w:pStyle w:val="BlockText"/>
      </w:pPr>
      <w:r>
        <w:rPr>
          <w:bCs/>
          <w:b/>
        </w:rPr>
        <w:t xml:space="preserve">Calculado con el método v7</w:t>
      </w:r>
      <w:r>
        <w:t xml:space="preserve"> </w:t>
      </w:r>
      <w:r>
        <w:t xml:space="preserve">(</w:t>
      </w:r>
      <w:r>
        <w:rPr>
          <w:rStyle w:val="VerbatimChar"/>
        </w:rPr>
        <w:t xml:space="preserve">verticales/growth/metodo.md</w:t>
      </w:r>
      <w:r>
        <w:t xml:space="preserve">). Las ventas del año objetivo salen de la regla mecánica (1.843 M USD en el base) y el múltiplo, del de hoy (2,7x / 4,5x / 7,2x EV/ventas NTM).</w:t>
      </w:r>
      <w:r>
        <w:t xml:space="preserve"> </w:t>
      </w:r>
      <w:r>
        <w:rPr>
          <w:bCs/>
          <w:b/>
        </w:rPr>
        <w:t xml:space="preserve">Aviso importante</w:t>
      </w:r>
      <w:r>
        <w:t xml:space="preserve">: aquí la regla mecánica exagera. Parte del crecimiento pasado (+29 % en 12 meses y +34 % de media a 2 años), pero la empresa ha frenado a propósito y su guía es de +11 % en el 3T. Con mi proyección, que sigue la guía (1.274 / 1.404 / 1.501 M USD), la señal</w:t>
      </w:r>
      <w:r>
        <w:t xml:space="preserve"> </w:t>
      </w:r>
      <w:r>
        <w:rPr>
          <w:bCs/>
          <w:b/>
        </w:rPr>
        <w:t xml:space="preserve">sigue siendo Comprar (baja)</w:t>
      </w:r>
      <w:r>
        <w:t xml:space="preserve">, pero con ponderada +12,5 %, base +7,0 %, bajista −32,8 % y</w:t>
      </w:r>
      <w:r>
        <w:t xml:space="preserve"> </w:t>
      </w:r>
      <w:r>
        <w:rPr>
          <w:bCs/>
          <w:b/>
        </w:rPr>
        <w:t xml:space="preserve">compra hasta ~150 USD</w:t>
      </w:r>
      <w:r>
        <w:t xml:space="preserve">. Este es el límite que recomiendo para la orden (sección 9).</w:t>
      </w:r>
    </w:p>
    <w:bookmarkStart w:id="20" w:name="la-tesis-en-cinco-líneas"/>
    <w:p>
      <w:pPr>
        <w:pStyle w:val="Heading2"/>
      </w:pPr>
      <w:r>
        <w:t xml:space="preserve">1. La tesis en cinco líneas</w:t>
      </w:r>
    </w:p>
    <w:p>
      <w:pPr>
        <w:numPr>
          <w:ilvl w:val="0"/>
          <w:numId w:val="1001"/>
        </w:numPr>
        <w:pStyle w:val="Compact"/>
      </w:pPr>
      <w:r>
        <w:t xml:space="preserve">Duolingo es la aplicación de educación más usada del mundo:</w:t>
      </w:r>
      <w:r>
        <w:t xml:space="preserve"> </w:t>
      </w:r>
      <w:r>
        <w:rPr>
          <w:bCs/>
          <w:b/>
        </w:rPr>
        <w:t xml:space="preserve">58,7 M de usuarios diarios (DAU, +23 %)</w:t>
      </w:r>
      <w:r>
        <w:t xml:space="preserve">, 12,7 M de suscriptores de pago y</w:t>
      </w:r>
      <w:r>
        <w:t xml:space="preserve"> </w:t>
      </w:r>
      <w:r>
        <w:rPr>
          <w:bCs/>
          <w:b/>
        </w:rPr>
        <w:t xml:space="preserve">1.145 M USD de ventas en 12 meses (+29 %)</w:t>
      </w:r>
      <w:r>
        <w:t xml:space="preserve">, con margen bruto del 73 % y FCF del 35 %, sin deuda y con 1.417 M de caja.</w:t>
      </w:r>
    </w:p>
    <w:p>
      <w:pPr>
        <w:numPr>
          <w:ilvl w:val="0"/>
          <w:numId w:val="1001"/>
        </w:numPr>
        <w:pStyle w:val="Compact"/>
      </w:pPr>
      <w:r>
        <w:t xml:space="preserve">En febrero de 2026 cambió de estrategia: renuncia a unos 50 M USD de bookings y a margen para</w:t>
      </w:r>
      <w:r>
        <w:t xml:space="preserve"> </w:t>
      </w:r>
      <w:r>
        <w:rPr>
          <w:bCs/>
          <w:b/>
        </w:rPr>
        <w:t xml:space="preserve">volver a crecer en usuarios</w:t>
      </w:r>
      <w:r>
        <w:t xml:space="preserve"> </w:t>
      </w:r>
      <w:r>
        <w:t xml:space="preserve">(objetivo de 100 M de DAU en 2028). El mercado lo leyó como el final de la historia, porque coincidía con el miedo a que la IA vuelva inútil aprender idiomas. La acción cayó un 83 %, de 541 USD (mayo-2025) a 90 USD (abril-2026).</w:t>
      </w:r>
    </w:p>
    <w:p>
      <w:pPr>
        <w:numPr>
          <w:ilvl w:val="0"/>
          <w:numId w:val="1001"/>
        </w:numPr>
        <w:pStyle w:val="Compact"/>
      </w:pPr>
      <w:r>
        <w:t xml:space="preserve">La primera parte del plan funciona: los DAU vuelven a acelerar (+21 % en el 1T, +23 % en el 2T y +27,4 % estimado a mediados de agosto) y la empresa supera su guía. La percepción gira: hay dos mejoras de analistas en dos semanas, la acción sube un 50 % en seis meses y el múltiplo pasa de 2,6x a 4,5x ventas.</w:t>
      </w:r>
    </w:p>
    <w:p>
      <w:pPr>
        <w:numPr>
          <w:ilvl w:val="0"/>
          <w:numId w:val="1001"/>
        </w:numPr>
        <w:pStyle w:val="Compact"/>
      </w:pPr>
      <w:r>
        <w:t xml:space="preserve">Aun así cotiza a</w:t>
      </w:r>
      <w:r>
        <w:t xml:space="preserve"> </w:t>
      </w:r>
      <w:r>
        <w:rPr>
          <w:bCs/>
          <w:b/>
        </w:rPr>
        <w:t xml:space="preserve">4,5x ventas y 6,2x beneficio bruto NTM</w:t>
      </w:r>
      <w:r>
        <w:t xml:space="preserve">, frente a una mediana de ~12x en tres años. El DCF inverso descuenta un crecimiento de solo ~5 % anual durante 10 años (~10 % si se restan los pagos en acciones).</w:t>
      </w:r>
    </w:p>
    <w:p>
      <w:pPr>
        <w:numPr>
          <w:ilvl w:val="0"/>
          <w:numId w:val="1001"/>
        </w:numPr>
        <w:pStyle w:val="Compact"/>
      </w:pPr>
      <w:r>
        <w:t xml:space="preserve">Conclusión:</w:t>
      </w:r>
      <w:r>
        <w:t xml:space="preserve"> </w:t>
      </w:r>
      <w:r>
        <w:rPr>
          <w:bCs/>
          <w:b/>
        </w:rPr>
        <w:t xml:space="preserve">Comprar con convicción baja</w:t>
      </w:r>
      <w:r>
        <w:t xml:space="preserve"> </w:t>
      </w:r>
      <w:r>
        <w:t xml:space="preserve">(puntuación 70,8: penaliza la desaceleración de ventas, que es real). La orden sería por debajo de ~150 USD. El riesgo principal es que la monetización no vuelva: los usuarios crecen y las ventas siguen frenando hasta el 10 %.</w:t>
      </w:r>
    </w:p>
    <w:bookmarkEnd w:id="20"/>
    <w:bookmarkStart w:id="21" w:name="negocio-y-tecnología"/>
    <w:p>
      <w:pPr>
        <w:pStyle w:val="Heading2"/>
      </w:pPr>
      <w:r>
        <w:t xml:space="preserve">2. Negocio y tecnología</w:t>
      </w:r>
    </w:p>
    <w:p>
      <w:pPr>
        <w:pStyle w:val="FirstParagraph"/>
      </w:pPr>
      <w:r>
        <w:t xml:space="preserve">Duolingo vende una aplicación gratuita para aprender idiomas (y ajedrez, matemáticas y música) que se paga con</w:t>
      </w:r>
      <w:r>
        <w:t xml:space="preserve"> </w:t>
      </w:r>
      <w:r>
        <w:rPr>
          <w:bCs/>
          <w:b/>
        </w:rPr>
        <w:t xml:space="preserve">suscripciones</w:t>
      </w:r>
      <w:r>
        <w:t xml:space="preserve"> </w:t>
      </w:r>
      <w:r>
        <w:t xml:space="preserve">(Super y Max, el 87 % de los bookings: 250,3 de 289,1 M USD en el 2T26),</w:t>
      </w:r>
      <w:r>
        <w:t xml:space="preserve"> </w:t>
      </w:r>
      <w:r>
        <w:rPr>
          <w:bCs/>
          <w:b/>
        </w:rPr>
        <w:t xml:space="preserve">publicidad</w:t>
      </w:r>
      <w:r>
        <w:t xml:space="preserve"> </w:t>
      </w:r>
      <w:r>
        <w:t xml:space="preserve">a los usuarios gratuitos, el</w:t>
      </w:r>
      <w:r>
        <w:t xml:space="preserve"> </w:t>
      </w:r>
      <w:r>
        <w:rPr>
          <w:bCs/>
          <w:b/>
        </w:rPr>
        <w:t xml:space="preserve">Duolingo English Test</w:t>
      </w:r>
      <w:r>
        <w:t xml:space="preserve"> </w:t>
      </w:r>
      <w:r>
        <w:t xml:space="preserve">y compras dentro de la aplicación [1]. El 100 % de la distribución depende de las tiendas de Apple y Google.</w:t>
      </w:r>
    </w:p>
    <w:p>
      <w:pPr>
        <w:pStyle w:val="BodyText"/>
      </w:pPr>
      <w:r>
        <w:t xml:space="preserve">Lo diferencial no es la IA en sí, sino</w:t>
      </w:r>
      <w:r>
        <w:t xml:space="preserve"> </w:t>
      </w:r>
      <w:r>
        <w:rPr>
          <w:bCs/>
          <w:b/>
        </w:rPr>
        <w:t xml:space="preserve">el hábito</w:t>
      </w:r>
      <w:r>
        <w:t xml:space="preserve">: rachas, ligas, notificaciones y una marca que crece casi solo por el boca a boca (más de 1.000 M de impresiones orgánicas por trimestre en redes) [1]. La empresa prueba cientos de cambios a la vez con su «Green Machine» (pruebas A/B a gran escala). Su métrica clave, la retención diaria de los usuarios actuales (CURR), está en un máximo del 84 % [1]. La IA abarata el contenido: publicó 20.500 unidades de curso en el 1T26, frente a 7.100 por trimestre en 2025 y 1.800 en 2024. Además, ofrece conversación con un personaje (Video Call), que pasa al plan Super para llegar a diez veces más usuarios [2][4].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Tecnología 3/5</w:t>
      </w:r>
      <w:r>
        <w:t xml:space="preserve">: los datos de comportamiento de cientos de millones de alumnos y la mecánica de hábito son difíciles de copiar, pero los modelos de lenguaje generales (ChatGPT, Gemini) dan conversación y traducción gratis. Es el centro del miedo del mercado. Buena, pero con alternativas.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Posición 5/5</w:t>
      </w:r>
      <w:r>
        <w:t xml:space="preserve">: líder claro. Es la aplicación de educación con más ingresos en las dos tiendas, gana usuarios al +23 % y sus rivales directos (Babbel, Busuu, Rosetta Stone, Chegg) están estancados o en declive.</w:t>
      </w:r>
    </w:p>
    <w:bookmarkEnd w:id="21"/>
    <w:bookmarkStart w:id="22" w:name="crecimiento"/>
    <w:p>
      <w:pPr>
        <w:pStyle w:val="Heading2"/>
      </w:pPr>
      <w:r>
        <w:t xml:space="preserve">3. Crecimiento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Trimestre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(M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Crec. interanual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Bookings (M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DAU (M)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Crec. DAU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2T25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252,3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41,5 %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268,0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40 % [4]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3T25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271,7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41,1 %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281,9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4T25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282,9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35,0 %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336,8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1T26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292,0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26,5 %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308,5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2T26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298,5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18,3 %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289,1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Guía 3T26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20 % (DAU)</w:t>
            </w:r>
          </w:p>
        </w:tc>
      </w:tr>
    </w:tbl>
    <w:p>
      <w:pPr>
        <w:pStyle w:val="BodyText"/>
      </w:pPr>
      <w:r>
        <w:t xml:space="preserve">Fuentes: [1][2][3][4]; cartas del 3T25 y del 2T25 en la SEC.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Ejercicio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(M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531,1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~44 %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748,0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40,8 %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1.037,6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38,7 %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 (guía)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16,3 %</w:t>
            </w:r>
          </w:p>
        </w:tc>
      </w:tr>
    </w:tbl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Ventas de los últimos 12 meses</w:t>
      </w:r>
      <w:r>
        <w:t xml:space="preserve"> </w:t>
      </w:r>
      <w:r>
        <w:t xml:space="preserve">(3T25-2T26):</w:t>
      </w:r>
      <w:r>
        <w:t xml:space="preserve"> </w:t>
      </w:r>
      <w:r>
        <w:rPr>
          <w:bCs/>
          <w:b/>
        </w:rPr>
        <w:t xml:space="preserve">1.145,1 M USD, +29,4 %</w:t>
      </w:r>
      <w:r>
        <w:t xml:space="preserve">.</w:t>
      </w:r>
      <w:r>
        <w:t xml:space="preserve"> </w:t>
      </w:r>
      <w:r>
        <w:rPr>
          <w:bCs/>
          <w:b/>
        </w:rPr>
        <w:t xml:space="preserve">CAGR propio a 2 años: 34,3 %</w:t>
      </w:r>
      <w:r>
        <w:t xml:space="preserve"> </w:t>
      </w:r>
      <w:r>
        <w:t xml:space="preserve">(12 m a jun-2024: 634,5 M) [3].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Aceleración: −17,7 pp</w:t>
      </w:r>
      <w:r>
        <w:t xml:space="preserve"> </w:t>
      </w:r>
      <w:r>
        <w:t xml:space="preserve">(el 2T26, +18,3 %, frente a la media de los cuatro anteriores, +36,0 %). Es la peor de todas las growth analizadas. Las ventas van detrás de los bookings (la suscripción anual se reconoce a lo largo del año), así que</w:t>
      </w:r>
      <w:r>
        <w:t xml:space="preserve"> </w:t>
      </w:r>
      <w:r>
        <w:rPr>
          <w:bCs/>
          <w:b/>
        </w:rPr>
        <w:t xml:space="preserve">el +8-9 % de los bookings anticipa ventas de un ~10 % en 2027</w:t>
      </w:r>
      <w:r>
        <w:t xml:space="preserve"> </w:t>
      </w:r>
      <w:r>
        <w:t xml:space="preserve">si nada cambia.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Retención</w:t>
      </w:r>
      <w:r>
        <w:t xml:space="preserve">: no publica retención neta en dólares (</w:t>
      </w:r>
      <w:r>
        <w:rPr>
          <w:rStyle w:val="VerbatimChar"/>
        </w:rPr>
        <w:t xml:space="preserve">nrr_pct</w:t>
      </w:r>
      <w:r>
        <w:t xml:space="preserve"> </w:t>
      </w:r>
      <w:r>
        <w:t xml:space="preserve">= null). La CURR, del 84 %, es un máximo histórico [1].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Guía 2026</w:t>
      </w:r>
      <w:r>
        <w:t xml:space="preserve">: ventas 1.207 M (+16,3 %), bookings 1.285 M (+10,9 %), EBITDA ajustado 320 M (26,5 %), elevada en agosto desde 310 M [1]. La guía del 3T (+11,1 % en ventas) es la que hizo caer la acción un ~9 % el 6-ago [10].</w:t>
      </w:r>
    </w:p>
    <w:bookmarkEnd w:id="22"/>
    <w:bookmarkStart w:id="23" w:name="mercado-y-competencia"/>
    <w:p>
      <w:pPr>
        <w:pStyle w:val="Heading2"/>
      </w:pPr>
      <w:r>
        <w:t xml:space="preserve">4. Mercado y competencia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Mercado alcanzable: ~20.000 M USD de ingresos en 2028</w:t>
      </w:r>
      <w:r>
        <w:t xml:space="preserve"> </w:t>
      </w:r>
      <w:r>
        <w:t xml:space="preserve">(estimación propia). Incluye el aprendizaje de idiomas digital de consumo y las aplicaciones de educación (ajedrez, matemáticas) en las que ya compite. El folleto de salida a bolsa daba un gasto mundial en idiomas de ~61.000 M USD, en su mayoría clases presenciales (de memoria [15]).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Penetración</w:t>
      </w:r>
      <w:r>
        <w:t xml:space="preserve">: 1.145 / 20.000 =</w:t>
      </w:r>
      <w:r>
        <w:t xml:space="preserve"> </w:t>
      </w:r>
      <w:r>
        <w:rPr>
          <w:bCs/>
          <w:b/>
        </w:rPr>
        <w:t xml:space="preserve">5,7 %</w:t>
      </w:r>
      <w:r>
        <w:t xml:space="preserve">. Con 58,7 M de DAU, pagan 12,7 M (~9 % de los usuarios mensuales).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Rivales</w:t>
      </w:r>
      <w:r>
        <w:t xml:space="preserve">: Babbel y Busuu (privadas), Rosetta Stone (IXL), Chegg/Busuu (en caída: −50 % de ventas), Coursera-Udemy en formación de adultos, Chess.com en ajedrez, Photomath (Google) en matemáticas.</w:t>
      </w:r>
      <w:r>
        <w:t xml:space="preserve"> </w:t>
      </w:r>
      <w:r>
        <w:rPr>
          <w:bCs/>
          <w:b/>
        </w:rPr>
        <w:t xml:space="preserve">El rival de verdad es la IA general</w:t>
      </w:r>
      <w:r>
        <w:t xml:space="preserve">: ChatGPT y Gemini ofrecen conversación y traducción en tiempo real gratis.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Por qué gana</w:t>
      </w:r>
      <w:r>
        <w:t xml:space="preserve">: Duolingo no vende el contenido (que ya es casi gratis), sino</w:t>
      </w:r>
      <w:r>
        <w:t xml:space="preserve"> </w:t>
      </w:r>
      <w:r>
        <w:rPr>
          <w:bCs/>
          <w:b/>
        </w:rPr>
        <w:t xml:space="preserve">la motivación diaria</w:t>
      </w:r>
      <w:r>
        <w:t xml:space="preserve">. Los datos dicen que la IA no le ha quitado usuarios: los DAU aceleran en 2026. Lo que está en duda es cuánto puede cobrar.</w:t>
      </w:r>
    </w:p>
    <w:bookmarkEnd w:id="23"/>
    <w:bookmarkStart w:id="24" w:name="cambio-de-tendencia"/>
    <w:p>
      <w:pPr>
        <w:pStyle w:val="Heading2"/>
      </w:pPr>
      <w:r>
        <w:t xml:space="preserve">5. Cambio de tendencia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Señal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Sí/No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Revisiones al alza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2T26 por encima de la guía en ventas (298,5 frente a 295,5), bookings (289,1 frente a 283,5) y EBITDA (77,3 frente a 71,0); EBITDA anual elevado de 310 a 320 M. D.A. Davidson (18-ago, objetivo 160) y Evercore (1-sep, objetivo de 105 a 210) suben a Compra. En contra: BofA a Infraponderar (4-ago) y 18 de 23 analistas en Mantener o peor. Basada en guía y recomendaciones.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[1][2][9]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 sobre la media de 200 sesiones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140,10 frente a 125,9 USD, pero la media sigue bajando (181 → 154,5 → 130,4 → 125,9 en 90 sesiones). Media señal.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Fuerza relativa a 6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+49,8 % desde el 13-abr frente a +20,4 % del Nasdaq-100.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[7][8]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Mejora del múltiplo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EV/ventas NTM de ~2,6x (abril) a 4,5x (+73 %), aún muy por debajo de su mediana (~12x).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[3][7][12]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Inflexión operativa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márgenes bajan a propósito: EBITDA del 31,2 % al 25,9 % y FCF del 34,2 % al 26,3 % (2T25 → 2T26).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Sentimiento mejorando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«la IA mata a Duolingo» (−83 %) a «setup de Netflix 2022» (Evercore) y a la filtración de DAU +27 %; StockTwits 15 alcistas y 2 bajistas. Lejos de la euforia.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[9][10][11]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Compras de directivos o institucionales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ventas de directivos (von Ahn, ~300.000 acciones a 150-152 USD en sep-oct). Entran AQR (5,8 %) y Vanguard Capital Mgmt. (5,1 %), pero salen Capital World y parte de Fidelity.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Catalizador nuevo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Reaceleración de DAU; resultados del 3T el 3-nov; Video Call en Super; ajedrez (&gt; 7 M DAU) y matemáticas.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[1][4][6]</w:t>
            </w:r>
          </w:p>
        </w:tc>
      </w:tr>
    </w:tbl>
    <w:p>
      <w:pPr>
        <w:pStyle w:val="BodyText"/>
      </w:pPr>
      <w:r>
        <w:rPr>
          <w:bCs/>
          <w:b/>
        </w:rPr>
        <w:t xml:space="preserve">Euforia: no.</w:t>
      </w:r>
      <w:r>
        <w:t xml:space="preserve"> </w:t>
      </w:r>
      <w:r>
        <w:t xml:space="preserve">La acción cae un</w:t>
      </w:r>
      <w:r>
        <w:t xml:space="preserve"> </w:t>
      </w:r>
      <w:r>
        <w:rPr>
          <w:bCs/>
          <w:b/>
        </w:rPr>
        <w:t xml:space="preserve">57,5 %</w:t>
      </w:r>
      <w:r>
        <w:t xml:space="preserve"> </w:t>
      </w:r>
      <w:r>
        <w:t xml:space="preserve">en 12 meses (de 330 a 140 USD) y el EV/beneficio bruto es de 6,2x. Es lo contrario de una euforia: la subida desde abril recupera una pequeña parte de la caída.</w:t>
      </w:r>
    </w:p>
    <w:bookmarkEnd w:id="24"/>
    <w:bookmarkStart w:id="25" w:name="X6a3ced9ea5ed5bb9ac58f5e7c1bb09ad4718b77"/>
    <w:p>
      <w:pPr>
        <w:pStyle w:val="Heading2"/>
      </w:pPr>
      <w:r>
        <w:t xml:space="preserve">6. Economía unitaria y camino a la rentabilidad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Margen bruto</w:t>
      </w:r>
      <w:r>
        <w:t xml:space="preserve">:</w:t>
      </w:r>
      <w:r>
        <w:t xml:space="preserve"> </w:t>
      </w:r>
      <w:r>
        <w:rPr>
          <w:bCs/>
          <w:b/>
        </w:rPr>
        <w:t xml:space="preserve">72,7 %</w:t>
      </w:r>
      <w:r>
        <w:t xml:space="preserve"> </w:t>
      </w:r>
      <w:r>
        <w:t xml:space="preserve">en 12 meses (832,6 M de beneficio bruto sobre 1.145,1 M) y 72,6 % en el 2T26. La empresa espera ~71 % en el 3T y 71,6 % en el año, porque da más funciones de IA a más usuarios, aunque el coste por uso de la IA baja más deprisa de lo previsto [1][3].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FCF de 12 meses</w:t>
      </w:r>
      <w:r>
        <w:t xml:space="preserve">: 77,4 + 93,7 + 147,8 + 78,6 =</w:t>
      </w:r>
      <w:r>
        <w:t xml:space="preserve"> </w:t>
      </w:r>
      <w:r>
        <w:rPr>
          <w:bCs/>
          <w:b/>
        </w:rPr>
        <w:t xml:space="preserve">397,5 M USD (34,7 %)</w:t>
      </w:r>
      <w:r>
        <w:t xml:space="preserve">, frente a 321,4 M un año antes. Ha crecido, pero la guía de 2026 (&gt; 350 M) apunta a un FCF plano, así que puntúo «FCF positivo» y no «creciente» [1][2][4].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Regla del 40</w:t>
      </w:r>
      <w:r>
        <w:t xml:space="preserve">: 29,4 + 34,7 =</w:t>
      </w:r>
      <w:r>
        <w:t xml:space="preserve"> </w:t>
      </w:r>
      <w:r>
        <w:rPr>
          <w:bCs/>
          <w:b/>
        </w:rPr>
        <w:t xml:space="preserve">64,1</w:t>
      </w:r>
      <w:r>
        <w:t xml:space="preserve">. Ojo: el FCF no descuenta los pagos en acciones (12,6 % de las ventas). Si se restan, la regla queda en ~51.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Apalancamiento operativo</w:t>
      </w:r>
      <w:r>
        <w:t xml:space="preserve">: en pausa a propósito. El beneficio operativo GAAP está plano (33,9 M en el 2T26 frente a 33,4 M) porque la empresa invierte en marketing y en IA para los usuarios gratuitos. El beneficio neto de 2025 (414 M) incluye 257 M de un efecto fiscal único [4].</w:t>
      </w:r>
    </w:p>
    <w:bookmarkEnd w:id="25"/>
    <w:bookmarkStart w:id="26" w:name="caja-deuda-y-dilución"/>
    <w:p>
      <w:pPr>
        <w:pStyle w:val="Heading2"/>
      </w:pPr>
      <w:r>
        <w:t xml:space="preserve">7. Caja, deuda y dilución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Caja e inversiones</w:t>
      </w:r>
      <w:r>
        <w:t xml:space="preserve">:</w:t>
      </w:r>
      <w:r>
        <w:t xml:space="preserve"> </w:t>
      </w:r>
      <w:r>
        <w:rPr>
          <w:bCs/>
          <w:b/>
        </w:rPr>
        <w:t xml:space="preserve">1.416,6 M USD</w:t>
      </w:r>
      <w:r>
        <w:t xml:space="preserve"> </w:t>
      </w:r>
      <w:r>
        <w:t xml:space="preserve">a 30-jun-2026 (1.180,9 de caja, 133,0 de inversiones a corto y 102,7 a largo plazo, títulos de deuda mantenidos a vencimiento) [3].</w:t>
      </w:r>
      <w:r>
        <w:t xml:space="preserve"> </w:t>
      </w:r>
      <w:r>
        <w:rPr>
          <w:bCs/>
          <w:b/>
        </w:rPr>
        <w:t xml:space="preserve">Deuda financiera: 0.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Pista</w:t>
      </w:r>
      <w:r>
        <w:t xml:space="preserve">: FCF positivo, sin quema.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Recompra</w:t>
      </w:r>
      <w:r>
        <w:t xml:space="preserve">: programa de 400 M USD (feb-2026). Lleva 71,9 M recomprados (708.000 acciones, a ~102 USD de media) y quedan 329,7 M [1][3].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Dilución</w:t>
      </w:r>
      <w:r>
        <w:t xml:space="preserve">:</w:t>
      </w:r>
      <w:r>
        <w:t xml:space="preserve"> </w:t>
      </w:r>
      <w:r>
        <w:rPr>
          <w:bCs/>
          <w:b/>
        </w:rPr>
        <w:t xml:space="preserve">+1,8 %</w:t>
      </w:r>
      <w:r>
        <w:t xml:space="preserve"> </w:t>
      </w:r>
      <w:r>
        <w:t xml:space="preserve">en 12 meses (49,8 → 50,7 M de acciones totalmente diluidas, de jun-2025 a jun-2026), pese a la recompra. Al caer el precio, cada dólar de pagos en acciones son más acciones. La dilución bruta de 2026 será del 3,5-4 % antes de recompras [1].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Pagos en acciones</w:t>
      </w:r>
      <w:r>
        <w:t xml:space="preserve">:</w:t>
      </w:r>
      <w:r>
        <w:t xml:space="preserve"> </w:t>
      </w:r>
      <w:r>
        <w:rPr>
          <w:bCs/>
          <w:b/>
        </w:rPr>
        <w:t xml:space="preserve">12,6 %</w:t>
      </w:r>
      <w:r>
        <w:t xml:space="preserve"> </w:t>
      </w:r>
      <w:r>
        <w:t xml:space="preserve">de las ventas en 12 meses, y la empresa espera ~15 % en 2026 [1][3]. Está justo en el límite rojo del método (15 %): es el coste oculto que el FCF no muestra.</w:t>
      </w:r>
    </w:p>
    <w:bookmarkEnd w:id="26"/>
    <w:bookmarkStart w:id="27" w:name="dirección-y-ejecución"/>
    <w:p>
      <w:pPr>
        <w:pStyle w:val="Heading2"/>
      </w:pPr>
      <w:r>
        <w:t xml:space="preserve">8. Dirección y ejecución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Historial (5/5)</w:t>
      </w:r>
      <w:r>
        <w:t xml:space="preserve">: en 2026 ha superado su guía de ventas y EBITDA en el 1T y en el 2T [1][2], y en 2024-2025 la batía cada trimestre (de memoria [15]). Además, cumple lo que anunció en febrero: menos bookings y más usuarios.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Dirección (4/5)</w:t>
      </w:r>
      <w:r>
        <w:t xml:space="preserve">: el cofundador Luis von Ahn es consejero delegado y controla el voto con acciones de clase B. La asignación de capital es sensata: recompra con la acción en mínimos, sin deuda y sin compras caras. Le restan las ventas de von Ahn (~300.000 acciones en sep-oct, por ejercicio de opciones) y el cambio de director financiero en enero (Gillian Munson, que venía del consejo, sustituye a Matt Skaruppa) [5]. Hay una</w:t>
      </w:r>
      <w:r>
        <w:t xml:space="preserve"> </w:t>
      </w:r>
      <w:r>
        <w:rPr>
          <w:bCs/>
          <w:b/>
        </w:rPr>
        <w:t xml:space="preserve">demanda colectiva</w:t>
      </w:r>
      <w:r>
        <w:t xml:space="preserve"> </w:t>
      </w:r>
      <w:r>
        <w:t xml:space="preserve">de inversores por las compras de may-2025 a feb-2026: alega que se ocultó que la monetización frenaba los usuarios [11].</w:t>
      </w:r>
    </w:p>
    <w:bookmarkEnd w:id="27"/>
    <w:bookmarkStart w:id="28" w:name="valoración"/>
    <w:p>
      <w:pPr>
        <w:pStyle w:val="Heading2"/>
      </w:pPr>
      <w:r>
        <w:t xml:space="preserve">9. Valoración</w:t>
      </w:r>
    </w:p>
    <w:p>
      <w:pPr>
        <w:pStyle w:val="FirstParagraph"/>
      </w:pPr>
      <w:r>
        <w:rPr>
          <w:bCs/>
          <w:b/>
        </w:rPr>
        <w:t xml:space="preserve">Ejercicio objetivo: 2028</w:t>
      </w:r>
      <w:r>
        <w:t xml:space="preserve"> </w:t>
      </w:r>
      <w:r>
        <w:t xml:space="preserve">(ventas de los 12 meses siguientes dentro de un año, 3T27-2T28).</w:t>
      </w:r>
      <w:r>
        <w:t xml:space="preserve"> </w:t>
      </w:r>
      <w:r>
        <w:rPr>
          <w:bCs/>
          <w:b/>
        </w:rPr>
        <w:t xml:space="preserve">Métrica: EV/ventas NTM.</w:t>
      </w:r>
      <w:r>
        <w:t xml:space="preserve"> </w:t>
      </w:r>
      <w:r>
        <w:t xml:space="preserve">Es rentable, pero su margen está deprimido a propósito este año, así que el EV/EBITDA (~18x el EBITDA ajustado de 2026) castigaría la inversión.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EV de hoy</w:t>
      </w:r>
      <w:r>
        <w:t xml:space="preserve">: 140,10 × 50,7 − 1.416,6 =</w:t>
      </w:r>
      <w:r>
        <w:t xml:space="preserve"> </w:t>
      </w:r>
      <w:r>
        <w:rPr>
          <w:bCs/>
          <w:b/>
        </w:rPr>
        <w:t xml:space="preserve">5.686 M USD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Ventas NTM</w:t>
      </w:r>
      <w:r>
        <w:t xml:space="preserve">: ~1.265 M USD (+10,5 %, con la guía del 3T).</w:t>
      </w:r>
      <w:r>
        <w:t xml:space="preserve"> </w:t>
      </w:r>
      <w:r>
        <w:rPr>
          <w:bCs/>
          <w:b/>
        </w:rPr>
        <w:t xml:space="preserve">EV/ventas NTM: 4,5x; EV/beneficio bruto NTM: 6,2x.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Mediana de 3 años: ~12x NTM</w:t>
      </w:r>
      <w:r>
        <w:t xml:space="preserve"> </w:t>
      </w:r>
      <w:r>
        <w:t xml:space="preserve">(cálculo propio al cierre de cada trimestre, de 12,8x en dic-2023 a 16,9x en jun-2025 y 2,9x en mar-2026 [12]).</w:t>
      </w:r>
      <w:r>
        <w:t xml:space="preserve"> </w:t>
      </w:r>
      <w:r>
        <w:rPr>
          <w:bCs/>
          <w:b/>
        </w:rPr>
        <w:t xml:space="preserve">Mínimo: ~2,6x</w:t>
      </w:r>
      <w:r>
        <w:t xml:space="preserve"> </w:t>
      </w:r>
      <w:r>
        <w:t xml:space="preserve">(10-abr-2026).</w:t>
      </w:r>
      <w:r>
        <w:t xml:space="preserve"> </w:t>
      </w:r>
      <w:r>
        <w:rPr>
          <w:bCs/>
          <w:b/>
        </w:rPr>
        <w:t xml:space="preserve">Comparables: ~1,1x</w:t>
      </w:r>
      <w:r>
        <w:t xml:space="preserve"> </w:t>
      </w:r>
      <w:r>
        <w:t xml:space="preserve">(Match 3,7x, Bumble 1,1x, Coursera 0,3x; todas con crecimiento nulo o negativo, salvo Coursera por la fusión [14]). No influyen, porque el alcista lo fija el techo de 1,6 veces el base.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Desaceleración</w:t>
      </w:r>
      <w:r>
        <w:t xml:space="preserve">: 10,5 % NTM frente a 11 % en 2028, así que el factor es 1,0.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2028 (M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Múltiplo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 12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Rentabilidad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Bajista (25 %)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2,7x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−25,4 %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(50 %)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4,5x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188,2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+34,3 %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Alcista (25 %)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7,2x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306,8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+119,0 %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Ponderado (regla v7)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196,9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+40,6 %</w:t>
            </w:r>
          </w:p>
        </w:tc>
      </w:tr>
    </w:tbl>
    <w:p>
      <w:pPr>
        <w:pStyle w:val="BodyText"/>
      </w:pPr>
      <w:r>
        <w:t xml:space="preserve">Acciones dentro de 12 meses: 51,6 M (dilución del 1,8 %); caja de 1.416,6 M y sin deuda.</w:t>
      </w:r>
      <w:r>
        <w:t xml:space="preserve"> </w:t>
      </w:r>
      <w:r>
        <w:rPr>
          <w:bCs/>
          <w:b/>
        </w:rPr>
        <w:t xml:space="preserve">Asimetría: 4,7.</w:t>
      </w:r>
      <w:r>
        <w:t xml:space="preserve"> </w:t>
      </w:r>
      <w:r>
        <w:rPr>
          <w:bCs/>
          <w:b/>
        </w:rPr>
        <w:t xml:space="preserve">Precio máximo de compra (regla): 187,5 USD</w:t>
      </w:r>
      <w:r>
        <w:t xml:space="preserve"> </w:t>
      </w:r>
      <w:r>
        <w:t xml:space="preserve">(el que da ponderada +5 %; el tope de 35x beneficio bruto estaría por encima de 800 USD).</w:t>
      </w:r>
    </w:p>
    <w:p>
      <w:pPr>
        <w:pStyle w:val="BodyText"/>
      </w:pPr>
      <w:r>
        <w:rPr>
          <w:bCs/>
          <w:b/>
        </w:rPr>
        <w:t xml:space="preserve">Contraste que recomiendo usar para la orden (proyección propia, con la guía):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2028 (M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Múltiplo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 12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Rentabilidad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Bajista (+6 % y +5 %)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2,7x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−32,8 %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(+10,5 % y +11 %)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4,5x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149,9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+7,0 %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Alcista (+13 % y +16 %)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7,2x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236,8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+69,0 %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Ponderado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157,7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+12,5 %</w:t>
            </w:r>
          </w:p>
        </w:tc>
      </w:tr>
    </w:tbl>
    <w:p>
      <w:pPr>
        <w:pStyle w:val="BodyText"/>
      </w:pPr>
      <w:r>
        <w:t xml:space="preserve">Con esta proyección también sale</w:t>
      </w:r>
      <w:r>
        <w:t xml:space="preserve"> </w:t>
      </w:r>
      <w:r>
        <w:rPr>
          <w:bCs/>
          <w:b/>
        </w:rPr>
        <w:t xml:space="preserve">Comprar (baja)</w:t>
      </w:r>
      <w:r>
        <w:t xml:space="preserve">, con</w:t>
      </w:r>
      <w:r>
        <w:t xml:space="preserve"> </w:t>
      </w:r>
      <w:r>
        <w:rPr>
          <w:bCs/>
          <w:b/>
        </w:rPr>
        <w:t xml:space="preserve">precio máximo de ~150 USD</w:t>
      </w:r>
      <w:r>
        <w:t xml:space="preserve"> </w:t>
      </w:r>
      <w:r>
        <w:t xml:space="preserve">(base 0 %). La regla mecánica supone que las ventas crecerán un 29 % y un 25 % los próximos dos años, cuando los bookings crecen al 8-9 %. La v8 (proyección que respeta la desaceleración) da algo intermedio: ponderada +20,5 % y compra hasta 160,8 USD.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Consenso</w:t>
      </w:r>
      <w:r>
        <w:t xml:space="preserve">: precio objetivo medio de</w:t>
      </w:r>
      <w:r>
        <w:t xml:space="preserve"> </w:t>
      </w:r>
      <w:r>
        <w:rPr>
          <w:bCs/>
          <w:b/>
        </w:rPr>
        <w:t xml:space="preserve">131,96 USD</w:t>
      </w:r>
      <w:r>
        <w:t xml:space="preserve"> </w:t>
      </w:r>
      <w:r>
        <w:t xml:space="preserve">(Schaeffer’s, 1-sep, 23 analistas), por debajo del precio actual. Los más altos son Evercore (210) y D.A. Davidson (160) [9]. Consenso de ventas de 2028: no encontrado (null).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DCF inverso</w:t>
      </w:r>
      <w:r>
        <w:t xml:space="preserve">: con WACC del 10 %, margen FCF constante del 30 % y crecimiento terminal del 3 %, el precio descuenta</w:t>
      </w:r>
      <w:r>
        <w:t xml:space="preserve"> </w:t>
      </w:r>
      <w:r>
        <w:rPr>
          <w:bCs/>
          <w:b/>
        </w:rPr>
        <w:t xml:space="preserve">~4,6 % anual durante 10 años</w:t>
      </w:r>
      <w:r>
        <w:t xml:space="preserve">. Con un margen del 20 % (FCF menos pagos en acciones),</w:t>
      </w:r>
      <w:r>
        <w:t xml:space="preserve"> </w:t>
      </w:r>
      <w:r>
        <w:rPr>
          <w:bCs/>
          <w:b/>
        </w:rPr>
        <w:t xml:space="preserve">~10 %</w:t>
      </w:r>
      <w:r>
        <w:t xml:space="preserve">. Es poco para una empresa cuyos usuarios crecen más del 20 %.</w:t>
      </w:r>
      <w:r>
        <w:t xml:space="preserve"> </w:t>
      </w:r>
      <w:r>
        <w:rPr>
          <w:bCs/>
          <w:b/>
        </w:rPr>
        <w:t xml:space="preserve">Razonable incluso si la monetización solo se recupera a medias.</w:t>
      </w:r>
    </w:p>
    <w:bookmarkEnd w:id="28"/>
    <w:bookmarkStart w:id="29" w:name="foros-y-sentimiento"/>
    <w:p>
      <w:pPr>
        <w:pStyle w:val="Heading2"/>
      </w:pPr>
      <w:r>
        <w:t xml:space="preserve">10. Foros y sentimiento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Prensa y analistas</w:t>
      </w:r>
      <w:r>
        <w:t xml:space="preserve">: el relato dominante de 2026 fue «Duolingo se ha monetizado de más y la IA le quita el negocio» (Investing ES, TIKR, Motley Fool: «−80 %, ¿comprar?»). Desde agosto gira a «los usuarios vuelven a acelerar», con Evercore comparándola con Netflix en 2022 (la acción cayó por frenar suscriptores y luego se multiplicó). El consenso sigue en Mantener y BofA en Infraponderar [9][10][13].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StockTwits</w:t>
      </w:r>
      <w:r>
        <w:t xml:space="preserve"> </w:t>
      </w:r>
      <w:r>
        <w:t xml:space="preserve">(14-oct): 15 alcistas, 2 bajistas y 13 neutros en los 30 últimos mensajes. Tono de «aguantar hasta los 200 USD», quejas de «ventas en corto» y mención a ~18 % de posiciones cortas (dato no verificado) y a la demanda colectiva [11].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Seeking Alpha</w:t>
      </w:r>
      <w:r>
        <w:t xml:space="preserve">: artículos de Compra desde diciembre de 2025 («Finally, a chance to buy this stock») y en mayo de 2026. No se pudieron leer los más recientes.</w:t>
      </w:r>
      <w:r>
        <w:t xml:space="preserve"> </w:t>
      </w:r>
      <w:r>
        <w:rPr>
          <w:bCs/>
          <w:b/>
        </w:rPr>
        <w:t xml:space="preserve">Laguna parcial</w:t>
      </w:r>
      <w:r>
        <w:t xml:space="preserve"> </w:t>
      </w:r>
      <w:r>
        <w:t xml:space="preserve">[13].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Reddit (r/stocks, r/investing, r/duolingo)</w:t>
      </w:r>
      <w:r>
        <w:t xml:space="preserve">: la API respondió 403 y las búsquedas no devolvieron hilos recientes indexados.</w:t>
      </w:r>
      <w:r>
        <w:t xml:space="preserve"> </w:t>
      </w:r>
      <w:r>
        <w:rPr>
          <w:bCs/>
          <w:b/>
        </w:rPr>
        <w:t xml:space="preserve">Laguna.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En castellano</w:t>
      </w:r>
      <w:r>
        <w:t xml:space="preserve">: Investing.com ES (mayo) publica un DAFO con valor razonable de 142,75 USD en su modelo; TIKR ES y EBC ES titulan «han caído más de un 80 %: ¿comprar o evitar?». Rankia: sin hilos encontrados [10][13].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Contraste con los datos</w:t>
      </w:r>
      <w:r>
        <w:t xml:space="preserve">: el pesimismo de foros y prensa iba por delante de los datos (DAU creciendo &gt; 20 %, FCF del 35 %, sin deuda). El giro reciente sí tiene base (DAU que aceleran y mejor guía de EBITDA), pero el consenso aún no se lo cree: posiciones cortas altas y precio objetivo por debajo del precio. Para el método es buena señal, porque el sentimiento mejora sin euforia.</w:t>
      </w:r>
    </w:p>
    <w:bookmarkEnd w:id="29"/>
    <w:bookmarkStart w:id="30" w:name="riesgos-y-qué-rompería-la-tesis"/>
    <w:p>
      <w:pPr>
        <w:pStyle w:val="Heading2"/>
      </w:pPr>
      <w:r>
        <w:t xml:space="preserve">11. Riesgos y qué rompería la tesis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La monetización no vuelve</w:t>
      </w:r>
      <w:r>
        <w:t xml:space="preserve">: es el riesgo principal. Si los DAU crecen al 20-25 % pero los bookings se quedan en un dígito, el mercado la tratará como una aplicación de consumo sin poder de precio (los comparables cotizan a ~1x ventas). El bajista (−25 % con la regla, −33 % con la guía) es volver al múltiplo de abril.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IA general</w:t>
      </w:r>
      <w:r>
        <w:t xml:space="preserve">: los asistentes con voz en tiempo real pueden quitarle a los alumnos avanzados y la traducción simultánea puede reducir las ganas de aprender. Hoy los datos de usuarios dicen lo contrario.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Tesis rota en sentido estricto</w:t>
      </w:r>
      <w:r>
        <w:t xml:space="preserve">: el método vende tras «dos trimestres seguidos de desaceleración fuerte». Las ventas frenaron 8,5 y 8,2 pp en el 1T y el 2T de 2026. No lo marco como tesis rota porque fue</w:t>
      </w:r>
      <w:r>
        <w:t xml:space="preserve"> </w:t>
      </w:r>
      <w:r>
        <w:rPr>
          <w:bCs/>
          <w:b/>
        </w:rPr>
        <w:t xml:space="preserve">anunciado, deliberado y por encima de la guía</w:t>
      </w:r>
      <w:r>
        <w:t xml:space="preserve">, y los DAU aceleran. Si el 3T (3-nov) queda por debajo de la guía, lo sería.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Pagos en acciones</w:t>
      </w:r>
      <w:r>
        <w:t xml:space="preserve"> </w:t>
      </w:r>
      <w:r>
        <w:t xml:space="preserve">al ~15 % de las ventas y dilución que la recompra apenas compensa.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Dependencia de Apple y Google</w:t>
      </w:r>
      <w:r>
        <w:t xml:space="preserve"> </w:t>
      </w:r>
      <w:r>
        <w:t xml:space="preserve">(comisiones y distribución) y de la divisa (más de la mitad de los bookings, fuera de EE. UU.).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Demanda colectiva</w:t>
      </w:r>
      <w:r>
        <w:t xml:space="preserve"> </w:t>
      </w:r>
      <w:r>
        <w:t xml:space="preserve">y ventas de directivos.</w:t>
      </w:r>
    </w:p>
    <w:p>
      <w:pPr>
        <w:pStyle w:val="FirstParagraph"/>
      </w:pPr>
      <w:r>
        <w:rPr>
          <w:bCs/>
          <w:b/>
        </w:rPr>
        <w:t xml:space="preserve">Señales de venta concretas</w:t>
      </w:r>
      <w:r>
        <w:t xml:space="preserve">:</w:t>
      </w:r>
      <w:r>
        <w:t xml:space="preserve"> </w:t>
      </w:r>
      <w:r>
        <w:t xml:space="preserve">- Bookings por debajo del +5 % dos trimestres seguidos con DAU por debajo del +15 %.</w:t>
      </w:r>
      <w:r>
        <w:t xml:space="preserve"> </w:t>
      </w:r>
      <w:r>
        <w:t xml:space="preserve">- DAU por debajo del +15 % (la empresa dice que estarán por encima del 20 % el resto de 2026).</w:t>
      </w:r>
      <w:r>
        <w:t xml:space="preserve"> </w:t>
      </w:r>
      <w:r>
        <w:t xml:space="preserve">- Margen bruto por debajo del 68 % sin aumento de usuarios de pago (coste de IA fuera de control).</w:t>
      </w:r>
      <w:r>
        <w:t xml:space="preserve"> </w:t>
      </w:r>
      <w:r>
        <w:t xml:space="preserve">- Resultados del 3T por debajo de la guía de ventas (302 M) o de bookings (307 M).</w:t>
      </w:r>
    </w:p>
    <w:p>
      <w:pPr>
        <w:pStyle w:val="BodyText"/>
      </w:pPr>
      <w:r>
        <w:t xml:space="preserve">Hoy no hay tesis rota.</w:t>
      </w:r>
    </w:p>
    <w:bookmarkEnd w:id="30"/>
    <w:bookmarkStart w:id="31" w:name="catalizadores-con-fecha"/>
    <w:p>
      <w:pPr>
        <w:pStyle w:val="Heading2"/>
      </w:pPr>
      <w:r>
        <w:t xml:space="preserve">12. Catalizadores con fecha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Hecho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3-nov-2026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Resultados del 3T26 (guía: ventas 302 M, bookings 307 M, EBITDA 76 M); DAU del trimestre (lo filtrado apunta a ~+27 %)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+/−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 de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 Call para todos los suscriptores Super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Dic-2026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«Year in Review» y campaña de fin de año (picos de DAU de enero)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Feb-2027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Resultados del 4T26 y guía de 2027: el mercado mirará si los bookings vuelven a acelerar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+/−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2027-2028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Objetivo de 100 M de DAU; ajedrez y matemáticas como segundo motor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</w:tbl>
    <w:bookmarkEnd w:id="31"/>
    <w:bookmarkStart w:id="32" w:name="encaje-en-cartera"/>
    <w:p>
      <w:pPr>
        <w:pStyle w:val="Heading2"/>
      </w:pPr>
      <w:r>
        <w:t xml:space="preserve">13. Encaje en cartera</w:t>
      </w:r>
    </w:p>
    <w:p>
      <w:pPr>
        <w:pStyle w:val="FirstParagraph"/>
      </w:pPr>
      <w:r>
        <w:t xml:space="preserve">Cartera value vigente (</w:t>
      </w:r>
      <w:r>
        <w:rPr>
          <w:rStyle w:val="VerbatimChar"/>
        </w:rPr>
        <w:t xml:space="preserve">informes/cartera-2026-10-14-15h.md</w:t>
      </w:r>
      <w:r>
        <w:t xml:space="preserve">): IGLN (oro), Edenred, Daiichi Sankyo, Uber, Viscofan, Alphabet, Netflix, SAP, Intuit, Nemetschek, LVMH y Bureau Veritas, con órdenes abiertas hasta el 7-nov. Bolsillo growth aprobado (</w:t>
      </w:r>
      <w:r>
        <w:rPr>
          <w:rStyle w:val="VerbatimChar"/>
        </w:rPr>
        <w:t xml:space="preserve">informes-growth/cartera-growth.md</w:t>
      </w:r>
      <w:r>
        <w:t xml:space="preserve">): Nu (4 %), argenx (4,9 %), Axon (3,7 %) y Shopify (4 %), ~16 % de la cartera.</w:t>
      </w:r>
      <w:r>
        <w:t xml:space="preserve"> </w:t>
      </w:r>
      <w:r>
        <w:rPr>
          <w:bCs/>
          <w:b/>
        </w:rPr>
        <w:t xml:space="preserve">La liquidez está casi agotada</w:t>
      </w:r>
      <w:r>
        <w:t xml:space="preserve">: quedaban antes de Shopify, y Shopify en dos tramos) los consume y los supera.</w:t>
      </w:r>
    </w:p>
    <w:p>
      <w:pPr>
        <w:pStyle w:val="BodyText"/>
      </w:pPr>
      <w:r>
        <w:rPr>
          <w:bCs/>
          <w:b/>
        </w:rPr>
        <w:t xml:space="preserve">Duolingo merece un hueco del 3,5 % (convicción baja)</w:t>
      </w:r>
      <w:r>
        <w:t xml:space="preserve">: 8 acciones. El bolsillo growth pasaría al ~19,5 % (tope 20 %).</w:t>
      </w:r>
      <w:r>
        <w:t xml:space="preserve"> </w:t>
      </w:r>
      <w:r>
        <w:rPr>
          <w:bCs/>
          <w:b/>
        </w:rPr>
        <w:t xml:space="preserve">No se puede pagar hoy sin dinero nuevo</w:t>
      </w:r>
      <w:r>
        <w:t xml:space="preserve">, así que propongo, por este orden: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Si el usuario aporta ~1.000 EUR</w:t>
      </w:r>
      <w:r>
        <w:t xml:space="preserve">: 4 acciones ya con</w:t>
      </w:r>
      <w:r>
        <w:t xml:space="preserve"> </w:t>
      </w:r>
      <w:r>
        <w:rPr>
          <w:bCs/>
          <w:b/>
        </w:rPr>
        <w:t xml:space="preserve">límite de 150 USD</w:t>
      </w:r>
      <w:r>
        <w:t xml:space="preserve"> </w:t>
      </w:r>
      <w:r>
        <w:t xml:space="preserve">(el precio máximo con la proyección prudente, no los 187,5 de la regla) y 4 tras los resultados del 3-nov si los bookings cumplen la guía (≥ 307 M) y los DAU crecen ≥ 20 %, o con una caída del 10 % sin cambio de tesis.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Si no hay aportación</w:t>
      </w:r>
      <w:r>
        <w:t xml:space="preserve">: queda</w:t>
      </w:r>
      <w:r>
        <w:t xml:space="preserve"> </w:t>
      </w:r>
      <w:r>
        <w:rPr>
          <w:bCs/>
          <w:b/>
        </w:rPr>
        <w:t xml:space="preserve">en espera</w:t>
      </w:r>
      <w:r>
        <w:t xml:space="preserve"> </w:t>
      </w:r>
      <w:r>
        <w:t xml:space="preserve">hasta el 7-nov. Entra con la liquidez de las órdenes value que no se ejecuten o con el tramo 2 de alguna growth que no se haga (por ejemplo, si Nu o Axon no cumplen sus condiciones tras resultados). No propongo vender ninguna posición para pagarla: con convicción baja no compensa el coste de rotar.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Motivo de negocio</w:t>
      </w:r>
      <w:r>
        <w:t xml:space="preserve">: la aplicación de educación líder, con 58,7 M de usuarios diarios que vuelven a acelerar, FCF del 35 % y sin deuda, a 4,5x ventas (un tercio de su media de tres años), porque el mercado teme a la IA.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Encaje</w:t>
      </w:r>
      <w:r>
        <w:t xml:space="preserve">: no es juego ni comercio minorista. Añade un factor que la cartera no tiene, el consumo digital de suscripción con giro de percepción. Se parece a Netflix (que ya está en la cartera) en el modelo de suscripción y en el relato de «crecer usuarios primero», y algo a Alphabet en exposición a la IA (aquí como amenaza). Es la growth de menor puntuación con señal de compra (70,8 frente a 77,8 de Shopify) y la más barata con diferencia (6,2x beneficio bruto frente a 27,7x), así que diversifica el bolsillo hacia la valoración baja.</w:t>
      </w:r>
    </w:p>
    <w:bookmarkEnd w:id="32"/>
    <w:bookmarkStart w:id="33" w:name="puntuación"/>
    <w:p>
      <w:pPr>
        <w:pStyle w:val="Heading2"/>
      </w:pPr>
      <w:r>
        <w:t xml:space="preserve">14. Puntuación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Bloque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 Crecimiento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12 m +29,4 % (3), CAGR a 2 años 34,3 % (4), aceleración −17,7 pp (0)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B. Mercado y tecnología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Penetración 5,7 % (3), tecnología 3, posición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C. Cambio de tendencia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5/8 señales, sin euforia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D. Economía unitaria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Margen bruto 72,7 % (4), regla del 40 = 64,1 (5), FCF positivo (4)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E. Caja y dilución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FCF positivo (5), dilución 1,8 % (5)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F. Ejecución y dirección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Historial 5, dirección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70,8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Señal:</w:t>
            </w:r>
            <w:r>
              <w:t xml:space="preserve"> </w:t>
            </w:r>
            <w:r>
              <w:rPr>
                <w:bCs/>
                <w:b/>
              </w:rPr>
              <w:t xml:space="preserve">Comprar (baja)</w:t>
            </w:r>
            <w:r>
              <w:t xml:space="preserve">; cumple todos los requisitos de compra</w:t>
            </w:r>
          </w:p>
        </w:tc>
      </w:tr>
    </w:tbl>
    <w:p>
      <w:pPr>
        <w:pStyle w:val="BodyText"/>
      </w:pPr>
      <w:r>
        <w:rPr>
          <w:bCs/>
          <w:b/>
        </w:rPr>
        <w:t xml:space="preserve">Mejoras del método que propone este informe</w:t>
      </w:r>
      <w:r>
        <w:t xml:space="preserve"> </w:t>
      </w:r>
      <w:r>
        <w:t xml:space="preserve">(sin tocar el código; pendientes del backtest):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Proyección mecánica con suelo y techo en la guía o en los bookings</w:t>
      </w:r>
      <w:r>
        <w:t xml:space="preserve">: en empresas de suscripción con ingresos diferidos, el crecimiento de partida no debería superar el mayor entre la guía de los 12 meses siguientes (</w:t>
      </w:r>
      <w:r>
        <w:rPr>
          <w:rStyle w:val="VerbatimChar"/>
        </w:rPr>
        <w:t xml:space="preserve">crecimiento_actual_pct</w:t>
      </w:r>
      <w:r>
        <w:t xml:space="preserve">, que ya está en los datos) y el crecimiento de los bookings más unos puntos. Aquí la regla supone +29 % cuando la guía es +11 %, y duplica la rentabilidad (+40,6 % frente a +12,5 %). Es otra prueba a favor de la v8, que aun así se queda en +20,5 %.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Definir «desaceleración fuerte» para la tesis rota</w:t>
      </w:r>
      <w:r>
        <w:t xml:space="preserve"> </w:t>
      </w:r>
      <w:r>
        <w:t xml:space="preserve">(por ejemplo, más de 10 pp en dos trimestres) y separar la que la empresa anuncia y cumple de la que la sorprende.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Regla del 40 con FCF menos pagos en acciones</w:t>
      </w:r>
      <w:r>
        <w:t xml:space="preserve"> </w:t>
      </w:r>
      <w:r>
        <w:t xml:space="preserve">cuando estos superan el 10 % de las ventas (aquí 64 frente a ~51).</w:t>
      </w:r>
    </w:p>
    <w:bookmarkEnd w:id="33"/>
    <w:bookmarkStart w:id="34" w:name="fuentes"/>
    <w:p>
      <w:pPr>
        <w:pStyle w:val="Heading2"/>
      </w:pPr>
      <w:r>
        <w:t xml:space="preserve">Fuentes</w:t>
      </w:r>
    </w:p>
    <w:p>
      <w:pPr>
        <w:pStyle w:val="FirstParagraph"/>
      </w:pPr>
      <w:r>
        <w:t xml:space="preserve">[1] Duolingo, carta a los accionistas del 2T 2026 (5-ago-2026), 8-K ex. 99.2, SEC (leída directamente).</w:t>
      </w:r>
      <w:r>
        <w:t xml:space="preserve"> </w:t>
      </w:r>
      <w:r>
        <w:t xml:space="preserve">[2] Duolingo, carta a los accionistas del 1T 2026 (4-may-2026), 8-K ex. 99.2, SEC.</w:t>
      </w:r>
      <w:r>
        <w:t xml:space="preserve"> </w:t>
      </w:r>
      <w:r>
        <w:t xml:space="preserve">[3] SEC, XBRL companyfacts de Duolingo (CIK 1562088): 10-K 2025 y 10-Q del 1T y 2T 2026 (ventas, márgenes, flujo de caja, balance, recompra).</w:t>
      </w:r>
      <w:r>
        <w:t xml:space="preserve"> </w:t>
      </w:r>
      <w:r>
        <w:t xml:space="preserve">[4] Duolingo, carta del 4T y del año 2025 (26-feb-2026), 8-K ex. 99.2, SEC (nueva estrategia y guía 2026); cartas del 3T25 y del 2T25 (SEC).</w:t>
      </w:r>
      <w:r>
        <w:t xml:space="preserve"> </w:t>
      </w:r>
      <w:r>
        <w:t xml:space="preserve">[5] SEC, Formularios 4 y 13G de mayo a octubre de 2026 (operaciones de directivos y grandes accionistas); 8-K del 12-ene-2026 (cambio de director financiero).</w:t>
      </w:r>
      <w:r>
        <w:t xml:space="preserve"> </w:t>
      </w:r>
      <w:r>
        <w:t xml:space="preserve">[6] Duolingo, 8-K del 18-ago-2026 (DAU estimado +27,4 %); Finviz, nota de la empresa del 8-oct-2026 (resultados del 3T el 3-nov).</w:t>
      </w:r>
      <w:r>
        <w:t xml:space="preserve"> </w:t>
      </w:r>
      <w:r>
        <w:t xml:space="preserve">[7] Yahoo Finance, API de gráficos (DUOL diario y mensual): cierres, mínimo de abril, medias de 200 sesiones (cálculo propio).</w:t>
      </w:r>
      <w:r>
        <w:t xml:space="preserve"> </w:t>
      </w:r>
      <w:r>
        <w:t xml:space="preserve">[8] Nasdaq.com, histórico de DUOL (cierre del 13-oct-2026, segunda fuente); Yahoo Finance, QQQ.</w:t>
      </w:r>
      <w:r>
        <w:t xml:space="preserve"> </w:t>
      </w:r>
      <w:r>
        <w:t xml:space="preserve">[9] Schaeffer’s Research (1-sep-2026, Evercore y consenso); TIKR (D.A. Davidson, 18-ago); StreetInsider (BofA y China Merchants, ago-2026).</w:t>
      </w:r>
      <w:r>
        <w:t xml:space="preserve"> </w:t>
      </w:r>
      <w:r>
        <w:t xml:space="preserve">[10] FXLeaders (5-ago-2026); TIKR y Webull (reacción al 2T); Investing.com ES (DAFO, mayo-2026).</w:t>
      </w:r>
      <w:r>
        <w:t xml:space="preserve"> </w:t>
      </w:r>
      <w:r>
        <w:t xml:space="preserve">[11] StockTwits, flujo público de DUOL (14-oct-2026).</w:t>
      </w:r>
      <w:r>
        <w:t xml:space="preserve"> </w:t>
      </w:r>
      <w:r>
        <w:t xml:space="preserve">[12] Cálculo propio de EV y múltiplos (actuales e históricos).</w:t>
      </w:r>
      <w:r>
        <w:t xml:space="preserve"> </w:t>
      </w:r>
      <w:r>
        <w:t xml:space="preserve">[13] Seeking Alpha (dic-2025 y may-2026); Motley Fool / Nasdaq (mar-2026); TIKR ES; EBC ES.</w:t>
      </w:r>
      <w:r>
        <w:t xml:space="preserve"> </w:t>
      </w:r>
      <w:r>
        <w:t xml:space="preserve">[14] Comparables: SEC XBRL y Yahoo Finance (Match, Bumble, Coursera, Chegg).</w:t>
      </w:r>
      <w:r>
        <w:t xml:space="preserve"> </w:t>
      </w:r>
      <w:r>
        <w:t xml:space="preserve">[15]</w:t>
      </w:r>
      <w:r>
        <w:t xml:space="preserve"> </w:t>
      </w:r>
      <w:r>
        <w:rPr>
          <w:bCs/>
          <w:b/>
        </w:rPr>
        <w:t xml:space="preserve">De memoria, sin verificar con fuente primaria en esta sesión</w:t>
      </w:r>
      <w:r>
        <w:t xml:space="preserve">: mercado mundial de idiomas de ~61.000 M USD (folleto de 2021), crecimiento de ventas de 2023, historial de batir la guía en 2024-2025 y la integración de Udemy en Coursera. El mercado alcanzable de 20.000 M USD es estimación propia.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2026-10-14T21:44:18Z</dcterms:created>
  <dcterms:modified xsi:type="dcterms:W3CDTF">2026-10-14T21:44:18Z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