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fabrinet-fn-análisis-growth-14-oct-2026"/>
    <w:p>
      <w:pPr>
        <w:pStyle w:val="Heading1"/>
      </w:pPr>
      <w:r>
        <w:t xml:space="preserve">Fabrinet (FN): análisis growth, 14-oct-2026</w:t>
      </w:r>
    </w:p>
    <w:p>
      <w:pPr>
        <w:pStyle w:val="FirstParagraph"/>
      </w:pPr>
      <w:r>
        <w:rPr>
          <w:bCs/>
          <w:b/>
        </w:rPr>
        <w:t xml:space="preserve">Señal (método v11, vigente): Mantener (no comprar)</w:t>
      </w:r>
      <w:r>
        <w:t xml:space="preserve"> </w:t>
      </w:r>
      <w:r>
        <w:t xml:space="preserve">· Puntuación 58,8/100 · Señales de cambio de tendencia 1/8 · EV/beneficio bruto 20,1x</w:t>
      </w:r>
      <w:r>
        <w:t xml:space="preserve"> </w:t>
      </w:r>
      <w:r>
        <w:t xml:space="preserve">Precio 427,82 USD (cierre del 13-oct) · Objetivo 12 m 423,5 USD (ponderada −1,0 %, base −0,9 %, bajista −49,2 %, alcista +47,0 %) · Compra hasta 403,4 USD</w:t>
      </w:r>
      <w:r>
        <w:t xml:space="preserve"> </w:t>
      </w:r>
      <w:r>
        <w:t xml:space="preserve">Peso orientativo: no entra · Por qué: puntuación por debajo de 60, ponderada por debajo del 5 % y base negativa</w:t>
      </w:r>
      <w:r>
        <w:t xml:space="preserve"> </w:t>
      </w:r>
      <w:r>
        <w:t xml:space="preserve">Método anterior (v9, como referencia): Mantener, ponderada +3,5 %, base +6,2 %, bajista −47,7 %, compra hasta 421,6 USD</w:t>
      </w:r>
      <w:r>
        <w:t xml:space="preserve"> </w:t>
      </w:r>
      <w:r>
        <w:t xml:space="preserve">Al precio de hoy (392,95 USD, cierre del 14-oct, 20:00 UTC), con el objetivo del informe fijo: ponderada +7,8 %. Sigue en Mantener porque la puntuación no llega a 60.</w:t>
      </w:r>
    </w:p>
    <w:p>
      <w:pPr>
        <w:pStyle w:val="BlockText"/>
      </w:pPr>
      <w:r>
        <w:rPr>
          <w:bCs/>
          <w:b/>
        </w:rPr>
        <w:t xml:space="preserve">Calculado con el método v11</w:t>
      </w:r>
      <w:r>
        <w:t xml:space="preserve"> </w:t>
      </w:r>
      <w:r>
        <w:t xml:space="preserve">(</w:t>
      </w:r>
      <w:r>
        <w:rPr>
          <w:rStyle w:val="VerbatimChar"/>
        </w:rPr>
        <w:t xml:space="preserve">verticales/growth/metodo.md</w:t>
      </w:r>
      <w:r>
        <w:t xml:space="preserve">) y EV/EBITDA de los 12 meses siguientes, porque Fabrinet gana dinero de forma estable desde hace más de diez años. Las ventas de cada escenario son las menores entre la regla mecánica y las del informe: 7.400 M USD en el base (el consenso dice 7.310 M), 6.000 M en el bajista y 8.600 M en el alcista, para el ejercicio a junio de 2028. El múltiplo de hoy (19,7 veces el EBITDA) baja un 18 % por la desaceleración: 16,2 en el base, 9,7 en el bajista y 21,1 en el alcista.</w:t>
      </w:r>
    </w:p>
    <w:bookmarkStart w:id="20" w:name="resumen-en-lenguaje-llano"/>
    <w:p>
      <w:pPr>
        <w:pStyle w:val="Heading2"/>
      </w:pPr>
      <w:r>
        <w:t xml:space="preserve">Resumen en lenguaje llano</w:t>
      </w:r>
    </w:p>
    <w:p>
      <w:pPr>
        <w:pStyle w:val="FirstParagraph"/>
      </w:pPr>
      <w:r>
        <w:t xml:space="preserve">Fabrinet fabrica por encargo, en Tailandia, los módulos ópticos que mueven los datos en los centros de datos de IA y en las redes de telecomunicaciones. Sus clientes son Nvidia, Cisco, Nokia y Amazon. Crece un 45 % y gana dinero, pero tiene márgenes de fabricante: se queda con 12 céntimos de cada dólar que vende. La acción ha caído un 43 % desde su máximo de mayo. Al precio de cierre del 13-oct, el precio ya refleja el crecimiento que esperan los analistas: el escenario central da una rentabilidad de cero. Tras la caída del 14-oct quedaría un +8 %, pero el método pide además una puntuación de 60 y tiene 58,8. Le faltan tendencia y caja. Conclusión:</w:t>
      </w:r>
      <w:r>
        <w:t xml:space="preserve"> </w:t>
      </w:r>
      <w:r>
        <w:rPr>
          <w:bCs/>
          <w:b/>
        </w:rPr>
        <w:t xml:space="preserve">no comprar todavía</w:t>
      </w:r>
      <w:r>
        <w:t xml:space="preserve">. Pasaría a Comprar si los resultados de mediados de noviembre traen una señal más, como subidas de las previsiones, con el precio por debajo de 403 USD. Frente a Celestica sale mejor: está más diversificada en clientes, no ha diluido a sus accionistas y es menos cara frente a lo que se espera de ella. Pero tampoco es una compra.</w:t>
      </w:r>
    </w:p>
    <w:bookmarkEnd w:id="20"/>
    <w:bookmarkStart w:id="21" w:name="la-tesis-en-cinco-líneas"/>
    <w:p>
      <w:pPr>
        <w:pStyle w:val="Heading2"/>
      </w:pPr>
      <w:r>
        <w:t xml:space="preserve">1. La tesis en cinco líneas</w:t>
      </w:r>
    </w:p>
    <w:p>
      <w:pPr>
        <w:numPr>
          <w:ilvl w:val="0"/>
          <w:numId w:val="1001"/>
        </w:numPr>
        <w:pStyle w:val="Compact"/>
      </w:pPr>
      <w:r>
        <w:t xml:space="preserve">Fabrinet es el mayor fabricante independiente de componentes ópticos de precisión. Hace transceptores y módulos para centros de datos, equipos de telecomunicaciones (Cisco, Nokia), chips propios de Amazon y piezas para coches eléctricos, láseres industriales y aparatos médicos. No compite con sus clientes: esa es su ventaja.</w:t>
      </w:r>
    </w:p>
    <w:p>
      <w:pPr>
        <w:numPr>
          <w:ilvl w:val="0"/>
          <w:numId w:val="1001"/>
        </w:numPr>
        <w:pStyle w:val="Compact"/>
      </w:pPr>
      <w:r>
        <w:t xml:space="preserve">El crecimiento se acelera. En los cuatro trimestres del ejercicio a junio de 2026 creció un 22 %, un 36 %, un 39 % y un 45 %, y guía un 43 % para el trimestre de julio a septiembre. El negocio de centros de datos ya es la mitad de las ventas y crece un 68 %.</w:t>
      </w:r>
    </w:p>
    <w:p>
      <w:pPr>
        <w:numPr>
          <w:ilvl w:val="0"/>
          <w:numId w:val="1001"/>
        </w:numPr>
        <w:pStyle w:val="Compact"/>
      </w:pPr>
      <w:r>
        <w:t xml:space="preserve">Pero el mercado duda. Nvidia, su mayor cliente hasta 2025, ha pasado del 35 % de las ventas al 16 % en dos años, porque reparte sus compras entre más proveedores. Además, la caja libre se ha quedado en casi cero por la construcción de fábricas. La acción cayó un 19 % el día después de unos resultados que batieron todas las previsiones y otro 20 % en las tres últimas sesiones, con todo el sector óptico.</w:t>
      </w:r>
    </w:p>
    <w:p>
      <w:pPr>
        <w:numPr>
          <w:ilvl w:val="0"/>
          <w:numId w:val="1001"/>
        </w:numPr>
        <w:pStyle w:val="Compact"/>
      </w:pPr>
      <w:r>
        <w:t xml:space="preserve">Hoy cotiza a 19,7 veces el EBITDA de los 12 meses siguientes, en su mediana de tres años y por encima de los fabricantes generales (Jabil, Flex, Sanmina, Celestica: unas 14 veces). Con ventas como las del consenso y el múltiplo rebajado por la desaceleración, el escenario central da cero.</w:t>
      </w:r>
    </w:p>
    <w:p>
      <w:pPr>
        <w:numPr>
          <w:ilvl w:val="0"/>
          <w:numId w:val="1001"/>
        </w:numPr>
        <w:pStyle w:val="Compact"/>
      </w:pPr>
      <w:r>
        <w:t xml:space="preserve">Es un buen negocio, bien gestionado, sin deuda neta y en el centro de la inversión en IA. Pero es cíclico, tiene poco margen y depende de cuatro clientes. A este precio no deja margen de seguridad y le falta un giro visible de la tendencia. Mantener: se revisa con los resultados del 1T fiscal (hacia el 16-nov).</w:t>
      </w:r>
    </w:p>
    <w:bookmarkEnd w:id="21"/>
    <w:bookmarkStart w:id="22" w:name="negocio-y-tecnología"/>
    <w:p>
      <w:pPr>
        <w:pStyle w:val="Heading2"/>
      </w:pPr>
      <w:r>
        <w:t xml:space="preserve">2. Negocio y tecnología</w:t>
      </w:r>
    </w:p>
    <w:p>
      <w:pPr>
        <w:pStyle w:val="FirstParagraph"/>
      </w:pPr>
      <w:r>
        <w:t xml:space="preserve">Fabrinet tiene su sede legal en las Islas Caimán, opera desde Bangkok y fabrica casi todo en Tailandia (Pinehurst y Chonburi), con plantas más pequeñas en China, EE. UU. e Israel. El ejercicio fiscal acaba en junio. Desde el 4T del FY26 presenta las ventas en tres mercados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Mercado</w:t>
            </w:r>
          </w:p>
        </w:tc>
        <w:tc>
          <w:tcPr/>
          <w:p>
            <w:pPr>
              <w:pStyle w:val="Compact"/>
              <w:jc w:val="left"/>
            </w:pPr>
            <w:r>
              <w:t xml:space="preserve">FY26 (M USD)</w:t>
            </w:r>
          </w:p>
        </w:tc>
        <w:tc>
          <w:tcPr/>
          <w:p>
            <w:pPr>
              <w:pStyle w:val="Compact"/>
              <w:jc w:val="left"/>
            </w:pPr>
            <w:r>
              <w:t xml:space="preserve">Peso</w:t>
            </w:r>
          </w:p>
        </w:tc>
        <w:tc>
          <w:tcPr/>
          <w:p>
            <w:pPr>
              <w:pStyle w:val="Compact"/>
              <w:jc w:val="left"/>
            </w:pPr>
            <w:r>
              <w:t xml:space="preserve">Crecimiento</w:t>
            </w:r>
          </w:p>
        </w:tc>
        <w:tc>
          <w:tcPr/>
          <w:p>
            <w:pPr>
              <w:pStyle w:val="Compact"/>
              <w:jc w:val="left"/>
            </w:pPr>
            <w:r>
              <w:t xml:space="preserve">4T FY26</w:t>
            </w:r>
          </w:p>
        </w:tc>
      </w:tr>
      <w:tr>
        <w:tc>
          <w:tcPr/>
          <w:p>
            <w:pPr>
              <w:pStyle w:val="Compact"/>
              <w:jc w:val="left"/>
            </w:pPr>
            <w:r>
              <w:t xml:space="preserve">Centro de datos (transceptores, interconexión entre centros de datos o DCI, computación de alto rendimiento o HPC)</w:t>
            </w:r>
          </w:p>
        </w:tc>
        <w:tc>
          <w:tcPr/>
          <w:p>
            <w:pPr>
              <w:pStyle w:val="Compact"/>
              <w:jc w:val="left"/>
            </w:pPr>
            <w:r>
              <w:t xml:space="preserve">2.225,1</w:t>
            </w:r>
          </w:p>
        </w:tc>
        <w:tc>
          <w:tcPr/>
          <w:p>
            <w:pPr>
              <w:pStyle w:val="Compact"/>
              <w:jc w:val="left"/>
            </w:pPr>
            <w:r>
              <w:t xml:space="preserve">47,9 %</w:t>
            </w:r>
          </w:p>
        </w:tc>
        <w:tc>
          <w:tcPr/>
          <w:p>
            <w:pPr>
              <w:pStyle w:val="Compact"/>
              <w:jc w:val="left"/>
            </w:pPr>
            <w:r>
              <w:t xml:space="preserve">+40,8 %</w:t>
            </w:r>
          </w:p>
        </w:tc>
        <w:tc>
          <w:tcPr/>
          <w:p>
            <w:pPr>
              <w:pStyle w:val="Compact"/>
              <w:jc w:val="left"/>
            </w:pPr>
            <w:r>
              <w:t xml:space="preserve">669 M, +68 %</w:t>
            </w:r>
          </w:p>
        </w:tc>
      </w:tr>
      <w:tr>
        <w:tc>
          <w:tcPr/>
          <w:p>
            <w:pPr>
              <w:pStyle w:val="Compact"/>
              <w:jc w:val="left"/>
            </w:pPr>
            <w:r>
              <w:t xml:space="preserve">Infraestructura de comunicaciones (telecomunicaciones, satélites)</w:t>
            </w:r>
          </w:p>
        </w:tc>
        <w:tc>
          <w:tcPr/>
          <w:p>
            <w:pPr>
              <w:pStyle w:val="Compact"/>
              <w:jc w:val="left"/>
            </w:pPr>
            <w:r>
              <w:t xml:space="preserve">1.546,4</w:t>
            </w:r>
          </w:p>
        </w:tc>
        <w:tc>
          <w:tcPr/>
          <w:p>
            <w:pPr>
              <w:pStyle w:val="Compact"/>
              <w:jc w:val="left"/>
            </w:pPr>
            <w:r>
              <w:t xml:space="preserve">33,3 %</w:t>
            </w:r>
          </w:p>
        </w:tc>
        <w:tc>
          <w:tcPr/>
          <w:p>
            <w:pPr>
              <w:pStyle w:val="Compact"/>
              <w:jc w:val="left"/>
            </w:pPr>
            <w:r>
              <w:t xml:space="preserve">+47,4 %</w:t>
            </w:r>
          </w:p>
        </w:tc>
        <w:tc>
          <w:tcPr/>
          <w:p>
            <w:pPr>
              <w:pStyle w:val="Compact"/>
              <w:jc w:val="left"/>
            </w:pPr>
            <w:r>
              <w:t xml:space="preserve">413 M, +40 %</w:t>
            </w:r>
          </w:p>
        </w:tc>
      </w:tr>
      <w:tr>
        <w:tc>
          <w:tcPr/>
          <w:p>
            <w:pPr>
              <w:pStyle w:val="Compact"/>
              <w:jc w:val="left"/>
            </w:pPr>
            <w:r>
              <w:t xml:space="preserve">Automoción, industria y otros (carga de coches eléctricos, LiDAR, láseres, salud)</w:t>
            </w:r>
          </w:p>
        </w:tc>
        <w:tc>
          <w:tcPr/>
          <w:p>
            <w:pPr>
              <w:pStyle w:val="Compact"/>
              <w:jc w:val="left"/>
            </w:pPr>
            <w:r>
              <w:t xml:space="preserve">869,6</w:t>
            </w:r>
          </w:p>
        </w:tc>
        <w:tc>
          <w:tcPr/>
          <w:p>
            <w:pPr>
              <w:pStyle w:val="Compact"/>
              <w:jc w:val="left"/>
            </w:pPr>
            <w:r>
              <w:t xml:space="preserve">18,8 %</w:t>
            </w:r>
          </w:p>
        </w:tc>
        <w:tc>
          <w:tcPr/>
          <w:p>
            <w:pPr>
              <w:pStyle w:val="Compact"/>
              <w:jc w:val="left"/>
            </w:pPr>
            <w:r>
              <w:t xml:space="preserve">+10,1 %</w:t>
            </w:r>
          </w:p>
        </w:tc>
        <w:tc>
          <w:tcPr/>
          <w:p>
            <w:pPr>
              <w:pStyle w:val="Compact"/>
              <w:jc w:val="left"/>
            </w:pPr>
            <w:r>
              <w:t xml:space="preserve">234 M, +8 %</w:t>
            </w:r>
          </w:p>
        </w:tc>
      </w:tr>
      <w:tr>
        <w:tc>
          <w:tcPr/>
          <w:p>
            <w:pPr>
              <w:pStyle w:val="Compact"/>
              <w:jc w:val="left"/>
            </w:pPr>
            <w:r>
              <w:rPr>
                <w:bCs/>
                <w:b/>
              </w:rPr>
              <w:t xml:space="preserve">Total</w:t>
            </w:r>
          </w:p>
        </w:tc>
        <w:tc>
          <w:tcPr/>
          <w:p>
            <w:pPr>
              <w:pStyle w:val="Compact"/>
              <w:jc w:val="left"/>
            </w:pPr>
            <w:r>
              <w:rPr>
                <w:bCs/>
                <w:b/>
              </w:rPr>
              <w:t xml:space="preserve">4.641,1</w:t>
            </w:r>
          </w:p>
        </w:tc>
        <w:tc>
          <w:tcPr/>
          <w:p>
            <w:pPr>
              <w:pStyle w:val="Compact"/>
              <w:jc w:val="left"/>
            </w:pPr>
            <w:r>
              <w:t xml:space="preserve">100 %</w:t>
            </w:r>
          </w:p>
        </w:tc>
        <w:tc>
          <w:tcPr/>
          <w:p>
            <w:pPr>
              <w:pStyle w:val="Compact"/>
              <w:jc w:val="left"/>
            </w:pPr>
            <w:r>
              <w:rPr>
                <w:bCs/>
                <w:b/>
              </w:rPr>
              <w:t xml:space="preserve">+35,7 %</w:t>
            </w:r>
          </w:p>
        </w:tc>
        <w:tc>
          <w:tcPr/>
          <w:p>
            <w:pPr>
              <w:pStyle w:val="Compact"/>
              <w:jc w:val="left"/>
            </w:pPr>
            <w:r>
              <w:rPr>
                <w:bCs/>
                <w:b/>
              </w:rPr>
              <w:t xml:space="preserve">1.315,8 M, +45 %</w:t>
            </w:r>
          </w:p>
        </w:tc>
      </w:tr>
    </w:tbl>
    <w:p>
      <w:pPr>
        <w:pStyle w:val="BodyText"/>
      </w:pPr>
      <w:r>
        <w:rPr>
          <w:bCs/>
          <w:b/>
        </w:rPr>
        <w:t xml:space="preserve">Lo nuevo</w:t>
      </w:r>
      <w:r>
        <w:t xml:space="preserve"> </w:t>
      </w:r>
      <w:r>
        <w:t xml:space="preserve">[3]:</w:t>
      </w:r>
      <w:r>
        <w:t xml:space="preserve"> </w:t>
      </w:r>
      <w:r>
        <w:t xml:space="preserve">1.</w:t>
      </w:r>
      <w:r>
        <w:t xml:space="preserve"> </w:t>
      </w:r>
      <w:r>
        <w:rPr>
          <w:bCs/>
          <w:b/>
        </w:rPr>
        <w:t xml:space="preserve">Interconexión entre centros de datos</w:t>
      </w:r>
      <w:r>
        <w:t xml:space="preserve">: ya factura unos 1.000 M al año, sobre todo con Cisco (Acacia) y Nokia (Infinera).</w:t>
      </w:r>
      <w:r>
        <w:t xml:space="preserve"> </w:t>
      </w:r>
      <w:r>
        <w:t xml:space="preserve">2.</w:t>
      </w:r>
      <w:r>
        <w:t xml:space="preserve"> </w:t>
      </w:r>
      <w:r>
        <w:rPr>
          <w:bCs/>
          <w:b/>
        </w:rPr>
        <w:t xml:space="preserve">Computación de alto rendimiento con Amazon</w:t>
      </w:r>
      <w:r>
        <w:t xml:space="preserve">: Fabrinet ensambla un chip propio de un hiperescalador (Amazon) desde 2025. Amazon tiene una opción para comprar hasta 381.922 acciones a 208,48 USD, que se le van concediendo según lo que compre [2].</w:t>
      </w:r>
      <w:r>
        <w:t xml:space="preserve"> </w:t>
      </w:r>
      <w:r>
        <w:t xml:space="preserve">3.</w:t>
      </w:r>
      <w:r>
        <w:t xml:space="preserve"> </w:t>
      </w:r>
      <w:r>
        <w:rPr>
          <w:bCs/>
          <w:b/>
        </w:rPr>
        <w:t xml:space="preserve">Transceptores para vendedores independientes</w:t>
      </w:r>
      <w:r>
        <w:t xml:space="preserve">: uno empieza en oct-dic 2026 y otros a principios de 2027, lo que reduce la dependencia de Nvidia.</w:t>
      </w:r>
      <w:r>
        <w:t xml:space="preserve"> </w:t>
      </w:r>
      <w:r>
        <w:t xml:space="preserve">4.</w:t>
      </w:r>
      <w:r>
        <w:t xml:space="preserve"> </w:t>
      </w:r>
      <w:r>
        <w:rPr>
          <w:bCs/>
          <w:b/>
        </w:rPr>
        <w:t xml:space="preserve">Sistemas completos</w:t>
      </w:r>
      <w:r>
        <w:t xml:space="preserve"> </w:t>
      </w:r>
      <w:r>
        <w:t xml:space="preserve">con Cisco, y quizá uno o dos clientes más.</w:t>
      </w:r>
      <w:r>
        <w:t xml:space="preserve"> </w:t>
      </w:r>
      <w:r>
        <w:t xml:space="preserve">5.</w:t>
      </w:r>
      <w:r>
        <w:t xml:space="preserve"> </w:t>
      </w:r>
      <w:r>
        <w:rPr>
          <w:bCs/>
          <w:b/>
        </w:rPr>
        <w:t xml:space="preserve">Óptica junto al chip</w:t>
      </w:r>
      <w:r>
        <w:t xml:space="preserve"> </w:t>
      </w:r>
      <w:r>
        <w:t xml:space="preserve">(near-package y co-packaged optics) y conmutadores ópticos de circuito.</w:t>
      </w:r>
    </w:p>
    <w:p>
      <w:pPr>
        <w:pStyle w:val="BodyText"/>
      </w:pPr>
      <w:r>
        <w:rPr>
          <w:bCs/>
          <w:b/>
        </w:rPr>
        <w:t xml:space="preserve">Tecnología: 3/5.</w:t>
      </w:r>
      <w:r>
        <w:t xml:space="preserve"> </w:t>
      </w:r>
      <w:r>
        <w:t xml:space="preserve">Saber empaquetar óptica de precisión con buen rendimiento a gran escala es difícil y lleva años de calificación con cada cliente. Pero no tiene patentes que la blinden: Jabil, Celestica, los fabricantes chinos (Innolight, Eoptolink) y los fabricantes con planta propia (Coherent, Lumentum) son alternativas reales.</w:t>
      </w:r>
      <w:r>
        <w:t xml:space="preserve"> </w:t>
      </w:r>
      <w:r>
        <w:rPr>
          <w:bCs/>
          <w:b/>
        </w:rPr>
        <w:t xml:space="preserve">Posición: 4/5.</w:t>
      </w:r>
      <w:r>
        <w:t xml:space="preserve"> </w:t>
      </w:r>
      <w:r>
        <w:t xml:space="preserve">Es el líder en fabricación óptica subcontratada, con cuota creciente en telecomunicaciones y en centros de datos, aunque ha perdido peso en Nvidia.</w:t>
      </w:r>
    </w:p>
    <w:bookmarkEnd w:id="22"/>
    <w:bookmarkStart w:id="23"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 fiscal</w:t>
            </w:r>
          </w:p>
        </w:tc>
        <w:tc>
          <w:tcPr/>
          <w:p>
            <w:pPr>
              <w:pStyle w:val="Compact"/>
              <w:jc w:val="left"/>
            </w:pPr>
            <w:r>
              <w:t xml:space="preserve">Fin</w:t>
            </w:r>
          </w:p>
        </w:tc>
        <w:tc>
          <w:tcPr/>
          <w:p>
            <w:pPr>
              <w:pStyle w:val="Compact"/>
              <w:jc w:val="left"/>
            </w:pPr>
            <w:r>
              <w:t xml:space="preserve">Ventas (M USD)</w:t>
            </w:r>
          </w:p>
        </w:tc>
        <w:tc>
          <w:tcPr/>
          <w:p>
            <w:pPr>
              <w:pStyle w:val="Compact"/>
              <w:jc w:val="left"/>
            </w:pPr>
            <w:r>
              <w:t xml:space="preserve">Crecimiento interanual</w:t>
            </w:r>
          </w:p>
        </w:tc>
        <w:tc>
          <w:tcPr/>
          <w:p>
            <w:pPr>
              <w:pStyle w:val="Compact"/>
              <w:jc w:val="left"/>
            </w:pPr>
            <w:r>
              <w:t xml:space="preserve">Margen bruto</w:t>
            </w:r>
          </w:p>
        </w:tc>
      </w:tr>
      <w:tr>
        <w:tc>
          <w:tcPr/>
          <w:p>
            <w:pPr>
              <w:pStyle w:val="Compact"/>
              <w:jc w:val="left"/>
            </w:pPr>
            <w:r>
              <w:t xml:space="preserve">1T FY25</w:t>
            </w:r>
          </w:p>
        </w:tc>
        <w:tc>
          <w:tcPr/>
          <w:p>
            <w:pPr>
              <w:pStyle w:val="Compact"/>
              <w:jc w:val="left"/>
            </w:pPr>
            <w:r>
              <w:t xml:space="preserve">sep-2024</w:t>
            </w:r>
          </w:p>
        </w:tc>
        <w:tc>
          <w:tcPr/>
          <w:p>
            <w:pPr>
              <w:pStyle w:val="Compact"/>
              <w:jc w:val="left"/>
            </w:pPr>
            <w:r>
              <w:t xml:space="preserve">804,2</w:t>
            </w:r>
          </w:p>
        </w:tc>
        <w:tc>
          <w:tcPr/>
          <w:p>
            <w:pPr>
              <w:pStyle w:val="Compact"/>
              <w:jc w:val="left"/>
            </w:pPr>
            <w:r>
              <w:t xml:space="preserve">+17,3 %</w:t>
            </w:r>
          </w:p>
        </w:tc>
        <w:tc>
          <w:tcPr/>
          <w:p>
            <w:pPr>
              <w:pStyle w:val="Compact"/>
              <w:jc w:val="left"/>
            </w:pPr>
            <w:r>
              <w:t xml:space="preserve">12,3 %</w:t>
            </w:r>
          </w:p>
        </w:tc>
      </w:tr>
      <w:tr>
        <w:tc>
          <w:tcPr/>
          <w:p>
            <w:pPr>
              <w:pStyle w:val="Compact"/>
              <w:jc w:val="left"/>
            </w:pPr>
            <w:r>
              <w:t xml:space="preserve">2T FY25</w:t>
            </w:r>
          </w:p>
        </w:tc>
        <w:tc>
          <w:tcPr/>
          <w:p>
            <w:pPr>
              <w:pStyle w:val="Compact"/>
              <w:jc w:val="left"/>
            </w:pPr>
            <w:r>
              <w:t xml:space="preserve">dic-2024</w:t>
            </w:r>
          </w:p>
        </w:tc>
        <w:tc>
          <w:tcPr/>
          <w:p>
            <w:pPr>
              <w:pStyle w:val="Compact"/>
              <w:jc w:val="left"/>
            </w:pPr>
            <w:r>
              <w:t xml:space="preserve">833,6</w:t>
            </w:r>
          </w:p>
        </w:tc>
        <w:tc>
          <w:tcPr/>
          <w:p>
            <w:pPr>
              <w:pStyle w:val="Compact"/>
              <w:jc w:val="left"/>
            </w:pPr>
            <w:r>
              <w:t xml:space="preserve">+17,0 %</w:t>
            </w:r>
          </w:p>
        </w:tc>
        <w:tc>
          <w:tcPr/>
          <w:p>
            <w:pPr>
              <w:pStyle w:val="Compact"/>
              <w:jc w:val="left"/>
            </w:pPr>
            <w:r>
              <w:t xml:space="preserve">12,1 %</w:t>
            </w:r>
          </w:p>
        </w:tc>
      </w:tr>
      <w:tr>
        <w:tc>
          <w:tcPr/>
          <w:p>
            <w:pPr>
              <w:pStyle w:val="Compact"/>
              <w:jc w:val="left"/>
            </w:pPr>
            <w:r>
              <w:t xml:space="preserve">3T FY25</w:t>
            </w:r>
          </w:p>
        </w:tc>
        <w:tc>
          <w:tcPr/>
          <w:p>
            <w:pPr>
              <w:pStyle w:val="Compact"/>
              <w:jc w:val="left"/>
            </w:pPr>
            <w:r>
              <w:t xml:space="preserve">mar-2025</w:t>
            </w:r>
          </w:p>
        </w:tc>
        <w:tc>
          <w:tcPr/>
          <w:p>
            <w:pPr>
              <w:pStyle w:val="Compact"/>
              <w:jc w:val="left"/>
            </w:pPr>
            <w:r>
              <w:t xml:space="preserve">871,8</w:t>
            </w:r>
          </w:p>
        </w:tc>
        <w:tc>
          <w:tcPr/>
          <w:p>
            <w:pPr>
              <w:pStyle w:val="Compact"/>
              <w:jc w:val="left"/>
            </w:pPr>
            <w:r>
              <w:t xml:space="preserve">+19,2 %</w:t>
            </w:r>
          </w:p>
        </w:tc>
        <w:tc>
          <w:tcPr/>
          <w:p>
            <w:pPr>
              <w:pStyle w:val="Compact"/>
              <w:jc w:val="left"/>
            </w:pPr>
            <w:r>
              <w:t xml:space="preserve">11,7 %</w:t>
            </w:r>
          </w:p>
        </w:tc>
      </w:tr>
      <w:tr>
        <w:tc>
          <w:tcPr/>
          <w:p>
            <w:pPr>
              <w:pStyle w:val="Compact"/>
              <w:jc w:val="left"/>
            </w:pPr>
            <w:r>
              <w:t xml:space="preserve">4T FY25</w:t>
            </w:r>
          </w:p>
        </w:tc>
        <w:tc>
          <w:tcPr/>
          <w:p>
            <w:pPr>
              <w:pStyle w:val="Compact"/>
              <w:jc w:val="left"/>
            </w:pPr>
            <w:r>
              <w:t xml:space="preserve">jun-2025</w:t>
            </w:r>
          </w:p>
        </w:tc>
        <w:tc>
          <w:tcPr/>
          <w:p>
            <w:pPr>
              <w:pStyle w:val="Compact"/>
              <w:jc w:val="left"/>
            </w:pPr>
            <w:r>
              <w:t xml:space="preserve">909,7</w:t>
            </w:r>
          </w:p>
        </w:tc>
        <w:tc>
          <w:tcPr/>
          <w:p>
            <w:pPr>
              <w:pStyle w:val="Compact"/>
              <w:jc w:val="left"/>
            </w:pPr>
            <w:r>
              <w:t xml:space="preserve">+20,8 %</w:t>
            </w:r>
          </w:p>
        </w:tc>
        <w:tc>
          <w:tcPr/>
          <w:p>
            <w:pPr>
              <w:pStyle w:val="Compact"/>
              <w:jc w:val="left"/>
            </w:pPr>
            <w:r>
              <w:t xml:space="preserve">12,2 %</w:t>
            </w:r>
          </w:p>
        </w:tc>
      </w:tr>
      <w:tr>
        <w:tc>
          <w:tcPr/>
          <w:p>
            <w:pPr>
              <w:pStyle w:val="Compact"/>
              <w:jc w:val="left"/>
            </w:pPr>
            <w:r>
              <w:t xml:space="preserve">1T FY26</w:t>
            </w:r>
          </w:p>
        </w:tc>
        <w:tc>
          <w:tcPr/>
          <w:p>
            <w:pPr>
              <w:pStyle w:val="Compact"/>
              <w:jc w:val="left"/>
            </w:pPr>
            <w:r>
              <w:t xml:space="preserve">sep-2025</w:t>
            </w:r>
          </w:p>
        </w:tc>
        <w:tc>
          <w:tcPr/>
          <w:p>
            <w:pPr>
              <w:pStyle w:val="Compact"/>
              <w:jc w:val="left"/>
            </w:pPr>
            <w:r>
              <w:t xml:space="preserve">978,1</w:t>
            </w:r>
          </w:p>
        </w:tc>
        <w:tc>
          <w:tcPr/>
          <w:p>
            <w:pPr>
              <w:pStyle w:val="Compact"/>
              <w:jc w:val="left"/>
            </w:pPr>
            <w:r>
              <w:t xml:space="preserve">+21,6 %</w:t>
            </w:r>
          </w:p>
        </w:tc>
        <w:tc>
          <w:tcPr/>
          <w:p>
            <w:pPr>
              <w:pStyle w:val="Compact"/>
              <w:jc w:val="left"/>
            </w:pPr>
            <w:r>
              <w:t xml:space="preserve">11,9 %</w:t>
            </w:r>
          </w:p>
        </w:tc>
      </w:tr>
      <w:tr>
        <w:tc>
          <w:tcPr/>
          <w:p>
            <w:pPr>
              <w:pStyle w:val="Compact"/>
              <w:jc w:val="left"/>
            </w:pPr>
            <w:r>
              <w:t xml:space="preserve">2T FY26</w:t>
            </w:r>
          </w:p>
        </w:tc>
        <w:tc>
          <w:tcPr/>
          <w:p>
            <w:pPr>
              <w:pStyle w:val="Compact"/>
              <w:jc w:val="left"/>
            </w:pPr>
            <w:r>
              <w:t xml:space="preserve">dic-2025</w:t>
            </w:r>
          </w:p>
        </w:tc>
        <w:tc>
          <w:tcPr/>
          <w:p>
            <w:pPr>
              <w:pStyle w:val="Compact"/>
              <w:jc w:val="left"/>
            </w:pPr>
            <w:r>
              <w:t xml:space="preserve">1.132,9</w:t>
            </w:r>
          </w:p>
        </w:tc>
        <w:tc>
          <w:tcPr/>
          <w:p>
            <w:pPr>
              <w:pStyle w:val="Compact"/>
              <w:jc w:val="left"/>
            </w:pPr>
            <w:r>
              <w:t xml:space="preserve">+35,9 %</w:t>
            </w:r>
          </w:p>
        </w:tc>
        <w:tc>
          <w:tcPr/>
          <w:p>
            <w:pPr>
              <w:pStyle w:val="Compact"/>
              <w:jc w:val="left"/>
            </w:pPr>
            <w:r>
              <w:t xml:space="preserve">12,2 %</w:t>
            </w:r>
          </w:p>
        </w:tc>
      </w:tr>
      <w:tr>
        <w:tc>
          <w:tcPr/>
          <w:p>
            <w:pPr>
              <w:pStyle w:val="Compact"/>
              <w:jc w:val="left"/>
            </w:pPr>
            <w:r>
              <w:t xml:space="preserve">3T FY26</w:t>
            </w:r>
          </w:p>
        </w:tc>
        <w:tc>
          <w:tcPr/>
          <w:p>
            <w:pPr>
              <w:pStyle w:val="Compact"/>
              <w:jc w:val="left"/>
            </w:pPr>
            <w:r>
              <w:t xml:space="preserve">mar-2026</w:t>
            </w:r>
          </w:p>
        </w:tc>
        <w:tc>
          <w:tcPr/>
          <w:p>
            <w:pPr>
              <w:pStyle w:val="Compact"/>
              <w:jc w:val="left"/>
            </w:pPr>
            <w:r>
              <w:t xml:space="preserve">1.214,3</w:t>
            </w:r>
          </w:p>
        </w:tc>
        <w:tc>
          <w:tcPr/>
          <w:p>
            <w:pPr>
              <w:pStyle w:val="Compact"/>
              <w:jc w:val="left"/>
            </w:pPr>
            <w:r>
              <w:t xml:space="preserve">+39,3 %</w:t>
            </w:r>
          </w:p>
        </w:tc>
        <w:tc>
          <w:tcPr/>
          <w:p>
            <w:pPr>
              <w:pStyle w:val="Compact"/>
              <w:jc w:val="left"/>
            </w:pPr>
            <w:r>
              <w:t xml:space="preserve">11,9 %</w:t>
            </w:r>
          </w:p>
        </w:tc>
      </w:tr>
      <w:tr>
        <w:tc>
          <w:tcPr/>
          <w:p>
            <w:pPr>
              <w:pStyle w:val="Compact"/>
              <w:jc w:val="left"/>
            </w:pPr>
            <w:r>
              <w:t xml:space="preserve">4T FY26</w:t>
            </w:r>
          </w:p>
        </w:tc>
        <w:tc>
          <w:tcPr/>
          <w:p>
            <w:pPr>
              <w:pStyle w:val="Compact"/>
              <w:jc w:val="left"/>
            </w:pPr>
            <w:r>
              <w:t xml:space="preserve">jun-2026</w:t>
            </w:r>
          </w:p>
        </w:tc>
        <w:tc>
          <w:tcPr/>
          <w:p>
            <w:pPr>
              <w:pStyle w:val="Compact"/>
              <w:jc w:val="left"/>
            </w:pPr>
            <w:r>
              <w:t xml:space="preserve">1.315,8</w:t>
            </w:r>
          </w:p>
        </w:tc>
        <w:tc>
          <w:tcPr/>
          <w:p>
            <w:pPr>
              <w:pStyle w:val="Compact"/>
              <w:jc w:val="left"/>
            </w:pPr>
            <w:r>
              <w:t xml:space="preserve">+44,6 %</w:t>
            </w:r>
          </w:p>
        </w:tc>
        <w:tc>
          <w:tcPr/>
          <w:p>
            <w:pPr>
              <w:pStyle w:val="Compact"/>
              <w:jc w:val="left"/>
            </w:pPr>
            <w:r>
              <w:t xml:space="preserve">12,0 %</w:t>
            </w:r>
          </w:p>
        </w:tc>
      </w:tr>
      <w:tr>
        <w:tc>
          <w:tcPr/>
          <w:p>
            <w:pPr>
              <w:pStyle w:val="Compact"/>
              <w:jc w:val="left"/>
            </w:pPr>
            <w:r>
              <w:t xml:space="preserve">Guía 1T FY27</w:t>
            </w:r>
          </w:p>
        </w:tc>
        <w:tc>
          <w:tcPr/>
          <w:p>
            <w:pPr>
              <w:pStyle w:val="Compact"/>
              <w:jc w:val="left"/>
            </w:pPr>
            <w:r>
              <w:t xml:space="preserve">sep-2026</w:t>
            </w:r>
          </w:p>
        </w:tc>
        <w:tc>
          <w:tcPr/>
          <w:p>
            <w:pPr>
              <w:pStyle w:val="Compact"/>
              <w:jc w:val="left"/>
            </w:pPr>
            <w:r>
              <w:t xml:space="preserve">1.375-1.425</w:t>
            </w:r>
          </w:p>
        </w:tc>
        <w:tc>
          <w:tcPr/>
          <w:p>
            <w:pPr>
              <w:pStyle w:val="Compact"/>
              <w:jc w:val="left"/>
            </w:pPr>
            <w:r>
              <w:t xml:space="preserve">+41 a +46 %</w:t>
            </w:r>
          </w:p>
        </w:tc>
        <w:tc>
          <w:tcPr/>
          <w:p>
            <w:pPr>
              <w:pStyle w:val="Compact"/>
              <w:jc w:val="left"/>
            </w:pPr>
            <w:r>
              <w:t xml:space="preserve">—</w:t>
            </w:r>
          </w:p>
        </w:tc>
      </w:tr>
    </w:tbl>
    <w:p>
      <w:pPr>
        <w:pStyle w:val="BodyText"/>
      </w:pPr>
      <w:r>
        <w:t xml:space="preserve">Fuentes: [1][2]. Margen bruto contable (incluye los pagos en acciones).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fiscal (a junio)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FY23</w:t>
            </w:r>
          </w:p>
        </w:tc>
        <w:tc>
          <w:tcPr/>
          <w:p>
            <w:pPr>
              <w:pStyle w:val="Compact"/>
              <w:jc w:val="left"/>
            </w:pPr>
            <w:r>
              <w:t xml:space="preserve">2.645,2</w:t>
            </w:r>
          </w:p>
        </w:tc>
        <w:tc>
          <w:tcPr/>
          <w:p>
            <w:pPr>
              <w:pStyle w:val="Compact"/>
              <w:jc w:val="left"/>
            </w:pPr>
            <w:r>
              <w:t xml:space="preserve">—</w:t>
            </w:r>
          </w:p>
        </w:tc>
      </w:tr>
      <w:tr>
        <w:tc>
          <w:tcPr/>
          <w:p>
            <w:pPr>
              <w:pStyle w:val="Compact"/>
              <w:jc w:val="left"/>
            </w:pPr>
            <w:r>
              <w:t xml:space="preserve">FY24</w:t>
            </w:r>
          </w:p>
        </w:tc>
        <w:tc>
          <w:tcPr/>
          <w:p>
            <w:pPr>
              <w:pStyle w:val="Compact"/>
              <w:jc w:val="left"/>
            </w:pPr>
            <w:r>
              <w:t xml:space="preserve">2.883,0</w:t>
            </w:r>
          </w:p>
        </w:tc>
        <w:tc>
          <w:tcPr/>
          <w:p>
            <w:pPr>
              <w:pStyle w:val="Compact"/>
              <w:jc w:val="left"/>
            </w:pPr>
            <w:r>
              <w:t xml:space="preserve">+9,0 %</w:t>
            </w:r>
          </w:p>
        </w:tc>
      </w:tr>
      <w:tr>
        <w:tc>
          <w:tcPr/>
          <w:p>
            <w:pPr>
              <w:pStyle w:val="Compact"/>
              <w:jc w:val="left"/>
            </w:pPr>
            <w:r>
              <w:t xml:space="preserve">FY25</w:t>
            </w:r>
          </w:p>
        </w:tc>
        <w:tc>
          <w:tcPr/>
          <w:p>
            <w:pPr>
              <w:pStyle w:val="Compact"/>
              <w:jc w:val="left"/>
            </w:pPr>
            <w:r>
              <w:t xml:space="preserve">3.419,3</w:t>
            </w:r>
          </w:p>
        </w:tc>
        <w:tc>
          <w:tcPr/>
          <w:p>
            <w:pPr>
              <w:pStyle w:val="Compact"/>
              <w:jc w:val="left"/>
            </w:pPr>
            <w:r>
              <w:t xml:space="preserve">+18,6 %</w:t>
            </w:r>
          </w:p>
        </w:tc>
      </w:tr>
      <w:tr>
        <w:tc>
          <w:tcPr/>
          <w:p>
            <w:pPr>
              <w:pStyle w:val="Compact"/>
              <w:jc w:val="left"/>
            </w:pPr>
            <w:r>
              <w:t xml:space="preserve">FY26</w:t>
            </w:r>
          </w:p>
        </w:tc>
        <w:tc>
          <w:tcPr/>
          <w:p>
            <w:pPr>
              <w:pStyle w:val="Compact"/>
              <w:jc w:val="left"/>
            </w:pPr>
            <w:r>
              <w:t xml:space="preserve">4.641,1</w:t>
            </w:r>
          </w:p>
        </w:tc>
        <w:tc>
          <w:tcPr/>
          <w:p>
            <w:pPr>
              <w:pStyle w:val="Compact"/>
              <w:jc w:val="left"/>
            </w:pPr>
            <w:r>
              <w:t xml:space="preserve">+35,7 %</w:t>
            </w:r>
          </w:p>
        </w:tc>
      </w:tr>
      <w:tr>
        <w:tc>
          <w:tcPr/>
          <w:p>
            <w:pPr>
              <w:pStyle w:val="Compact"/>
              <w:jc w:val="left"/>
            </w:pPr>
            <w:r>
              <w:t xml:space="preserve">FY27 (consenso)</w:t>
            </w:r>
          </w:p>
        </w:tc>
        <w:tc>
          <w:tcPr/>
          <w:p>
            <w:pPr>
              <w:pStyle w:val="Compact"/>
              <w:jc w:val="left"/>
            </w:pPr>
            <w:r>
              <w:t xml:space="preserve">6.100</w:t>
            </w:r>
          </w:p>
        </w:tc>
        <w:tc>
          <w:tcPr/>
          <w:p>
            <w:pPr>
              <w:pStyle w:val="Compact"/>
              <w:jc w:val="left"/>
            </w:pPr>
            <w:r>
              <w:t xml:space="preserve">+31 %</w:t>
            </w:r>
          </w:p>
        </w:tc>
      </w:tr>
      <w:tr>
        <w:tc>
          <w:tcPr/>
          <w:p>
            <w:pPr>
              <w:pStyle w:val="Compact"/>
              <w:jc w:val="left"/>
            </w:pPr>
            <w:r>
              <w:t xml:space="preserve">FY28 (consenso)</w:t>
            </w:r>
          </w:p>
        </w:tc>
        <w:tc>
          <w:tcPr/>
          <w:p>
            <w:pPr>
              <w:pStyle w:val="Compact"/>
              <w:jc w:val="left"/>
            </w:pPr>
            <w:r>
              <w:t xml:space="preserve">7.310</w:t>
            </w:r>
          </w:p>
        </w:tc>
        <w:tc>
          <w:tcPr/>
          <w:p>
            <w:pPr>
              <w:pStyle w:val="Compact"/>
              <w:jc w:val="left"/>
            </w:pPr>
            <w:r>
              <w:t xml:space="preserve">+20 %</w:t>
            </w:r>
          </w:p>
        </w:tc>
      </w:tr>
    </w:tbl>
    <w:p>
      <w:pPr>
        <w:numPr>
          <w:ilvl w:val="0"/>
          <w:numId w:val="1002"/>
        </w:numPr>
        <w:pStyle w:val="Compact"/>
      </w:pPr>
      <w:r>
        <w:rPr>
          <w:bCs/>
          <w:b/>
        </w:rPr>
        <w:t xml:space="preserve">Ventas de los últimos 12 meses</w:t>
      </w:r>
      <w:r>
        <w:t xml:space="preserve">: 4.641,1 M USD,</w:t>
      </w:r>
      <w:r>
        <w:t xml:space="preserve"> </w:t>
      </w:r>
      <w:r>
        <w:rPr>
          <w:bCs/>
          <w:b/>
        </w:rPr>
        <w:t xml:space="preserve">+35,7 %</w:t>
      </w:r>
      <w:r>
        <w:t xml:space="preserve">.</w:t>
      </w:r>
      <w:r>
        <w:t xml:space="preserve"> </w:t>
      </w:r>
      <w:r>
        <w:rPr>
          <w:bCs/>
          <w:b/>
        </w:rPr>
        <w:t xml:space="preserve">Crecimiento anual compuesto propio a 2 años</w:t>
      </w:r>
      <w:r>
        <w:t xml:space="preserve">:</w:t>
      </w:r>
      <w:r>
        <w:t xml:space="preserve"> </w:t>
      </w:r>
      <w:r>
        <w:rPr>
          <w:bCs/>
          <w:b/>
        </w:rPr>
        <w:t xml:space="preserve">26,9 %</w:t>
      </w:r>
      <w:r>
        <w:t xml:space="preserve">.</w:t>
      </w:r>
    </w:p>
    <w:p>
      <w:pPr>
        <w:numPr>
          <w:ilvl w:val="0"/>
          <w:numId w:val="1002"/>
        </w:numPr>
        <w:pStyle w:val="Compact"/>
      </w:pPr>
      <w:r>
        <w:rPr>
          <w:bCs/>
          <w:b/>
        </w:rPr>
        <w:t xml:space="preserve">Aceleración</w:t>
      </w:r>
      <w:r>
        <w:t xml:space="preserve">: el último trimestre creció un 44,6 %, frente a una media del 29,4 % en los cuatro anteriores:</w:t>
      </w:r>
      <w:r>
        <w:t xml:space="preserve"> </w:t>
      </w:r>
      <w:r>
        <w:rPr>
          <w:bCs/>
          <w:b/>
        </w:rPr>
        <w:t xml:space="preserve">+15,2 puntos</w:t>
      </w:r>
      <w:r>
        <w:t xml:space="preserve">.</w:t>
      </w:r>
    </w:p>
    <w:p>
      <w:pPr>
        <w:numPr>
          <w:ilvl w:val="0"/>
          <w:numId w:val="1002"/>
        </w:numPr>
        <w:pStyle w:val="Compact"/>
      </w:pPr>
      <w:r>
        <w:rPr>
          <w:bCs/>
          <w:b/>
        </w:rPr>
        <w:t xml:space="preserve">Retención</w:t>
      </w:r>
      <w:r>
        <w:t xml:space="preserve">: no aplica (fabricación por programas).</w:t>
      </w:r>
    </w:p>
    <w:p>
      <w:pPr>
        <w:numPr>
          <w:ilvl w:val="0"/>
          <w:numId w:val="1002"/>
        </w:numPr>
        <w:pStyle w:val="Compact"/>
      </w:pPr>
      <w:r>
        <w:rPr>
          <w:bCs/>
          <w:b/>
        </w:rPr>
        <w:t xml:space="preserve">Guía</w:t>
      </w:r>
      <w:r>
        <w:t xml:space="preserve">: solo trimestral. Para el 1T FY27, 1.375-1.425 M y un BPA ajustado de 4,10-4,25 USD [1]. No hay guía anual, así que</w:t>
      </w:r>
      <w:r>
        <w:t xml:space="preserve"> </w:t>
      </w:r>
      <w:r>
        <w:rPr>
          <w:rStyle w:val="VerbatimChar"/>
        </w:rPr>
        <w:t xml:space="preserve">guia_12m_pct</w:t>
      </w:r>
      <w:r>
        <w:t xml:space="preserve"> </w:t>
      </w:r>
      <w:r>
        <w:t xml:space="preserve">= null. La dirección dice que los clientes le dan visibilidad hasta finales de 2027 y que otro año de aceleración «no está fuera de lo posible» [3].</w:t>
      </w:r>
    </w:p>
    <w:p>
      <w:pPr>
        <w:numPr>
          <w:ilvl w:val="0"/>
          <w:numId w:val="1002"/>
        </w:numPr>
        <w:pStyle w:val="Compact"/>
      </w:pPr>
      <w:r>
        <w:rPr>
          <w:bCs/>
          <w:b/>
        </w:rPr>
        <w:t xml:space="preserve">El consenso</w:t>
      </w:r>
      <w:r>
        <w:t xml:space="preserve"> </w:t>
      </w:r>
      <w:r>
        <w:t xml:space="preserve">espera que frene: +31 % en el FY27, a pesar de que guía un +43 % en el primer trimestre, y +20 % en el FY28. La proyección mecánica del método (7.963 M en el FY28) va un 9 % por encima del consenso. Manda la del informe (7.400 M), muy cerca del consenso.</w:t>
      </w:r>
    </w:p>
    <w:p>
      <w:pPr>
        <w:numPr>
          <w:ilvl w:val="0"/>
          <w:numId w:val="1002"/>
        </w:numPr>
        <w:pStyle w:val="Compact"/>
      </w:pPr>
      <w:r>
        <w:rPr>
          <w:bCs/>
          <w:b/>
        </w:rPr>
        <w:t xml:space="preserve">Compras de empresas</w:t>
      </w:r>
      <w:r>
        <w:t xml:space="preserve">: ninguna relevante. La participación en Raytec es una inversión financiera. El crecimiento es orgánico y la candidata v12 no aplica.</w:t>
      </w:r>
    </w:p>
    <w:bookmarkEnd w:id="23"/>
    <w:bookmarkStart w:id="24" w:name="mercado-y-competencia"/>
    <w:p>
      <w:pPr>
        <w:pStyle w:val="Heading2"/>
      </w:pPr>
      <w:r>
        <w:t xml:space="preserve">4. Mercado y competencia</w:t>
      </w:r>
    </w:p>
    <w:p>
      <w:pPr>
        <w:numPr>
          <w:ilvl w:val="0"/>
          <w:numId w:val="1003"/>
        </w:numPr>
        <w:pStyle w:val="Compact"/>
      </w:pPr>
      <w:r>
        <w:rPr>
          <w:bCs/>
          <w:b/>
        </w:rPr>
        <w:t xml:space="preserve">Mercado alcanzable</w:t>
      </w:r>
      <w:r>
        <w:t xml:space="preserve">:</w:t>
      </w:r>
      <w:r>
        <w:t xml:space="preserve"> </w:t>
      </w:r>
      <w:r>
        <w:rPr>
          <w:bCs/>
          <w:b/>
        </w:rPr>
        <w:t xml:space="preserve">unos 50.000 M USD en el FY28</w:t>
      </w:r>
      <w:r>
        <w:t xml:space="preserve">. Es una estimación propia y en parte de memoria [12]: módulos y componentes ópticos para centros de datos y telecomunicaciones que se subcontratan, más fabricación de precisión para automoción, industria y salud. Es una cifra incierta: las previsiones publicadas (LightCounting, MarketsandMarkets) son anteriores al salto de la inversión en IA y se han quedado cortas.</w:t>
      </w:r>
    </w:p>
    <w:p>
      <w:pPr>
        <w:numPr>
          <w:ilvl w:val="0"/>
          <w:numId w:val="1003"/>
        </w:numPr>
        <w:pStyle w:val="Compact"/>
      </w:pPr>
      <w:r>
        <w:rPr>
          <w:bCs/>
          <w:b/>
        </w:rPr>
        <w:t xml:space="preserve">Penetración</w:t>
      </w:r>
      <w:r>
        <w:t xml:space="preserve">: 4.641 / 50.000 =</w:t>
      </w:r>
      <w:r>
        <w:t xml:space="preserve"> </w:t>
      </w:r>
      <w:r>
        <w:rPr>
          <w:bCs/>
          <w:b/>
        </w:rPr>
        <w:t xml:space="preserve">9,3 %</w:t>
      </w:r>
      <w:r>
        <w:t xml:space="preserve">.</w:t>
      </w:r>
    </w:p>
    <w:p>
      <w:pPr>
        <w:numPr>
          <w:ilvl w:val="0"/>
          <w:numId w:val="1003"/>
        </w:numPr>
        <w:pStyle w:val="Compact"/>
      </w:pPr>
      <w:r>
        <w:rPr>
          <w:bCs/>
          <w:b/>
        </w:rPr>
        <w:t xml:space="preserve">Rivales</w:t>
      </w:r>
      <w:r>
        <w:t xml:space="preserve">: los fabricantes generales con línea óptica (Jabil, Celestica, Sanmina), los fabricantes chinos de transceptores con planta propia (Innolight, Eoptolink) y los clientes que fabrican en casa (Coherent, Lumentum).</w:t>
      </w:r>
    </w:p>
    <w:p>
      <w:pPr>
        <w:numPr>
          <w:ilvl w:val="0"/>
          <w:numId w:val="1003"/>
        </w:numPr>
        <w:pStyle w:val="Compact"/>
      </w:pPr>
      <w:r>
        <w:rPr>
          <w:bCs/>
          <w:b/>
        </w:rPr>
        <w:t xml:space="preserve">Por qué gana</w:t>
      </w:r>
      <w:r>
        <w:t xml:space="preserve">: el proceso y el rendimiento en óptica difícil, la calificación de años con cada cliente, las «fábricas dentro de la fábrica» que protegen la propiedad intelectual de cada cliente, y que no compite con ellos. Tailandia, además, le deja fuera de las restricciones a China.</w:t>
      </w:r>
      <w:r>
        <w:t xml:space="preserve"> </w:t>
      </w:r>
      <w:r>
        <w:rPr>
          <w:bCs/>
          <w:b/>
        </w:rPr>
        <w:t xml:space="preserve">Por qué puede perder</w:t>
      </w:r>
      <w:r>
        <w:t xml:space="preserve">: Nvidia reparte sus compras entre más proveedores (los módulos de 800G ya los compra a varios) y, si la óptica pasa a ir dentro del encapsulado del chip, parte del valor se iría a TSMC y a Nvidia.</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Mixtas. La guía del 1T FY27 quedó por encima del consenso, pero tras los resultados B. Riley bajó su objetivo de 635 a 598 USD y J.P. Morgan lo subió de 680 a 695. Las recomendaciones no cambian desde mayo (7 de compra, 2 de mantener).</w:t>
            </w:r>
          </w:p>
        </w:tc>
        <w:tc>
          <w:tcPr/>
          <w:p>
            <w:pPr>
              <w:pStyle w:val="Compact"/>
              <w:jc w:val="left"/>
            </w:pPr>
            <w:r>
              <w:t xml:space="preserve">[6][8]</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427,82 USD frente a una media de ~532 USD, plana (536 hace un mes).</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−38,0 % desde el 13-abr, frente a +13,3 % del S&amp;P 500.</w:t>
            </w:r>
          </w:p>
        </w:tc>
        <w:tc>
          <w:tcPr/>
          <w:p>
            <w:pPr>
              <w:pStyle w:val="Compact"/>
              <w:jc w:val="left"/>
            </w:pPr>
            <w:r>
              <w:t xml:space="preserve">[4][5]</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EV/EBITDA de ~19,7x frente a ~17,1x en el mínimo del 15-sep: +15 %, por debajo del +20 %.</w:t>
            </w:r>
          </w:p>
        </w:tc>
        <w:tc>
          <w:tcPr/>
          <w:p>
            <w:pPr>
              <w:pStyle w:val="Compact"/>
              <w:jc w:val="left"/>
            </w:pPr>
            <w:r>
              <w:t xml:space="preserve">[4][13]</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Margen operativo ajustado del 10,9 %, el mayor en tres años, pero solo ~1 punto mejor; la señal pide 5 puntos. El FCF empeora.</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−19 % el 18-ago, rebote en septiembre y −20 % del 9 al 14-oct. Los analistas siguen alcistas (objetivo medio de 734 USD), pero la prensa duda por Nvidia y la caja.</w:t>
            </w:r>
          </w:p>
        </w:tc>
        <w:tc>
          <w:tcPr/>
          <w:p>
            <w:pPr>
              <w:pStyle w:val="Compact"/>
              <w:jc w:val="left"/>
            </w:pPr>
            <w:r>
              <w:t xml:space="preserve">[7][8][9]</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en 12 meses: solo ventas pequeñas y retenciones fiscales. La opción de Amazon es de marzo de 2025.</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1T FY27 hacia el 16-nov, entrada en producción del Building 10 (capacidad para pasar de 5.300 a ~9.000 M anuales) y nuevos programas de transceptores para vendedores independientes.</w:t>
            </w:r>
          </w:p>
        </w:tc>
        <w:tc>
          <w:tcPr/>
          <w:p>
            <w:pPr>
              <w:pStyle w:val="Compact"/>
              <w:jc w:val="left"/>
            </w:pPr>
            <w:r>
              <w:t xml:space="preserve">[3]</w:t>
            </w:r>
          </w:p>
        </w:tc>
      </w:tr>
    </w:tbl>
    <w:p>
      <w:pPr>
        <w:pStyle w:val="BodyText"/>
      </w:pPr>
      <w:r>
        <w:rPr>
          <w:bCs/>
          <w:b/>
        </w:rPr>
        <w:t xml:space="preserve">Euforia: no.</w:t>
      </w:r>
      <w:r>
        <w:t xml:space="preserve"> </w:t>
      </w:r>
      <w:r>
        <w:t xml:space="preserve">Sube un 11,8 % en 12 meses (de 382,60 a 427,82 USD) con un EV/beneficio bruto de 20,1x, lejos del veto (150 % con más de 20x). La euforia fue en primavera: +80 % entre noviembre de 2025 (unos 413 USD) y mayo de 2026 (746 USD), con el EV/EBITDA a ~37 veces. En seis meses ha caído un 38 %.</w:t>
      </w:r>
    </w:p>
    <w:bookmarkEnd w:id="25"/>
    <w:bookmarkStart w:id="26"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w:t>
      </w:r>
      <w:r>
        <w:t xml:space="preserve"> </w:t>
      </w:r>
      <w:r>
        <w:rPr>
          <w:bCs/>
          <w:b/>
        </w:rPr>
        <w:t xml:space="preserve">12,0 %</w:t>
      </w:r>
      <w:r>
        <w:t xml:space="preserve"> </w:t>
      </w:r>
      <w:r>
        <w:t xml:space="preserve">(FY26). Es el de un fabricante: en el método puntúa 0 de 5. Por eso el límite que pesa no es el EV/beneficio bruto (20,1x, holgado frente al tope de 35), sino el múltiplo de EBITDA.</w:t>
      </w:r>
    </w:p>
    <w:p>
      <w:pPr>
        <w:numPr>
          <w:ilvl w:val="0"/>
          <w:numId w:val="1004"/>
        </w:numPr>
        <w:pStyle w:val="Compact"/>
      </w:pPr>
      <w:r>
        <w:rPr>
          <w:bCs/>
          <w:b/>
        </w:rPr>
        <w:t xml:space="preserve">Margen operativo</w:t>
      </w:r>
      <w:r>
        <w:t xml:space="preserve">: 10,0 % contable y 10,9 % ajustado en el 4T, mejor que Celestica (8,2 %). Los gastos generales son solo el 2 % de las ventas.</w:t>
      </w:r>
    </w:p>
    <w:p>
      <w:pPr>
        <w:numPr>
          <w:ilvl w:val="0"/>
          <w:numId w:val="1004"/>
        </w:numPr>
        <w:pStyle w:val="Compact"/>
      </w:pPr>
      <w:r>
        <w:rPr>
          <w:bCs/>
          <w:b/>
        </w:rPr>
        <w:t xml:space="preserve">EBITDA ajustado</w:t>
      </w:r>
      <w:r>
        <w:t xml:space="preserve"> </w:t>
      </w:r>
      <w:r>
        <w:t xml:space="preserve">de los últimos 12 meses: ~565 M USD (12,2 % de las ventas) [13].</w:t>
      </w:r>
    </w:p>
    <w:p>
      <w:pPr>
        <w:numPr>
          <w:ilvl w:val="0"/>
          <w:numId w:val="1004"/>
        </w:numPr>
        <w:pStyle w:val="Compact"/>
      </w:pPr>
      <w:r>
        <w:rPr>
          <w:bCs/>
          <w:b/>
        </w:rPr>
        <w:t xml:space="preserve">FCF</w:t>
      </w:r>
      <w:r>
        <w:t xml:space="preserve">:</w:t>
      </w:r>
      <w:r>
        <w:t xml:space="preserve"> </w:t>
      </w:r>
      <w:r>
        <w:rPr>
          <w:bCs/>
          <w:b/>
        </w:rPr>
        <w:t xml:space="preserve">4 M USD en el FY26</w:t>
      </w:r>
      <w:r>
        <w:t xml:space="preserve"> </w:t>
      </w:r>
      <w:r>
        <w:t xml:space="preserve">(0,1 % de las ventas), frente a 207 M en el FY25 y 366 M en el FY24. Los motivos: inversiones de 252,5 M (cinco veces las del FY24) para el Building 10, Pathum Thani y Santa Clara, y unas existencias que casi se duplican (de 581 a 1.020 M) para los nuevos programas [2][3]. Las inversiones subirán en el FY27. Es FCF positivo, pero no creciente.</w:t>
      </w:r>
    </w:p>
    <w:p>
      <w:pPr>
        <w:numPr>
          <w:ilvl w:val="0"/>
          <w:numId w:val="1004"/>
        </w:numPr>
        <w:pStyle w:val="Compact"/>
      </w:pPr>
      <w:r>
        <w:rPr>
          <w:bCs/>
          <w:b/>
        </w:rPr>
        <w:t xml:space="preserve">Regla del 40</w:t>
      </w:r>
      <w:r>
        <w:t xml:space="preserve">: 35,7 + 0,1 =</w:t>
      </w:r>
      <w:r>
        <w:t xml:space="preserve"> </w:t>
      </w:r>
      <w:r>
        <w:rPr>
          <w:bCs/>
          <w:b/>
        </w:rPr>
        <w:t xml:space="preserve">35,8</w:t>
      </w:r>
      <w:r>
        <w:t xml:space="preserve">.</w:t>
      </w:r>
    </w:p>
    <w:p>
      <w:pPr>
        <w:numPr>
          <w:ilvl w:val="0"/>
          <w:numId w:val="1004"/>
        </w:numPr>
        <w:pStyle w:val="Compact"/>
      </w:pPr>
      <w:r>
        <w:rPr>
          <w:bCs/>
          <w:b/>
        </w:rPr>
        <w:t xml:space="preserve">Impuestos</w:t>
      </w:r>
      <w:r>
        <w:t xml:space="preserve">: Tailandia aplica desde el FY26 el impuesto mínimo global del 15 %. El tipo efectivo pasa del 6,4 % al 14,8 %. El BPA ajustado de la empresa excluye ese impuesto, así que</w:t>
      </w:r>
      <w:r>
        <w:t xml:space="preserve"> </w:t>
      </w:r>
      <w:r>
        <w:rPr>
          <w:bCs/>
          <w:b/>
        </w:rPr>
        <w:t xml:space="preserve">el beneficio «ajustado» exagera en torno a un 10 % el beneficio recurrente</w:t>
      </w:r>
      <w:r>
        <w:t xml:space="preserve">. Es otra razón para valorar por EBITDA, que va antes de impuestos.</w:t>
      </w:r>
    </w:p>
    <w:bookmarkEnd w:id="26"/>
    <w:bookmarkStart w:id="27" w:name="caja-deuda-y-dilución"/>
    <w:p>
      <w:pPr>
        <w:pStyle w:val="Heading2"/>
      </w:pPr>
      <w:r>
        <w:t xml:space="preserve">7. Caja, deuda y dilución</w:t>
      </w:r>
    </w:p>
    <w:p>
      <w:pPr>
        <w:numPr>
          <w:ilvl w:val="0"/>
          <w:numId w:val="1005"/>
        </w:numPr>
        <w:pStyle w:val="Compact"/>
      </w:pPr>
      <w:r>
        <w:rPr>
          <w:bCs/>
          <w:b/>
        </w:rPr>
        <w:t xml:space="preserve">Caja e inversiones a corto</w:t>
      </w:r>
      <w:r>
        <w:t xml:space="preserve">:</w:t>
      </w:r>
      <w:r>
        <w:t xml:space="preserve"> </w:t>
      </w:r>
      <w:r>
        <w:rPr>
          <w:bCs/>
          <w:b/>
        </w:rPr>
        <w:t xml:space="preserve">875,1 M USD</w:t>
      </w:r>
      <w:r>
        <w:t xml:space="preserve"> </w:t>
      </w:r>
      <w:r>
        <w:t xml:space="preserve">a 26-jun, sin deuda. El 17-ago pidió un préstamo de 2.500 M de bahts (</w:t>
      </w:r>
      <w:r>
        <w:rPr>
          <w:bCs/>
          <w:b/>
        </w:rPr>
        <w:t xml:space="preserve">~75 M USD</w:t>
      </w:r>
      <w:r>
        <w:t xml:space="preserve">) al Bank of Ayudhya para financiar inversiones, y amplió la línea a ~178 M [11]. Caja neta de ~800 M.</w:t>
      </w:r>
    </w:p>
    <w:p>
      <w:pPr>
        <w:numPr>
          <w:ilvl w:val="0"/>
          <w:numId w:val="1005"/>
        </w:numPr>
        <w:pStyle w:val="Compact"/>
      </w:pPr>
      <w:r>
        <w:rPr>
          <w:bCs/>
          <w:b/>
        </w:rPr>
        <w:t xml:space="preserve">Pista</w:t>
      </w:r>
      <w:r>
        <w:t xml:space="preserve">: el FCF es positivo; no quema caja.</w:t>
      </w:r>
    </w:p>
    <w:p>
      <w:pPr>
        <w:numPr>
          <w:ilvl w:val="0"/>
          <w:numId w:val="1005"/>
        </w:numPr>
        <w:pStyle w:val="Compact"/>
      </w:pPr>
      <w:r>
        <w:rPr>
          <w:bCs/>
          <w:b/>
        </w:rPr>
        <w:t xml:space="preserve">Dilución</w:t>
      </w:r>
      <w:r>
        <w:t xml:space="preserve">:</w:t>
      </w:r>
      <w:r>
        <w:t xml:space="preserve"> </w:t>
      </w:r>
      <w:r>
        <w:rPr>
          <w:bCs/>
          <w:b/>
        </w:rPr>
        <w:t xml:space="preserve">+0,9 % en 12 meses</w:t>
      </w:r>
      <w:r>
        <w:t xml:space="preserve"> </w:t>
      </w:r>
      <w:r>
        <w:t xml:space="preserve">(36,03 a 36,37 M de acciones diluidas, del 4T FY25 al 4T FY26). La opción de Amazon añadiría como mucho un 1 %, solo si Amazon compra mucho. Recompras casi paradas (5,2 M USD en el FY26; quedan 169 M autorizados) [2].</w:t>
      </w:r>
    </w:p>
    <w:p>
      <w:pPr>
        <w:numPr>
          <w:ilvl w:val="0"/>
          <w:numId w:val="1005"/>
        </w:numPr>
        <w:pStyle w:val="Compact"/>
      </w:pPr>
      <w:r>
        <w:rPr>
          <w:bCs/>
          <w:b/>
        </w:rPr>
        <w:t xml:space="preserve">Pagos en acciones</w:t>
      </w:r>
      <w:r>
        <w:t xml:space="preserve">: 34,6 M USD,</w:t>
      </w:r>
      <w:r>
        <w:t xml:space="preserve"> </w:t>
      </w:r>
      <w:r>
        <w:rPr>
          <w:bCs/>
          <w:b/>
        </w:rPr>
        <w:t xml:space="preserve">0,7 % de las ventas</w:t>
      </w:r>
      <w:r>
        <w:t xml:space="preserve">. Irrelevantes.</w:t>
      </w:r>
    </w:p>
    <w:bookmarkEnd w:id="27"/>
    <w:bookmarkStart w:id="28" w:name="dirección-y-ejecución"/>
    <w:p>
      <w:pPr>
        <w:pStyle w:val="Heading2"/>
      </w:pPr>
      <w:r>
        <w:t xml:space="preserve">8. Dirección y ejecución</w:t>
      </w:r>
    </w:p>
    <w:p>
      <w:pPr>
        <w:numPr>
          <w:ilvl w:val="0"/>
          <w:numId w:val="1006"/>
        </w:numPr>
        <w:pStyle w:val="Compact"/>
      </w:pPr>
      <w:r>
        <w:rPr>
          <w:bCs/>
          <w:b/>
        </w:rPr>
        <w:t xml:space="preserve">Historial (4/5)</w:t>
      </w:r>
      <w:r>
        <w:t xml:space="preserve">: en el 4T FY26 superó la parte alta de la guía en ventas y BPA. Suele cumplir la guía, aunque en el FY25 tuvo tropiezos con el negocio de Nvidia (retrasos de la transición a 1,6T y falta de componentes). No he comprobado los ocho trimestres uno a uno: por eso 4 y no 5.</w:t>
      </w:r>
    </w:p>
    <w:p>
      <w:pPr>
        <w:numPr>
          <w:ilvl w:val="0"/>
          <w:numId w:val="1006"/>
        </w:numPr>
        <w:pStyle w:val="Compact"/>
      </w:pPr>
      <w:r>
        <w:rPr>
          <w:bCs/>
          <w:b/>
        </w:rPr>
        <w:t xml:space="preserve">Dirección (3/5)</w:t>
      </w:r>
      <w:r>
        <w:t xml:space="preserve">: Seamus Grady es consejero delegado desde 2017 (de memoria). La gestión de capital es prudente: sin deuda, recompras en las caídas y fábricas pagadas con la caja. Le restan la baja participación de los directivos (~0,25 %), sus ventas pequeñas pero constantes y que el bonus se ligue a ventas y margen ajustado, no a la caja [10][11].</w:t>
      </w:r>
    </w:p>
    <w:bookmarkEnd w:id="28"/>
    <w:bookmarkStart w:id="30" w:name="valoración"/>
    <w:p>
      <w:pPr>
        <w:pStyle w:val="Heading2"/>
      </w:pPr>
      <w:r>
        <w:t xml:space="preserve">9. Valoración</w:t>
      </w:r>
    </w:p>
    <w:p>
      <w:pPr>
        <w:pStyle w:val="FirstParagraph"/>
      </w:pPr>
      <w:r>
        <w:rPr>
          <w:bCs/>
          <w:b/>
        </w:rPr>
        <w:t xml:space="preserve">Ejercicio objetivo</w:t>
      </w:r>
      <w:r>
        <w:t xml:space="preserve">: el FY28 (12 meses a junio de 2028), dos años después de los 12 meses a junio de 2026.</w:t>
      </w:r>
      <w:r>
        <w:t xml:space="preserve"> </w:t>
      </w:r>
      <w:r>
        <w:rPr>
          <w:bCs/>
          <w:b/>
        </w:rPr>
        <w:t xml:space="preserve">Métrica</w:t>
      </w:r>
      <w:r>
        <w:t xml:space="preserve">: EV/EBITDA de los 12 meses siguientes, porque Fabrinet es rentable de forma estable (beneficios todos los años desde su salida a bolsa en 2010). El EV/ventas trataría igual a un fabricante con un 12 % de margen bruto que a un programa de software. El PER se usa como contraste, porque el BPA ajustado excluye el impuesto mínimo global.</w:t>
      </w:r>
    </w:p>
    <w:p>
      <w:pPr>
        <w:numPr>
          <w:ilvl w:val="0"/>
          <w:numId w:val="1007"/>
        </w:numPr>
        <w:pStyle w:val="Compact"/>
      </w:pPr>
      <w:r>
        <w:rPr>
          <w:bCs/>
          <w:b/>
        </w:rPr>
        <w:t xml:space="preserve">EV de hoy</w:t>
      </w:r>
      <w:r>
        <w:t xml:space="preserve">: 427,82 × 36,3 + 75 − 875,1 =</w:t>
      </w:r>
      <w:r>
        <w:t xml:space="preserve"> </w:t>
      </w:r>
      <w:r>
        <w:rPr>
          <w:bCs/>
          <w:b/>
        </w:rPr>
        <w:t xml:space="preserve">14.730 M USD</w:t>
      </w:r>
      <w:r>
        <w:t xml:space="preserve">.</w:t>
      </w:r>
    </w:p>
    <w:p>
      <w:pPr>
        <w:numPr>
          <w:ilvl w:val="0"/>
          <w:numId w:val="1007"/>
        </w:numPr>
        <w:pStyle w:val="Compact"/>
      </w:pPr>
      <w:r>
        <w:rPr>
          <w:bCs/>
          <w:b/>
        </w:rPr>
        <w:t xml:space="preserve">Ventas de los 12 meses siguientes</w:t>
      </w:r>
      <w:r>
        <w:t xml:space="preserve"> </w:t>
      </w:r>
      <w:r>
        <w:t xml:space="preserve">(FY27, el trimestre de julio a septiembre ya cerrado pero sin publicar):</w:t>
      </w:r>
      <w:r>
        <w:t xml:space="preserve"> </w:t>
      </w:r>
      <w:r>
        <w:rPr>
          <w:bCs/>
          <w:b/>
        </w:rPr>
        <w:t xml:space="preserve">6.100 M</w:t>
      </w:r>
      <w:r>
        <w:t xml:space="preserve"> </w:t>
      </w:r>
      <w:r>
        <w:t xml:space="preserve">(consenso, +31 %) [6].</w:t>
      </w:r>
      <w:r>
        <w:t xml:space="preserve"> </w:t>
      </w:r>
      <w:r>
        <w:rPr>
          <w:bCs/>
          <w:b/>
        </w:rPr>
        <w:t xml:space="preserve">EV/ventas 2,4x</w:t>
      </w:r>
      <w:r>
        <w:t xml:space="preserve">;</w:t>
      </w:r>
      <w:r>
        <w:t xml:space="preserve"> </w:t>
      </w:r>
      <w:r>
        <w:rPr>
          <w:bCs/>
          <w:b/>
        </w:rPr>
        <w:t xml:space="preserve">EV/EBITDA ~19,7x</w:t>
      </w:r>
      <w:r>
        <w:t xml:space="preserve"> </w:t>
      </w:r>
      <w:r>
        <w:t xml:space="preserve">(EBITDA de ~745 M = 6.100 × 12,2 %);</w:t>
      </w:r>
      <w:r>
        <w:t xml:space="preserve"> </w:t>
      </w:r>
      <w:r>
        <w:rPr>
          <w:bCs/>
          <w:b/>
        </w:rPr>
        <w:t xml:space="preserve">EV/beneficio bruto 20,1x</w:t>
      </w:r>
      <w:r>
        <w:t xml:space="preserve">;</w:t>
      </w:r>
      <w:r>
        <w:t xml:space="preserve"> </w:t>
      </w:r>
      <w:r>
        <w:rPr>
          <w:bCs/>
          <w:b/>
        </w:rPr>
        <w:t xml:space="preserve">PER ajustado 23,5x</w:t>
      </w:r>
      <w:r>
        <w:t xml:space="preserve"> </w:t>
      </w:r>
      <w:r>
        <w:t xml:space="preserve">(BPA de consenso de 18,20 USD), unas 26 veces si se descuenta el impuesto mínimo.</w:t>
      </w:r>
    </w:p>
    <w:p>
      <w:pPr>
        <w:numPr>
          <w:ilvl w:val="0"/>
          <w:numId w:val="1007"/>
        </w:numPr>
        <w:pStyle w:val="Compact"/>
      </w:pPr>
      <w:r>
        <w:rPr>
          <w:bCs/>
          <w:b/>
        </w:rPr>
        <w:t xml:space="preserve">Mediana de 3 años: ~19,4x</w:t>
      </w:r>
      <w:r>
        <w:t xml:space="preserve">;</w:t>
      </w:r>
      <w:r>
        <w:t xml:space="preserve"> </w:t>
      </w:r>
      <w:r>
        <w:rPr>
          <w:bCs/>
          <w:b/>
        </w:rPr>
        <w:t xml:space="preserve">mínimo ~11,2x</w:t>
      </w:r>
      <w:r>
        <w:t xml:space="preserve"> </w:t>
      </w:r>
      <w:r>
        <w:t xml:space="preserve">(abril de 2025); máximo ~38x (abril de 2026). Son estimaciones propias con el EBITDA real de los 12 meses siguientes, no con el consenso de cada momento [13].</w:t>
      </w:r>
    </w:p>
    <w:p>
      <w:pPr>
        <w:numPr>
          <w:ilvl w:val="0"/>
          <w:numId w:val="1007"/>
        </w:numPr>
        <w:pStyle w:val="Compact"/>
      </w:pPr>
      <w:r>
        <w:rPr>
          <w:bCs/>
          <w:b/>
        </w:rPr>
        <w:t xml:space="preserve">Comparables: ~14x</w:t>
      </w:r>
      <w:r>
        <w:t xml:space="preserve"> </w:t>
      </w:r>
      <w:r>
        <w:t xml:space="preserve">(Celestica 16,5x, Jabil ~12x, Flex ~16x, Sanmina ~11x; aproximados). Fabrinet cotiza con prima por crecer más y tener más margen.</w:t>
      </w:r>
    </w:p>
    <w:p>
      <w:pPr>
        <w:numPr>
          <w:ilvl w:val="0"/>
          <w:numId w:val="1007"/>
        </w:numPr>
        <w:pStyle w:val="Compact"/>
      </w:pPr>
      <w:r>
        <w:rPr>
          <w:bCs/>
          <w:b/>
        </w:rPr>
        <w:t xml:space="preserve">Desaceleración</w:t>
      </w:r>
      <w:r>
        <w:t xml:space="preserve">: del 31,4 % de los 12 meses siguientes al 21,3 % del año objetivo (7.400 frente a 6.100 M) → factor de 0,82.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FY28 (M USD)</w:t>
            </w:r>
          </w:p>
        </w:tc>
        <w:tc>
          <w:tcPr/>
          <w:p>
            <w:pPr>
              <w:pStyle w:val="Compact"/>
              <w:jc w:val="left"/>
            </w:pPr>
            <w:r>
              <w:t xml:space="preserve">Supuesto</w:t>
            </w:r>
          </w:p>
        </w:tc>
        <w:tc>
          <w:tcPr/>
          <w:p>
            <w:pPr>
              <w:pStyle w:val="Compact"/>
              <w:jc w:val="left"/>
            </w:pPr>
            <w:r>
              <w:t xml:space="preserve">Múltiplo EV/EBITDA</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6.000</w:t>
            </w:r>
          </w:p>
        </w:tc>
        <w:tc>
          <w:tcPr/>
          <w:p>
            <w:pPr>
              <w:pStyle w:val="Compact"/>
              <w:jc w:val="left"/>
            </w:pPr>
            <w:r>
              <w:t xml:space="preserve">Ciclo de IA que se frena o Nvidia que sigue bajando: +14 % al año (la mecánica daba 6.191)</w:t>
            </w:r>
          </w:p>
        </w:tc>
        <w:tc>
          <w:tcPr/>
          <w:p>
            <w:pPr>
              <w:pStyle w:val="Compact"/>
              <w:jc w:val="left"/>
            </w:pPr>
            <w:r>
              <w:t xml:space="preserve">9,7x</w:t>
            </w:r>
          </w:p>
        </w:tc>
        <w:tc>
          <w:tcPr/>
          <w:p>
            <w:pPr>
              <w:pStyle w:val="Compact"/>
              <w:jc w:val="left"/>
            </w:pPr>
            <w:r>
              <w:t xml:space="preserve">217,4</w:t>
            </w:r>
          </w:p>
        </w:tc>
        <w:tc>
          <w:tcPr/>
          <w:p>
            <w:pPr>
              <w:pStyle w:val="Compact"/>
              <w:jc w:val="left"/>
            </w:pPr>
            <w:r>
              <w:t xml:space="preserve">−49,2 %</w:t>
            </w:r>
          </w:p>
        </w:tc>
      </w:tr>
      <w:tr>
        <w:tc>
          <w:tcPr/>
          <w:p>
            <w:pPr>
              <w:pStyle w:val="Compact"/>
              <w:jc w:val="left"/>
            </w:pPr>
            <w:r>
              <w:t xml:space="preserve">Base (50 %)</w:t>
            </w:r>
          </w:p>
        </w:tc>
        <w:tc>
          <w:tcPr/>
          <w:p>
            <w:pPr>
              <w:pStyle w:val="Compact"/>
              <w:jc w:val="left"/>
            </w:pPr>
            <w:r>
              <w:t xml:space="preserve">7.400</w:t>
            </w:r>
          </w:p>
        </w:tc>
        <w:tc>
          <w:tcPr/>
          <w:p>
            <w:pPr>
              <w:pStyle w:val="Compact"/>
              <w:jc w:val="left"/>
            </w:pPr>
            <w:r>
              <w:t xml:space="preserve">Cerca del consenso, 7.310 (la mecánica daba 7.963)</w:t>
            </w:r>
          </w:p>
        </w:tc>
        <w:tc>
          <w:tcPr/>
          <w:p>
            <w:pPr>
              <w:pStyle w:val="Compact"/>
              <w:jc w:val="left"/>
            </w:pPr>
            <w:r>
              <w:t xml:space="preserve">16,2x</w:t>
            </w:r>
          </w:p>
        </w:tc>
        <w:tc>
          <w:tcPr/>
          <w:p>
            <w:pPr>
              <w:pStyle w:val="Compact"/>
              <w:jc w:val="left"/>
            </w:pPr>
            <w:r>
              <w:t xml:space="preserve">423,8</w:t>
            </w:r>
          </w:p>
        </w:tc>
        <w:tc>
          <w:tcPr/>
          <w:p>
            <w:pPr>
              <w:pStyle w:val="Compact"/>
              <w:jc w:val="left"/>
            </w:pPr>
            <w:r>
              <w:t xml:space="preserve">−0,9 %</w:t>
            </w:r>
          </w:p>
        </w:tc>
      </w:tr>
      <w:tr>
        <w:tc>
          <w:tcPr/>
          <w:p>
            <w:pPr>
              <w:pStyle w:val="Compact"/>
              <w:jc w:val="left"/>
            </w:pPr>
            <w:r>
              <w:t xml:space="preserve">Alcista (25 %)</w:t>
            </w:r>
          </w:p>
        </w:tc>
        <w:tc>
          <w:tcPr/>
          <w:p>
            <w:pPr>
              <w:pStyle w:val="Compact"/>
              <w:jc w:val="left"/>
            </w:pPr>
            <w:r>
              <w:t xml:space="preserve">8.600</w:t>
            </w:r>
          </w:p>
        </w:tc>
        <w:tc>
          <w:tcPr/>
          <w:p>
            <w:pPr>
              <w:pStyle w:val="Compact"/>
              <w:jc w:val="left"/>
            </w:pPr>
            <w:r>
              <w:t xml:space="preserve">El Building 10 se llena y entran los nuevos programas (la mecánica daba 8.734)</w:t>
            </w:r>
          </w:p>
        </w:tc>
        <w:tc>
          <w:tcPr/>
          <w:p>
            <w:pPr>
              <w:pStyle w:val="Compact"/>
              <w:jc w:val="left"/>
            </w:pPr>
            <w:r>
              <w:t xml:space="preserve">21,1x</w:t>
            </w:r>
          </w:p>
        </w:tc>
        <w:tc>
          <w:tcPr/>
          <w:p>
            <w:pPr>
              <w:pStyle w:val="Compact"/>
              <w:jc w:val="left"/>
            </w:pPr>
            <w:r>
              <w:t xml:space="preserve">629,1</w:t>
            </w:r>
          </w:p>
        </w:tc>
        <w:tc>
          <w:tcPr/>
          <w:p>
            <w:pPr>
              <w:pStyle w:val="Compact"/>
              <w:jc w:val="left"/>
            </w:pPr>
            <w:r>
              <w:t xml:space="preserve">+47,0 %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423,5</w:t>
            </w:r>
          </w:p>
        </w:tc>
        <w:tc>
          <w:tcPr/>
          <w:p>
            <w:pPr>
              <w:pStyle w:val="Compact"/>
              <w:jc w:val="left"/>
            </w:pPr>
            <w:r>
              <w:rPr>
                <w:bCs/>
                <w:b/>
              </w:rPr>
              <w:t xml:space="preserve">−1,0 %</w:t>
            </w:r>
          </w:p>
        </w:tc>
      </w:tr>
    </w:tbl>
    <w:p>
      <w:pPr>
        <w:pStyle w:val="BodyText"/>
      </w:pPr>
      <w:r>
        <w:t xml:space="preserve">Sin dividendo. Acciones dentro de 12 meses: 36,6 M.</w:t>
      </w:r>
      <w:r>
        <w:t xml:space="preserve"> </w:t>
      </w:r>
      <w:r>
        <w:rPr>
          <w:bCs/>
          <w:b/>
        </w:rPr>
        <w:t xml:space="preserve">Asimetría</w:t>
      </w:r>
      <w:r>
        <w:t xml:space="preserve">: 1,0.</w:t>
      </w:r>
      <w:r>
        <w:t xml:space="preserve"> </w:t>
      </w:r>
      <w:r>
        <w:rPr>
          <w:bCs/>
          <w:b/>
        </w:rPr>
        <w:t xml:space="preserve">Precio máximo de compra: 403,4 USD</w:t>
      </w:r>
      <w:r>
        <w:t xml:space="preserve">, que lo fija la condición de ponderada ≥ 5 % y base ≥ 0. El tope de 35 veces el beneficio bruto queda muy por encima.</w:t>
      </w:r>
    </w:p>
    <w:p>
      <w:pPr>
        <w:pStyle w:val="BodyText"/>
      </w:pPr>
      <w:r>
        <w:rPr>
          <w:bCs/>
          <w:b/>
        </w:rPr>
        <w:t xml:space="preserve">Consenso</w:t>
      </w:r>
      <w:r>
        <w:t xml:space="preserve">: ventas del FY28 de 7.310 M (el base del informe está un 1 % por encima) y precio objetivo medio de 734 USD (9 analistas, de 598 a 850) [6]. Los analistas aplican múltiplos de la primavera.</w:t>
      </w:r>
    </w:p>
    <w:p>
      <w:pPr>
        <w:pStyle w:val="BodyText"/>
      </w:pPr>
      <w:r>
        <w:rPr>
          <w:bCs/>
          <w:b/>
        </w:rPr>
        <w:t xml:space="preserve">DCF inverso</w:t>
      </w:r>
      <w:r>
        <w:t xml:space="preserve">: con un FCF normalizado de ~460 M (beneficio ajustado después del impuesto mínimo; el real de hoy está deprimido por las inversiones), un coste del capital del 9 % y un 3 % de crecimiento final, el precio de hoy descuenta un</w:t>
      </w:r>
      <w:r>
        <w:t xml:space="preserve"> </w:t>
      </w:r>
      <w:r>
        <w:rPr>
          <w:bCs/>
          <w:b/>
        </w:rPr>
        <w:t xml:space="preserve">~11 % anual durante 10 años</w:t>
      </w:r>
      <w:r>
        <w:t xml:space="preserve">. Es exigente para un fabricante, pero posible si la óptica de IA sigue creciendo.</w:t>
      </w:r>
    </w:p>
    <w:p>
      <w:pPr>
        <w:pStyle w:val="BodyText"/>
      </w:pPr>
      <w:r>
        <w:rPr>
          <w:bCs/>
          <w:b/>
        </w:rPr>
        <w:t xml:space="preserve">Contraste y sensibilidad</w:t>
      </w:r>
      <w:r>
        <w:t xml:space="preserve"> </w:t>
      </w:r>
      <w:r>
        <w:t xml:space="preserve">(mismo código, sin cambiarlo):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Variante</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rPr>
                <w:bCs/>
                <w:b/>
              </w:rPr>
              <w:t xml:space="preserve">v11 vigente (la que manda)</w:t>
            </w:r>
          </w:p>
        </w:tc>
        <w:tc>
          <w:tcPr/>
          <w:p>
            <w:pPr>
              <w:pStyle w:val="Compact"/>
              <w:jc w:val="left"/>
            </w:pPr>
            <w:r>
              <w:t xml:space="preserve">−1,0 %</w:t>
            </w:r>
          </w:p>
        </w:tc>
        <w:tc>
          <w:tcPr/>
          <w:p>
            <w:pPr>
              <w:pStyle w:val="Compact"/>
              <w:jc w:val="left"/>
            </w:pPr>
            <w:r>
              <w:t xml:space="preserve">−0,9 %</w:t>
            </w:r>
          </w:p>
        </w:tc>
        <w:tc>
          <w:tcPr/>
          <w:p>
            <w:pPr>
              <w:pStyle w:val="Compact"/>
              <w:jc w:val="left"/>
            </w:pPr>
            <w:r>
              <w:t xml:space="preserve">−49,2 %</w:t>
            </w:r>
          </w:p>
        </w:tc>
        <w:tc>
          <w:tcPr/>
          <w:p>
            <w:pPr>
              <w:pStyle w:val="Compact"/>
              <w:jc w:val="left"/>
            </w:pPr>
            <w:r>
              <w:t xml:space="preserve">Mantener</w:t>
            </w:r>
          </w:p>
        </w:tc>
        <w:tc>
          <w:tcPr/>
          <w:p>
            <w:pPr>
              <w:pStyle w:val="Compact"/>
              <w:jc w:val="left"/>
            </w:pPr>
            <w:r>
              <w:t xml:space="preserve">403,4</w:t>
            </w:r>
          </w:p>
        </w:tc>
      </w:tr>
      <w:tr>
        <w:tc>
          <w:tcPr/>
          <w:p>
            <w:pPr>
              <w:pStyle w:val="Compact"/>
              <w:jc w:val="left"/>
            </w:pPr>
            <w:r>
              <w:t xml:space="preserve">v9 (referencia: ventas mecánicas)</w:t>
            </w:r>
          </w:p>
        </w:tc>
        <w:tc>
          <w:tcPr/>
          <w:p>
            <w:pPr>
              <w:pStyle w:val="Compact"/>
              <w:jc w:val="left"/>
            </w:pPr>
            <w:r>
              <w:t xml:space="preserve">+3,5 %</w:t>
            </w:r>
          </w:p>
        </w:tc>
        <w:tc>
          <w:tcPr/>
          <w:p>
            <w:pPr>
              <w:pStyle w:val="Compact"/>
              <w:jc w:val="left"/>
            </w:pPr>
            <w:r>
              <w:t xml:space="preserve">+6,2 %</w:t>
            </w:r>
          </w:p>
        </w:tc>
        <w:tc>
          <w:tcPr/>
          <w:p>
            <w:pPr>
              <w:pStyle w:val="Compact"/>
              <w:jc w:val="left"/>
            </w:pPr>
            <w:r>
              <w:t xml:space="preserve">−47,7 %</w:t>
            </w:r>
          </w:p>
        </w:tc>
        <w:tc>
          <w:tcPr/>
          <w:p>
            <w:pPr>
              <w:pStyle w:val="Compact"/>
              <w:jc w:val="left"/>
            </w:pPr>
            <w:r>
              <w:t xml:space="preserve">Mantener</w:t>
            </w:r>
          </w:p>
        </w:tc>
        <w:tc>
          <w:tcPr/>
          <w:p>
            <w:pPr>
              <w:pStyle w:val="Compact"/>
              <w:jc w:val="left"/>
            </w:pPr>
            <w:r>
              <w:t xml:space="preserve">421,6</w:t>
            </w:r>
          </w:p>
        </w:tc>
      </w:tr>
      <w:tr>
        <w:tc>
          <w:tcPr/>
          <w:p>
            <w:pPr>
              <w:pStyle w:val="Compact"/>
              <w:jc w:val="left"/>
            </w:pPr>
            <w:r>
              <w:t xml:space="preserve">v14 (candidata: dilución prevista del 1 %; sin producto dominante ni decisión regulatoria)</w:t>
            </w:r>
          </w:p>
        </w:tc>
        <w:tc>
          <w:tcPr/>
          <w:p>
            <w:pPr>
              <w:pStyle w:val="Compact"/>
              <w:jc w:val="left"/>
            </w:pPr>
            <w:r>
              <w:t xml:space="preserve">−1,1 %</w:t>
            </w:r>
          </w:p>
        </w:tc>
        <w:tc>
          <w:tcPr/>
          <w:p>
            <w:pPr>
              <w:pStyle w:val="Compact"/>
              <w:jc w:val="left"/>
            </w:pPr>
            <w:r>
              <w:t xml:space="preserve">−1,0 %</w:t>
            </w:r>
          </w:p>
        </w:tc>
        <w:tc>
          <w:tcPr/>
          <w:p>
            <w:pPr>
              <w:pStyle w:val="Compact"/>
              <w:jc w:val="left"/>
            </w:pPr>
            <w:r>
              <w:t xml:space="preserve">−49,2 %</w:t>
            </w:r>
          </w:p>
        </w:tc>
        <w:tc>
          <w:tcPr/>
          <w:p>
            <w:pPr>
              <w:pStyle w:val="Compact"/>
              <w:jc w:val="left"/>
            </w:pPr>
            <w:r>
              <w:t xml:space="preserve">Mantener</w:t>
            </w:r>
          </w:p>
        </w:tc>
        <w:tc>
          <w:tcPr/>
          <w:p>
            <w:pPr>
              <w:pStyle w:val="Compact"/>
              <w:jc w:val="left"/>
            </w:pPr>
            <w:r>
              <w:t xml:space="preserve">402,9</w:t>
            </w:r>
          </w:p>
        </w:tc>
      </w:tr>
      <w:tr>
        <w:tc>
          <w:tcPr/>
          <w:p>
            <w:pPr>
              <w:pStyle w:val="Compact"/>
              <w:jc w:val="left"/>
            </w:pPr>
            <w:r>
              <w:t xml:space="preserve">Probabilidades 35/50/15 (robustez)</w:t>
            </w:r>
          </w:p>
        </w:tc>
        <w:tc>
          <w:tcPr/>
          <w:p>
            <w:pPr>
              <w:pStyle w:val="Compact"/>
              <w:jc w:val="left"/>
            </w:pPr>
            <w:r>
              <w:t xml:space="preserve">−10,6 %</w:t>
            </w:r>
          </w:p>
        </w:tc>
        <w:tc>
          <w:tcPr/>
          <w:p>
            <w:pPr>
              <w:pStyle w:val="Compact"/>
              <w:jc w:val="left"/>
            </w:pPr>
            <w:r>
              <w:t xml:space="preserve">−0,9 %</w:t>
            </w:r>
          </w:p>
        </w:tc>
        <w:tc>
          <w:tcPr/>
          <w:p>
            <w:pPr>
              <w:pStyle w:val="Compact"/>
              <w:jc w:val="left"/>
            </w:pPr>
            <w:r>
              <w:t xml:space="preserve">—</w:t>
            </w:r>
          </w:p>
        </w:tc>
        <w:tc>
          <w:tcPr/>
          <w:p>
            <w:pPr>
              <w:pStyle w:val="Compact"/>
              <w:jc w:val="left"/>
            </w:pPr>
            <w:r>
              <w:t xml:space="preserve">Vender</w:t>
            </w:r>
          </w:p>
        </w:tc>
        <w:tc>
          <w:tcPr/>
          <w:p>
            <w:pPr>
              <w:pStyle w:val="Compact"/>
              <w:jc w:val="left"/>
            </w:pPr>
            <w:r>
              <w:t xml:space="preserve">—</w:t>
            </w:r>
          </w:p>
        </w:tc>
      </w:tr>
      <w:tr>
        <w:tc>
          <w:tcPr/>
          <w:p>
            <w:pPr>
              <w:pStyle w:val="Compact"/>
              <w:jc w:val="left"/>
            </w:pPr>
            <w:r>
              <w:t xml:space="preserve">Precio de hoy, 392,95 USD, con el objetivo fijo</w:t>
            </w:r>
          </w:p>
        </w:tc>
        <w:tc>
          <w:tcPr/>
          <w:p>
            <w:pPr>
              <w:pStyle w:val="Compact"/>
              <w:jc w:val="left"/>
            </w:pPr>
            <w:r>
              <w:rPr>
                <w:bCs/>
                <w:b/>
              </w:rPr>
              <w:t xml:space="preserve">+7,8 %</w:t>
            </w:r>
          </w:p>
        </w:tc>
        <w:tc>
          <w:tcPr/>
          <w:p>
            <w:pPr>
              <w:pStyle w:val="Compact"/>
              <w:jc w:val="left"/>
            </w:pPr>
            <w:r>
              <w:t xml:space="preserve">+7,9 %</w:t>
            </w:r>
          </w:p>
        </w:tc>
        <w:tc>
          <w:tcPr/>
          <w:p>
            <w:pPr>
              <w:pStyle w:val="Compact"/>
              <w:jc w:val="left"/>
            </w:pPr>
            <w:r>
              <w:t xml:space="preserve">−44,7 %</w:t>
            </w:r>
          </w:p>
        </w:tc>
        <w:tc>
          <w:tcPr/>
          <w:p>
            <w:pPr>
              <w:pStyle w:val="Compact"/>
              <w:jc w:val="left"/>
            </w:pPr>
            <w:r>
              <w:t xml:space="preserve">Mantener (puntuación &lt; 60)</w:t>
            </w:r>
          </w:p>
        </w:tc>
        <w:tc>
          <w:tcPr/>
          <w:p>
            <w:pPr>
              <w:pStyle w:val="Compact"/>
              <w:jc w:val="left"/>
            </w:pPr>
            <w:r>
              <w:t xml:space="preserve">403,4</w:t>
            </w:r>
          </w:p>
        </w:tc>
      </w:tr>
    </w:tbl>
    <w:bookmarkStart w:id="29" w:name="X60ceb978b1181eac7dd207ff8adb7dc16b2a686"/>
    <w:p>
      <w:pPr>
        <w:pStyle w:val="Heading3"/>
      </w:pPr>
      <w:r>
        <w:t xml:space="preserve">Comparación con Celestica (informe growth del 14-oct)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Fabrinet</w:t>
            </w:r>
          </w:p>
        </w:tc>
        <w:tc>
          <w:tcPr/>
          <w:p>
            <w:pPr>
              <w:pStyle w:val="Compact"/>
              <w:jc w:val="left"/>
            </w:pPr>
            <w:r>
              <w:t xml:space="preserve">Celestica</w:t>
            </w:r>
          </w:p>
        </w:tc>
      </w:tr>
      <w:tr>
        <w:tc>
          <w:tcPr/>
          <w:p>
            <w:pPr>
              <w:pStyle w:val="Compact"/>
              <w:jc w:val="left"/>
            </w:pPr>
            <w:r>
              <w:t xml:space="preserve">Qué hace</w:t>
            </w:r>
          </w:p>
        </w:tc>
        <w:tc>
          <w:tcPr/>
          <w:p>
            <w:pPr>
              <w:pStyle w:val="Compact"/>
              <w:jc w:val="left"/>
            </w:pPr>
            <w:r>
              <w:t xml:space="preserve">Fabrica óptica de precisión (transceptores, DCI, telecomunicaciones)</w:t>
            </w:r>
          </w:p>
        </w:tc>
        <w:tc>
          <w:tcPr/>
          <w:p>
            <w:pPr>
              <w:pStyle w:val="Compact"/>
              <w:jc w:val="left"/>
            </w:pPr>
            <w:r>
              <w:t xml:space="preserve">Diseña y fabrica conmutadores y racks de IA para hiperescaladores</w:t>
            </w:r>
          </w:p>
        </w:tc>
      </w:tr>
      <w:tr>
        <w:tc>
          <w:tcPr/>
          <w:p>
            <w:pPr>
              <w:pStyle w:val="Compact"/>
              <w:jc w:val="left"/>
            </w:pPr>
            <w:r>
              <w:t xml:space="preserve">Ventas 12 m / crecimiento / último trimestre</w:t>
            </w:r>
          </w:p>
        </w:tc>
        <w:tc>
          <w:tcPr/>
          <w:p>
            <w:pPr>
              <w:pStyle w:val="Compact"/>
              <w:jc w:val="left"/>
            </w:pPr>
            <w:r>
              <w:t xml:space="preserve">4.641 M / +36 % / +45 %</w:t>
            </w:r>
          </w:p>
        </w:tc>
        <w:tc>
          <w:tcPr/>
          <w:p>
            <w:pPr>
              <w:pStyle w:val="Compact"/>
              <w:jc w:val="left"/>
            </w:pPr>
            <w:r>
              <w:t xml:space="preserve">15.594 M / +47 % / +62 %</w:t>
            </w:r>
          </w:p>
        </w:tc>
      </w:tr>
      <w:tr>
        <w:tc>
          <w:tcPr/>
          <w:p>
            <w:pPr>
              <w:pStyle w:val="Compact"/>
              <w:jc w:val="left"/>
            </w:pPr>
            <w:r>
              <w:t xml:space="preserve">Margen bruto / operativo ajustado</w:t>
            </w:r>
          </w:p>
        </w:tc>
        <w:tc>
          <w:tcPr/>
          <w:p>
            <w:pPr>
              <w:pStyle w:val="Compact"/>
              <w:jc w:val="left"/>
            </w:pPr>
            <w:r>
              <w:t xml:space="preserve">12,0 % / 10,9 %</w:t>
            </w:r>
          </w:p>
        </w:tc>
        <w:tc>
          <w:tcPr/>
          <w:p>
            <w:pPr>
              <w:pStyle w:val="Compact"/>
              <w:jc w:val="left"/>
            </w:pPr>
            <w:r>
              <w:t xml:space="preserve">11,4 % / 8,2 %</w:t>
            </w:r>
          </w:p>
        </w:tc>
      </w:tr>
      <w:tr>
        <w:tc>
          <w:tcPr/>
          <w:p>
            <w:pPr>
              <w:pStyle w:val="Compact"/>
              <w:jc w:val="left"/>
            </w:pPr>
            <w:r>
              <w:t xml:space="preserve">FCF / margen FCF</w:t>
            </w:r>
          </w:p>
        </w:tc>
        <w:tc>
          <w:tcPr/>
          <w:p>
            <w:pPr>
              <w:pStyle w:val="Compact"/>
              <w:jc w:val="left"/>
            </w:pPr>
            <w:r>
              <w:t xml:space="preserve">4 M / 0,1 %</w:t>
            </w:r>
          </w:p>
        </w:tc>
        <w:tc>
          <w:tcPr/>
          <w:p>
            <w:pPr>
              <w:pStyle w:val="Compact"/>
              <w:jc w:val="left"/>
            </w:pPr>
            <w:r>
              <w:t xml:space="preserve">~530 M / 3,4 %</w:t>
            </w:r>
          </w:p>
        </w:tc>
      </w:tr>
      <w:tr>
        <w:tc>
          <w:tcPr/>
          <w:p>
            <w:pPr>
              <w:pStyle w:val="Compact"/>
              <w:jc w:val="left"/>
            </w:pPr>
            <w:r>
              <w:t xml:space="preserve">Clientes</w:t>
            </w:r>
          </w:p>
        </w:tc>
        <w:tc>
          <w:tcPr/>
          <w:p>
            <w:pPr>
              <w:pStyle w:val="Compact"/>
              <w:jc w:val="left"/>
            </w:pPr>
            <w:r>
              <w:t xml:space="preserve">Dos primeros 36 %; cuatro mayores 57 % (Cisco, Nvidia, Nokia, Amazon)</w:t>
            </w:r>
          </w:p>
        </w:tc>
        <w:tc>
          <w:tcPr/>
          <w:p>
            <w:pPr>
              <w:pStyle w:val="Compact"/>
              <w:jc w:val="left"/>
            </w:pPr>
            <w:r>
              <w:t xml:space="preserve">Tres primeros más del 60 % (Google, Meta, OpenAI, AMD…)</w:t>
            </w:r>
          </w:p>
        </w:tc>
      </w:tr>
      <w:tr>
        <w:tc>
          <w:tcPr/>
          <w:p>
            <w:pPr>
              <w:pStyle w:val="Compact"/>
              <w:jc w:val="left"/>
            </w:pPr>
            <w:r>
              <w:t xml:space="preserve">Dilución 12 m</w:t>
            </w:r>
          </w:p>
        </w:tc>
        <w:tc>
          <w:tcPr/>
          <w:p>
            <w:pPr>
              <w:pStyle w:val="Compact"/>
              <w:jc w:val="left"/>
            </w:pPr>
            <w:r>
              <w:t xml:space="preserve">+0,9 %</w:t>
            </w:r>
          </w:p>
        </w:tc>
        <w:tc>
          <w:tcPr/>
          <w:p>
            <w:pPr>
              <w:pStyle w:val="Compact"/>
              <w:jc w:val="left"/>
            </w:pPr>
            <w:r>
              <w:t xml:space="preserve">+10,1 % (ampliación de 3.390 M)</w:t>
            </w:r>
          </w:p>
        </w:tc>
      </w:tr>
      <w:tr>
        <w:tc>
          <w:tcPr/>
          <w:p>
            <w:pPr>
              <w:pStyle w:val="Compact"/>
              <w:jc w:val="left"/>
            </w:pPr>
            <w:r>
              <w:t xml:space="preserve">Caja neta</w:t>
            </w:r>
          </w:p>
        </w:tc>
        <w:tc>
          <w:tcPr/>
          <w:p>
            <w:pPr>
              <w:pStyle w:val="Compact"/>
              <w:jc w:val="left"/>
            </w:pPr>
            <w:r>
              <w:t xml:space="preserve">~800 M</w:t>
            </w:r>
          </w:p>
        </w:tc>
        <w:tc>
          <w:tcPr/>
          <w:p>
            <w:pPr>
              <w:pStyle w:val="Compact"/>
              <w:jc w:val="left"/>
            </w:pPr>
            <w:r>
              <w:t xml:space="preserve">~3.100 M (tras la ampliación)</w:t>
            </w:r>
          </w:p>
        </w:tc>
      </w:tr>
      <w:tr>
        <w:tc>
          <w:tcPr/>
          <w:p>
            <w:pPr>
              <w:pStyle w:val="Compact"/>
              <w:jc w:val="left"/>
            </w:pPr>
            <w:r>
              <w:t xml:space="preserve">EV/EBITDA de los 12 meses siguientes</w:t>
            </w:r>
          </w:p>
        </w:tc>
        <w:tc>
          <w:tcPr/>
          <w:p>
            <w:pPr>
              <w:pStyle w:val="Compact"/>
              <w:jc w:val="left"/>
            </w:pPr>
            <w:r>
              <w:t xml:space="preserve">19,7x (en su mediana de 3 años)</w:t>
            </w:r>
          </w:p>
        </w:tc>
        <w:tc>
          <w:tcPr/>
          <w:p>
            <w:pPr>
              <w:pStyle w:val="Compact"/>
              <w:jc w:val="left"/>
            </w:pPr>
            <w:r>
              <w:t xml:space="preserve">16,5x (sobre su mediana de ~12x)</w:t>
            </w:r>
          </w:p>
        </w:tc>
      </w:tr>
      <w:tr>
        <w:tc>
          <w:tcPr/>
          <w:p>
            <w:pPr>
              <w:pStyle w:val="Compact"/>
              <w:jc w:val="left"/>
            </w:pPr>
            <w:r>
              <w:t xml:space="preserve">Subida 12 m / 6 m</w:t>
            </w:r>
          </w:p>
        </w:tc>
        <w:tc>
          <w:tcPr/>
          <w:p>
            <w:pPr>
              <w:pStyle w:val="Compact"/>
              <w:jc w:val="left"/>
            </w:pPr>
            <w:r>
              <w:t xml:space="preserve">+11,8 % / −38 %</w:t>
            </w:r>
          </w:p>
        </w:tc>
        <w:tc>
          <w:tcPr/>
          <w:p>
            <w:pPr>
              <w:pStyle w:val="Compact"/>
              <w:jc w:val="left"/>
            </w:pPr>
            <w:r>
              <w:t xml:space="preserve">+36,9 % / −2,2 %</w:t>
            </w:r>
          </w:p>
        </w:tc>
      </w:tr>
      <w:tr>
        <w:tc>
          <w:tcPr/>
          <w:p>
            <w:pPr>
              <w:pStyle w:val="Compact"/>
              <w:jc w:val="left"/>
            </w:pPr>
            <w:r>
              <w:t xml:space="preserve">Puntuación / señales</w:t>
            </w:r>
          </w:p>
        </w:tc>
        <w:tc>
          <w:tcPr/>
          <w:p>
            <w:pPr>
              <w:pStyle w:val="Compact"/>
              <w:jc w:val="left"/>
            </w:pPr>
            <w:r>
              <w:t xml:space="preserve">58,8 / 1 de 8</w:t>
            </w:r>
          </w:p>
        </w:tc>
        <w:tc>
          <w:tcPr/>
          <w:p>
            <w:pPr>
              <w:pStyle w:val="Compact"/>
              <w:jc w:val="left"/>
            </w:pPr>
            <w:r>
              <w:t xml:space="preserve">66,2 / 3 de 8</w:t>
            </w:r>
          </w:p>
        </w:tc>
      </w:tr>
      <w:tr>
        <w:tc>
          <w:tcPr/>
          <w:p>
            <w:pPr>
              <w:pStyle w:val="Compact"/>
              <w:jc w:val="left"/>
            </w:pPr>
            <w:r>
              <w:t xml:space="preserve">v11: ponderada / señal</w:t>
            </w:r>
          </w:p>
        </w:tc>
        <w:tc>
          <w:tcPr/>
          <w:p>
            <w:pPr>
              <w:pStyle w:val="Compact"/>
              <w:jc w:val="left"/>
            </w:pPr>
            <w:r>
              <w:rPr>
                <w:bCs/>
                <w:b/>
              </w:rPr>
              <w:t xml:space="preserve">−1,0 % / Mantener</w:t>
            </w:r>
          </w:p>
        </w:tc>
        <w:tc>
          <w:tcPr/>
          <w:p>
            <w:pPr>
              <w:pStyle w:val="Compact"/>
              <w:jc w:val="left"/>
            </w:pPr>
            <w:r>
              <w:rPr>
                <w:bCs/>
                <w:b/>
              </w:rPr>
              <w:t xml:space="preserve">−26,2 % / Vender</w:t>
            </w:r>
          </w:p>
        </w:tc>
      </w:tr>
      <w:tr>
        <w:tc>
          <w:tcPr/>
          <w:p>
            <w:pPr>
              <w:pStyle w:val="Compact"/>
              <w:jc w:val="left"/>
            </w:pPr>
            <w:r>
              <w:t xml:space="preserve">Directivos</w:t>
            </w:r>
          </w:p>
        </w:tc>
        <w:tc>
          <w:tcPr/>
          <w:p>
            <w:pPr>
              <w:pStyle w:val="Compact"/>
              <w:jc w:val="left"/>
            </w:pPr>
            <w:r>
              <w:t xml:space="preserve">Ventas pequeñas</w:t>
            </w:r>
          </w:p>
        </w:tc>
        <w:tc>
          <w:tcPr/>
          <w:p>
            <w:pPr>
              <w:pStyle w:val="Compact"/>
              <w:jc w:val="left"/>
            </w:pPr>
            <w:r>
              <w:t xml:space="preserve">El consejero delegado vendió ~130 M USD</w:t>
            </w:r>
          </w:p>
        </w:tc>
      </w:tr>
    </w:tbl>
    <w:p>
      <w:pPr>
        <w:pStyle w:val="BodyText"/>
      </w:pPr>
      <w:r>
        <w:t xml:space="preserve">Celestica crece más y puntúa más, pero su precio exige más: su propia guía para 2027 va por encima de lo que el método proyecta, y la dilución de agosto pesa. Fabrinet está más cerca de su valor porque el consenso, el informe y la mecánica coinciden (7.300-8.000 M) y no diluye. Las dos tienen el mismo problema de fondo: márgenes de fabricante, clientes concentrados y dependencia del ciclo de inversión en IA. Ninguna es una compra hoy.</w:t>
      </w:r>
      <w:r>
        <w:t xml:space="preserve"> </w:t>
      </w:r>
      <w:r>
        <w:rPr>
          <w:bCs/>
          <w:b/>
        </w:rPr>
        <w:t xml:space="preserve">Si hubiera que elegir una, Fabrinet</w:t>
      </w:r>
      <w:r>
        <w:t xml:space="preserve">, y solo con una señal más y por debajo de 403 USD.</w:t>
      </w:r>
    </w:p>
    <w:bookmarkEnd w:id="29"/>
    <w:bookmarkEnd w:id="30"/>
    <w:bookmarkStart w:id="31" w:name="foros-y-sentimiento"/>
    <w:p>
      <w:pPr>
        <w:pStyle w:val="Heading2"/>
      </w:pPr>
      <w:r>
        <w:t xml:space="preserve">10. Foros y sentimiento</w:t>
      </w:r>
    </w:p>
    <w:p>
      <w:pPr>
        <w:numPr>
          <w:ilvl w:val="0"/>
          <w:numId w:val="1008"/>
        </w:numPr>
        <w:pStyle w:val="Compact"/>
      </w:pPr>
      <w:r>
        <w:rPr>
          <w:bCs/>
          <w:b/>
        </w:rPr>
        <w:t xml:space="preserve">Prensa financiera</w:t>
      </w:r>
      <w:r>
        <w:t xml:space="preserve">: tras el 18-ago, los titulares fueron negativos: «Fabrinet just lost billions in market value due to Nvidia» (Barchart), «Why Fabrinet stock just plummeted» (Motley Fool) o «falls despite Q4 beat» (Seeking Alpha). TIKR y BNP defienden que la reacción fue excesiva. En septiembre y octubre, las caídas son de todo el sector óptico (ampliaciones de Corning y Applied Optoelectronics, recogida de beneficios) [7][8].</w:t>
      </w:r>
    </w:p>
    <w:p>
      <w:pPr>
        <w:numPr>
          <w:ilvl w:val="0"/>
          <w:numId w:val="1008"/>
        </w:numPr>
        <w:pStyle w:val="Compact"/>
      </w:pPr>
      <w:r>
        <w:rPr>
          <w:bCs/>
          <w:b/>
        </w:rPr>
        <w:t xml:space="preserve">Analistas</w:t>
      </w:r>
      <w:r>
        <w:t xml:space="preserve">: siguen alcistas, con 7 de compra y 2 de mantener y un objetivo medio de 734 USD, un 72 % sobre el cierre del 13-oct. Es un objetivo que no ha bajado al ritmo del precio [6].</w:t>
      </w:r>
    </w:p>
    <w:p>
      <w:pPr>
        <w:numPr>
          <w:ilvl w:val="0"/>
          <w:numId w:val="1008"/>
        </w:numPr>
        <w:pStyle w:val="Compact"/>
      </w:pPr>
      <w:r>
        <w:rPr>
          <w:bCs/>
          <w:b/>
        </w:rPr>
        <w:t xml:space="preserve">Foros</w:t>
      </w:r>
      <w:r>
        <w:t xml:space="preserve">: en TradingView y getquin dominan las ideas alcistas («superciclo óptico»). En Reddit, StockTwits y Rankia no encontré hilos recientes indexados sobre Fabrinet; es una laguna. Investing.com México muestra el mismo consenso de compra [9].</w:t>
      </w:r>
    </w:p>
    <w:p>
      <w:pPr>
        <w:numPr>
          <w:ilvl w:val="0"/>
          <w:numId w:val="1008"/>
        </w:numPr>
        <w:pStyle w:val="Compact"/>
      </w:pPr>
      <w:r>
        <w:rPr>
          <w:bCs/>
          <w:b/>
        </w:rPr>
        <w:t xml:space="preserve">Lectura</w:t>
      </w:r>
      <w:r>
        <w:t xml:space="preserve">: el sentimiento ha pasado de eufórico en mayo a nervioso. No hay euforia que vete la compra, pero tampoco un giro a mejor que la active. El riesgo, como en todo growth, es que la caída del precio vaya por delante del negocio si el ciclo de la IA se enfría.</w:t>
      </w:r>
    </w:p>
    <w:p>
      <w:pPr>
        <w:numPr>
          <w:ilvl w:val="0"/>
          <w:numId w:val="1008"/>
        </w:numPr>
        <w:pStyle w:val="Compact"/>
      </w:pPr>
      <w:r>
        <w:rPr>
          <w:bCs/>
          <w:b/>
        </w:rPr>
        <w:t xml:space="preserve">Riesgo de la IA para el negocio</w:t>
      </w:r>
      <w:r>
        <w:t xml:space="preserve">: bajo como amenaza directa, porque la IA no sustituye a una fábrica de óptica de precisión. Alto como dependencia: la mitad de las ventas vienen de centros de datos y su crecimiento depende de que los hiperescaladores sigan invirtiendo. El riesgo técnico es la óptica dentro del encapsulado del chip (co-packaged optics), que puede trasladar valor a TSMC y Nvidia. Fabrinet trabaja en ella con varios clientes, pero aún no está claro qué parte se quedará [3].</w:t>
      </w:r>
    </w:p>
    <w:bookmarkEnd w:id="31"/>
    <w:bookmarkStart w:id="32" w:name="riesgos-y-qué-rompería-la-tesis"/>
    <w:p>
      <w:pPr>
        <w:pStyle w:val="Heading2"/>
      </w:pPr>
      <w:r>
        <w:t xml:space="preserve">11. Riesgos y qué rompería la tesis</w:t>
      </w:r>
    </w:p>
    <w:p>
      <w:pPr>
        <w:numPr>
          <w:ilvl w:val="0"/>
          <w:numId w:val="1009"/>
        </w:numPr>
        <w:pStyle w:val="Compact"/>
      </w:pPr>
      <w:r>
        <w:rPr>
          <w:bCs/>
          <w:b/>
        </w:rPr>
        <w:t xml:space="preserve">Clientes concentrados</w:t>
      </w:r>
      <w:r>
        <w:t xml:space="preserve">: Cisco 19,9 %, Nvidia 16,3 %, Nokia 10,7 % y Amazon 10,5 %. Los cuatro suman el 57 %. La alerta del método (dos clientes por encima del 40 %, o tres por encima del 60 %)</w:t>
      </w:r>
      <w:r>
        <w:t xml:space="preserve"> </w:t>
      </w:r>
      <w:r>
        <w:rPr>
          <w:bCs/>
          <w:b/>
        </w:rPr>
        <w:t xml:space="preserve">no salta</w:t>
      </w:r>
      <w:r>
        <w:t xml:space="preserve">: 36,2 % y 46,9 %. Aun así, perder uno costaría entre un 10 % y un 20 % de las ventas.</w:t>
      </w:r>
    </w:p>
    <w:p>
      <w:pPr>
        <w:numPr>
          <w:ilvl w:val="0"/>
          <w:numId w:val="1009"/>
        </w:numPr>
        <w:pStyle w:val="Compact"/>
      </w:pPr>
      <w:r>
        <w:rPr>
          <w:bCs/>
          <w:b/>
        </w:rPr>
        <w:t xml:space="preserve">Nvidia sigue bajando</w:t>
      </w:r>
      <w:r>
        <w:t xml:space="preserve">: del 35 % de las ventas (FY24) al 16 % (FY26). Si los nuevos programas no compensan, el negocio de transceptores se estanca.</w:t>
      </w:r>
    </w:p>
    <w:p>
      <w:pPr>
        <w:numPr>
          <w:ilvl w:val="0"/>
          <w:numId w:val="1009"/>
        </w:numPr>
        <w:pStyle w:val="Compact"/>
      </w:pPr>
      <w:r>
        <w:rPr>
          <w:bCs/>
          <w:b/>
        </w:rPr>
        <w:t xml:space="preserve">Ciclo de inversión en IA</w:t>
      </w:r>
      <w:r>
        <w:t xml:space="preserve">: si los hiperescaladores frenan, las ventas de centros de datos caerían rápido. Las existencias de 1.020 M y las fábricas nuevas son apuestas a que no frenarán.</w:t>
      </w:r>
    </w:p>
    <w:p>
      <w:pPr>
        <w:numPr>
          <w:ilvl w:val="0"/>
          <w:numId w:val="1009"/>
        </w:numPr>
        <w:pStyle w:val="Compact"/>
      </w:pPr>
      <w:r>
        <w:rPr>
          <w:bCs/>
          <w:b/>
        </w:rPr>
        <w:t xml:space="preserve">Caja libre casi nula</w:t>
      </w:r>
      <w:r>
        <w:t xml:space="preserve">: FCF de 4 M en el FY26, con más inversiones en el FY27. Si las ventas no llenan el Building 10, la rentabilidad del capital bajará.</w:t>
      </w:r>
    </w:p>
    <w:p>
      <w:pPr>
        <w:numPr>
          <w:ilvl w:val="0"/>
          <w:numId w:val="1009"/>
        </w:numPr>
        <w:pStyle w:val="Compact"/>
      </w:pPr>
      <w:r>
        <w:rPr>
          <w:bCs/>
          <w:b/>
        </w:rPr>
        <w:t xml:space="preserve">Impuesto mínimo global</w:t>
      </w:r>
      <w:r>
        <w:t xml:space="preserve">: el tipo efectivo pasa del ~6 % al ~15 %, y el BPA ajustado lo excluye.</w:t>
      </w:r>
    </w:p>
    <w:p>
      <w:pPr>
        <w:numPr>
          <w:ilvl w:val="0"/>
          <w:numId w:val="1009"/>
        </w:numPr>
        <w:pStyle w:val="Compact"/>
      </w:pPr>
      <w:r>
        <w:rPr>
          <w:bCs/>
          <w:b/>
        </w:rPr>
        <w:t xml:space="preserve">Falta de componentes</w:t>
      </w:r>
      <w:r>
        <w:t xml:space="preserve"> </w:t>
      </w:r>
      <w:r>
        <w:t xml:space="preserve">(láseres, chips): la empresa reconoce que la demanda supera la oferta de algunos y que ya lo incluye en su guía.</w:t>
      </w:r>
    </w:p>
    <w:p>
      <w:pPr>
        <w:numPr>
          <w:ilvl w:val="0"/>
          <w:numId w:val="1009"/>
        </w:numPr>
        <w:pStyle w:val="Compact"/>
      </w:pPr>
      <w:r>
        <w:rPr>
          <w:bCs/>
          <w:b/>
        </w:rPr>
        <w:t xml:space="preserve">Aranceles y geopolítica</w:t>
      </w:r>
      <w:r>
        <w:t xml:space="preserve">: fabrica en Tailandia y vende sobre todo a EE. UU.</w:t>
      </w:r>
    </w:p>
    <w:p>
      <w:pPr>
        <w:pStyle w:val="FirstParagraph"/>
      </w:pPr>
      <w:r>
        <w:rPr>
          <w:bCs/>
          <w:b/>
        </w:rPr>
        <w:t xml:space="preserve">Señales de venta concretas</w:t>
      </w:r>
      <w:r>
        <w:t xml:space="preserve"> </w:t>
      </w:r>
      <w:r>
        <w:t xml:space="preserve">(si se tuviera): dos trimestres seguidos con crecimiento por debajo del 20 %, perder a Cisco o a Amazon, que el margen bruto baje del 11 % o que las existencias se queden paradas (provisiones).</w:t>
      </w:r>
    </w:p>
    <w:p>
      <w:pPr>
        <w:pStyle w:val="BodyText"/>
      </w:pPr>
      <w:r>
        <w:rPr>
          <w:bCs/>
          <w:b/>
        </w:rPr>
        <w:t xml:space="preserve">Robustez</w:t>
      </w:r>
      <w:r>
        <w:t xml:space="preserve"> </w:t>
      </w:r>
      <w:r>
        <w:t xml:space="preserve">(</w:t>
      </w:r>
      <w:r>
        <w:rPr>
          <w:rStyle w:val="VerbatimChar"/>
        </w:rPr>
        <w:t xml:space="preserve">node herramientas/robustez-growth.mjs fabrinet-2026-10-14 --precios</w:t>
      </w:r>
      <w:r>
        <w:t xml:space="preserve">).</w:t>
      </w:r>
      <w:r>
        <w:t xml:space="preserve"> </w:t>
      </w:r>
      <w:r>
        <w:rPr>
          <w:bCs/>
          <w:b/>
        </w:rPr>
        <w:t xml:space="preserve">Veredicto: SÓLIDA; señal robusta: Mantener.</w:t>
      </w:r>
      <w:r>
        <w:t xml:space="preserve"> </w:t>
      </w:r>
      <w:r>
        <w:t xml:space="preserve">Ninguna variante la convierte en Comprar. Una sola, con probabilidades más prudentes (35/50/15), la empeora a Vender.</w:t>
      </w:r>
      <w:r>
        <w:t xml:space="preserve"> </w:t>
      </w:r>
      <w:r>
        <w:t xml:space="preserve">-</w:t>
      </w:r>
      <w:r>
        <w:t xml:space="preserve"> </w:t>
      </w:r>
      <w:r>
        <w:rPr>
          <w:bCs/>
          <w:b/>
        </w:rPr>
        <w:t xml:space="preserve">Alerta de</w:t>
      </w:r>
      <w:r>
        <w:rPr>
          <w:bCs/>
          <w:b/>
        </w:rPr>
        <w:t xml:space="preserve"> </w:t>
      </w:r>
      <w:r>
        <w:rPr>
          <w:rStyle w:val="VerbatimChar"/>
          <w:bCs/>
          <w:b/>
        </w:rPr>
        <w:t xml:space="preserve">calc.alertas</w:t>
      </w:r>
      <w:r>
        <w:rPr>
          <w:bCs/>
          <w:b/>
        </w:rPr>
        <w:t xml:space="preserve">: «Sin guía anual de 12 meses (solo trimestral)»</w:t>
      </w:r>
      <w:r>
        <w:t xml:space="preserve">. Fabrinet nunca da guía anual, así que el recorte de v9 no actúa.</w:t>
      </w:r>
      <w:r>
        <w:t xml:space="preserve"> </w:t>
      </w:r>
      <w:r>
        <w:rPr>
          <w:bCs/>
          <w:b/>
        </w:rPr>
        <w:t xml:space="preserve">No debilita la señal</w:t>
      </w:r>
      <w:r>
        <w:t xml:space="preserve">: v11 ya toma las ventas del informe (7.400 M), muy cerca del consenso (7.310 M) y por debajo de la mecánica (7.963 M), con lo que la prudencia que pretende el recorte ya está aplicada. Lo que se vigila es que el consenso no baje.</w:t>
      </w:r>
      <w:r>
        <w:t xml:space="preserve"> </w:t>
      </w:r>
      <w:r>
        <w:t xml:space="preserve">-</w:t>
      </w:r>
      <w:r>
        <w:t xml:space="preserve"> </w:t>
      </w:r>
      <w:r>
        <w:rPr>
          <w:bCs/>
          <w:b/>
        </w:rPr>
        <w:t xml:space="preserve">G2 (el objetivo se mueve con el precio)</w:t>
      </w:r>
      <w:r>
        <w:t xml:space="preserve">: en las valoradas por EBITDA, recalcular el motor con otro precio movería el objetivo. Por eso, al precio de hoy se deja fijo el objetivo de 423,5 USD: +7,8 % a 392,95 USD. El límite sigue siendo 403,4 USD.</w:t>
      </w:r>
      <w:r>
        <w:t xml:space="preserve"> </w:t>
      </w:r>
      <w:r>
        <w:t xml:space="preserve">-</w:t>
      </w:r>
      <w:r>
        <w:t xml:space="preserve"> </w:t>
      </w:r>
      <w:r>
        <w:rPr>
          <w:bCs/>
          <w:b/>
        </w:rPr>
        <w:t xml:space="preserve">G4 (sin guía)</w:t>
      </w:r>
      <w:r>
        <w:t xml:space="preserve">: es el mismo punto que la alerta.</w:t>
      </w:r>
      <w:r>
        <w:t xml:space="preserve"> </w:t>
      </w:r>
      <w:r>
        <w:t xml:space="preserve">-</w:t>
      </w:r>
      <w:r>
        <w:t xml:space="preserve"> </w:t>
      </w:r>
      <w:r>
        <w:rPr>
          <w:bCs/>
          <w:b/>
        </w:rPr>
        <w:t xml:space="preserve">G6 (bajista del −49 %)</w:t>
      </w:r>
      <w:r>
        <w:t xml:space="preserve">: está al borde del listón del −50 %. Si llegara a comprarse, sería con poco peso y en dos tramos.</w:t>
      </w:r>
    </w:p>
    <w:bookmarkEnd w:id="32"/>
    <w:bookmarkStart w:id="33" w:name="catalizadores-con-fecha"/>
    <w:p>
      <w:pPr>
        <w:pStyle w:val="Heading2"/>
      </w:pPr>
      <w:r>
        <w:t xml:space="preserve">12. Catalizadores con fecha</w:t>
      </w:r>
    </w:p>
    <w:p>
      <w:pPr>
        <w:numPr>
          <w:ilvl w:val="0"/>
          <w:numId w:val="1010"/>
        </w:numPr>
        <w:pStyle w:val="Compact"/>
      </w:pPr>
      <w:r>
        <w:rPr>
          <w:bCs/>
          <w:b/>
        </w:rPr>
        <w:t xml:space="preserve">~16-nov-2026</w:t>
      </w:r>
      <w:r>
        <w:t xml:space="preserve"> </w:t>
      </w:r>
      <w:r>
        <w:t xml:space="preserve">(fecha estimada, sin confirmar): resultados del 1T FY27 y guía del 2T. Es la clave: dirá si el centro de datos vuelve a crecer frente al trimestre anterior, cómo va Nvidia, cómo arrancan los nuevos programas y cuál es el FCF.</w:t>
      </w:r>
    </w:p>
    <w:p>
      <w:pPr>
        <w:numPr>
          <w:ilvl w:val="0"/>
          <w:numId w:val="1010"/>
        </w:numPr>
        <w:pStyle w:val="Compact"/>
      </w:pPr>
      <w:r>
        <w:rPr>
          <w:bCs/>
          <w:b/>
        </w:rPr>
        <w:t xml:space="preserve">4T 2026 – 1T 2027</w:t>
      </w:r>
      <w:r>
        <w:t xml:space="preserve">: el Building 10 entra en producción (planta tercera calificada en el trimestre de julio a septiembre); primer programa de transceptores para un vendedor independiente entre octubre y diciembre.</w:t>
      </w:r>
    </w:p>
    <w:p>
      <w:pPr>
        <w:numPr>
          <w:ilvl w:val="0"/>
          <w:numId w:val="1010"/>
        </w:numPr>
        <w:pStyle w:val="Compact"/>
      </w:pPr>
      <w:r>
        <w:rPr>
          <w:bCs/>
          <w:b/>
        </w:rPr>
        <w:t xml:space="preserve">Principios de 2027</w:t>
      </w:r>
      <w:r>
        <w:t xml:space="preserve">: más programas de transceptores, la siguiente generación de chips de Amazon y posibles sistemas completos con un segundo cliente.</w:t>
      </w:r>
    </w:p>
    <w:p>
      <w:pPr>
        <w:numPr>
          <w:ilvl w:val="0"/>
          <w:numId w:val="1010"/>
        </w:numPr>
        <w:pStyle w:val="Compact"/>
      </w:pPr>
      <w:r>
        <w:rPr>
          <w:bCs/>
          <w:b/>
        </w:rPr>
        <w:t xml:space="preserve">Riesgo con fecha</w:t>
      </w:r>
      <w:r>
        <w:t xml:space="preserve">: resultados de Nvidia (finales de noviembre) y presupuestos de inversión de los hiperescaladores para 2027 (enero y febrero).</w:t>
      </w:r>
    </w:p>
    <w:bookmarkEnd w:id="33"/>
    <w:bookmarkStart w:id="34"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(+19 %), Axon (+36 %), Shopify (+18 %), Snowflake (+13 %) y Samsara (+15 %), al precio actual con v11 [cartera-growth.md]. Liquidez libre casi nula: solo cabe sustituir.</w:t>
      </w:r>
    </w:p>
    <w:p>
      <w:pPr>
        <w:numPr>
          <w:ilvl w:val="0"/>
          <w:numId w:val="1011"/>
        </w:numPr>
        <w:pStyle w:val="Compact"/>
      </w:pPr>
      <w:r>
        <w:rPr>
          <w:bCs/>
          <w:b/>
        </w:rPr>
        <w:t xml:space="preserve">Fabrinet no sustituye a ninguna</w:t>
      </w:r>
      <w:r>
        <w:t xml:space="preserve">: es Mantener (ponderada −1,0 % al cierre del 13-oct y +7,8 % al de hoy con el objetivo fijo, puntuación de 58,8). Las cinco de la cartera tienen más rentabilidad esperada y más señales.</w:t>
      </w:r>
    </w:p>
    <w:p>
      <w:pPr>
        <w:numPr>
          <w:ilvl w:val="0"/>
          <w:numId w:val="1011"/>
        </w:numPr>
        <w:pStyle w:val="Compact"/>
      </w:pPr>
      <w:r>
        <w:rPr>
          <w:bCs/>
          <w:b/>
        </w:rPr>
        <w:t xml:space="preserve">Suplentes</w:t>
      </w:r>
      <w:r>
        <w:t xml:space="preserve">: no entra en la lista (MongoDB, Toast, Zscaler, dLocal, Dexcom, argenx, Datadog, Saab, Natera), porque todas son Comprar. Queda en</w:t>
      </w:r>
      <w:r>
        <w:t xml:space="preserve"> </w:t>
      </w:r>
      <w:r>
        <w:rPr>
          <w:bCs/>
          <w:b/>
        </w:rPr>
        <w:t xml:space="preserve">Mantener</w:t>
      </w:r>
      <w:r>
        <w:t xml:space="preserve">, junto a Lemonade y Glaukos, como candidata a vigilar: si en noviembre gana una señal (subidas de las previsiones, o el precio vuelve sobre la media de 200 sesiones) y el precio sigue por debajo de 403 USD, sería Comprar con convicción baja. Por rentabilidad entraría al final de la lista, detrás de Saab y Natera.</w:t>
      </w:r>
    </w:p>
    <w:p>
      <w:pPr>
        <w:numPr>
          <w:ilvl w:val="0"/>
          <w:numId w:val="1011"/>
        </w:numPr>
        <w:pStyle w:val="Compact"/>
      </w:pPr>
      <w:r>
        <w:rPr>
          <w:bCs/>
          <w:b/>
        </w:rPr>
        <w:t xml:space="preserve">Exposición a IA</w:t>
      </w:r>
      <w:r>
        <w:t xml:space="preserve">: con Alphabet vendida mañana (que no cuenta como exposición a IA de la cartera), la IA del bolsillo growth queda en Snowflake, por los datos. Fabrinet añadiría la parte física de la IA (óptica para centros de datos), que hoy no tiene la cartera. Es un argumento de diversificación, pero no basta para saltarse la regla. Celestica, la otra opción de ese mismo terreno, es Vender.</w:t>
      </w:r>
    </w:p>
    <w:p>
      <w:pPr>
        <w:numPr>
          <w:ilvl w:val="0"/>
          <w:numId w:val="1011"/>
        </w:numPr>
        <w:pStyle w:val="Compact"/>
      </w:pPr>
      <w:r>
        <w:rPr>
          <w:bCs/>
          <w:b/>
        </w:rPr>
        <w:t xml:space="preserve">Preferencias de</w:t>
      </w:r>
      <w:r>
        <w:rPr>
          <w:bCs/>
          <w:b/>
        </w:rPr>
        <w:t xml:space="preserve"> </w:t>
      </w:r>
      <w:r>
        <w:rPr>
          <w:rStyle w:val="VerbatimChar"/>
          <w:bCs/>
          <w:b/>
        </w:rPr>
        <w:t xml:space="preserve">MEMORIA.md</w:t>
      </w:r>
      <w:r>
        <w:t xml:space="preserve">: cumple (no es juego, ni comercio minorista, ni ninguna de las excluidas). Si entrara, sería con un peso del 3,5 % (convicción baja), en dos tramos y nunca por debajo.</w:t>
      </w:r>
    </w:p>
    <w:p>
      <w:pPr>
        <w:numPr>
          <w:ilvl w:val="0"/>
          <w:numId w:val="1011"/>
        </w:numPr>
        <w:pStyle w:val="Compact"/>
      </w:pPr>
      <w:r>
        <w:t xml:space="preserve">No hay órdenes: regla dura del usuario (no se emite ninguna orden salvo que él la pida explícitamente en el chat y la confirme).</w:t>
      </w:r>
    </w:p>
    <w:bookmarkEnd w:id="34"/>
    <w:bookmarkStart w:id="35"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20,0</w:t>
            </w:r>
          </w:p>
        </w:tc>
        <w:tc>
          <w:tcPr/>
          <w:p>
            <w:pPr>
              <w:pStyle w:val="Compact"/>
              <w:jc w:val="left"/>
            </w:pPr>
            <w:r>
              <w:t xml:space="preserve">25</w:t>
            </w:r>
          </w:p>
        </w:tc>
        <w:tc>
          <w:tcPr/>
          <w:p>
            <w:pPr>
              <w:pStyle w:val="Compact"/>
              <w:jc w:val="left"/>
            </w:pPr>
            <w:r>
              <w:t xml:space="preserve">+36 % en 12 meses, crecimiento compuesto del 27 % y aceleración de 15 puntos</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9 %; tecnología 3, posición 4</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(catalizador)</w:t>
            </w:r>
          </w:p>
        </w:tc>
      </w:tr>
      <w:tr>
        <w:tc>
          <w:tcPr/>
          <w:p>
            <w:pPr>
              <w:pStyle w:val="Compact"/>
              <w:jc w:val="left"/>
            </w:pPr>
            <w:r>
              <w:t xml:space="preserve">D. Economía unitaria</w:t>
            </w:r>
          </w:p>
        </w:tc>
        <w:tc>
          <w:tcPr/>
          <w:p>
            <w:pPr>
              <w:pStyle w:val="Compact"/>
              <w:jc w:val="left"/>
            </w:pPr>
            <w:r>
              <w:t xml:space="preserve">6,0</w:t>
            </w:r>
          </w:p>
        </w:tc>
        <w:tc>
          <w:tcPr/>
          <w:p>
            <w:pPr>
              <w:pStyle w:val="Compact"/>
              <w:jc w:val="left"/>
            </w:pPr>
            <w:r>
              <w:t xml:space="preserve">15</w:t>
            </w:r>
          </w:p>
        </w:tc>
        <w:tc>
          <w:tcPr/>
          <w:p>
            <w:pPr>
              <w:pStyle w:val="Compact"/>
              <w:jc w:val="left"/>
            </w:pPr>
            <w:r>
              <w:t xml:space="preserve">Margen bruto del 12 % (0), regla del 40 de 35,8, FCF positivo pero plano</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Caja neta y dilución inferior al 1 %</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58,8</w:t>
            </w:r>
          </w:p>
        </w:tc>
        <w:tc>
          <w:tcPr/>
          <w:p>
            <w:pPr>
              <w:pStyle w:val="Compact"/>
              <w:jc w:val="left"/>
            </w:pPr>
            <w:r>
              <w:t xml:space="preserve">100</w:t>
            </w:r>
          </w:p>
        </w:tc>
        <w:tc>
          <w:tcPr/>
          <w:p>
            <w:pPr>
              <w:pStyle w:val="Compact"/>
              <w:jc w:val="left"/>
            </w:pPr>
            <w:r>
              <w:t xml:space="preserve">Por debajo del mínimo de 60 para comprar</w:t>
            </w:r>
          </w:p>
        </w:tc>
      </w:tr>
    </w:tbl>
    <w:bookmarkEnd w:id="35"/>
    <w:bookmarkStart w:id="36" w:name="mejora-de-método-propuesta"/>
    <w:p>
      <w:pPr>
        <w:pStyle w:val="Heading2"/>
      </w:pPr>
      <w:r>
        <w:t xml:space="preserve">Mejora de método propuesta</w:t>
      </w:r>
    </w:p>
    <w:p>
      <w:pPr>
        <w:numPr>
          <w:ilvl w:val="0"/>
          <w:numId w:val="1012"/>
        </w:numPr>
        <w:pStyle w:val="Compact"/>
      </w:pPr>
      <w:r>
        <w:rPr>
          <w:bCs/>
          <w:b/>
        </w:rPr>
        <w:t xml:space="preserve">Impuesto mínimo global en las valoradas por EBITDA o por BPA ajustado.</w:t>
      </w:r>
      <w:r>
        <w:t xml:space="preserve"> </w:t>
      </w:r>
      <w:r>
        <w:t xml:space="preserve">Fabrinet excluye del BPA ajustado el nuevo impuesto tailandés (tipo efectivo del 6 % al 15 %). Es un coste recurrente, no extraordinario. Propuesta de alerta: si el tipo efectivo sube más de 5 puntos en un año por el impuesto mínimo (Pillar Two) o el BPA ajustado excluye impuestos recurrentes, avisar y dar el PER con el impuesto completo. Afecta también a otras empresas con exenciones fiscales (Tailandia, Singapur, Irlanda, Suiza).</w:t>
      </w:r>
    </w:p>
    <w:p>
      <w:pPr>
        <w:numPr>
          <w:ilvl w:val="0"/>
          <w:numId w:val="1012"/>
        </w:numPr>
        <w:pStyle w:val="Compact"/>
      </w:pPr>
      <w:r>
        <w:rPr>
          <w:bCs/>
          <w:b/>
        </w:rPr>
        <w:t xml:space="preserve">Mediana histórica del EV/EBITDA de los 12 meses siguientes</w:t>
      </w:r>
      <w:r>
        <w:t xml:space="preserve">: sin el consenso de cada fecha, se calcula con el EBITDA real posterior, como aquí, y sale más baja que la que se veía en su momento. Conviene un campo que diga cómo se calculó (</w:t>
      </w:r>
      <w:r>
        <w:rPr>
          <w:rStyle w:val="VerbatimChar"/>
        </w:rPr>
        <w:t xml:space="preserve">valoracion.nota_mediana</w:t>
      </w:r>
      <w:r>
        <w:t xml:space="preserve">) para no mezclar criterios entre informes.</w:t>
      </w:r>
    </w:p>
    <w:bookmarkEnd w:id="36"/>
    <w:bookmarkStart w:id="37" w:name="fuentes"/>
    <w:p>
      <w:pPr>
        <w:pStyle w:val="Heading2"/>
      </w:pPr>
      <w:r>
        <w:t xml:space="preserve">Fuentes</w:t>
      </w:r>
    </w:p>
    <w:p>
      <w:pPr>
        <w:pStyle w:val="FirstParagraph"/>
      </w:pPr>
      <w:r>
        <w:t xml:space="preserve">[1] Fabrinet, nota de resultados del 4T y del FY26 (8-K, ex. 99.1, 17-ago-2026, SEC EDGAR).</w:t>
      </w:r>
      <w:r>
        <w:t xml:space="preserve"> </w:t>
      </w:r>
      <w:r>
        <w:t xml:space="preserve">[2] Fabrinet, 10-K del FY26 (18-ago-2026) y XBRL companyfacts de la SEC: cuentas trimestrales, ventas por mercado, clientes por encima del 10 % (nota 21), caja, inversiones, Building 10, impuesto mínimo, opción de Amazon y recompras.</w:t>
      </w:r>
      <w:r>
        <w:t xml:space="preserve"> </w:t>
      </w:r>
      <w:r>
        <w:t xml:space="preserve">[3] Fabrinet, conferencia de resultados del 4T FY26 (17-ago-2026; transcripción en The Motley Fool, 24-ago).</w:t>
      </w:r>
      <w:r>
        <w:t xml:space="preserve"> </w:t>
      </w:r>
      <w:r>
        <w:t xml:space="preserve">[4] Yahoo Finance chart API (FN, diaria de 2 años y semanal de 5 años) y StockAnalysis.com (histórico): cierre del 13-oct de 427,82 USD en ambas; cierre del 14-oct de 392,95 USD (20:00 UTC).</w:t>
      </w:r>
      <w:r>
        <w:t xml:space="preserve"> </w:t>
      </w:r>
      <w:r>
        <w:t xml:space="preserve">[5] Yahoo Finance: S&amp;P 500, CLS, JBL, FLEX, SANM, COHR y LITE.</w:t>
      </w:r>
      <w:r>
        <w:t xml:space="preserve"> </w:t>
      </w:r>
      <w:r>
        <w:t xml:space="preserve">[6] StockAnalysis.com (S&amp;P Global), 14-oct-2026: precios objetivo, consenso de ventas y BPA del FY27 y FY28, acciones recientes de analistas.</w:t>
      </w:r>
      <w:r>
        <w:t xml:space="preserve"> </w:t>
      </w:r>
      <w:r>
        <w:t xml:space="preserve">[7] TIKR, «Fabrinet’s Q4 earnings beat on every line, so why did the stock fall 19%» (19-ago-2026).</w:t>
      </w:r>
      <w:r>
        <w:t xml:space="preserve"> </w:t>
      </w:r>
      <w:r>
        <w:t xml:space="preserve">[8] Barchart, Nasdaq/The Motley Fool, Seeking Alpha, GuruFocus y 247wallst (agosto y septiembre de 2026).</w:t>
      </w:r>
      <w:r>
        <w:t xml:space="preserve"> </w:t>
      </w:r>
      <w:r>
        <w:t xml:space="preserve">[9] TradingView, getquin e Investing.com México; Reddit, StockTwits y Rankia sin hilos recientes indexados.</w:t>
      </w:r>
      <w:r>
        <w:t xml:space="preserve"> </w:t>
      </w:r>
      <w:r>
        <w:t xml:space="preserve">[10] SEC EDGAR, formularios 4 de Fabrinet (nov-2025 a sep-2026).</w:t>
      </w:r>
      <w:r>
        <w:t xml:space="preserve"> </w:t>
      </w:r>
      <w:r>
        <w:t xml:space="preserve">[11] Fabrinet, 8-K del 17-ago-2026 (préstamo del Bank of Ayudhya y plan de bonus del FY27).</w:t>
      </w:r>
      <w:r>
        <w:t xml:space="preserve"> </w:t>
      </w:r>
      <w:r>
        <w:t xml:space="preserve">[12] Mercado alcanzable: estimación propia y en parte de memoria (LightCounting, MarketsandMarkets).</w:t>
      </w:r>
      <w:r>
        <w:t xml:space="preserve"> </w:t>
      </w:r>
      <w:r>
        <w:t xml:space="preserve">[13] Cálculo propio con el XBRL y los precios: EBITDA ajustado, EV/EBITDA histórico y comparables (aproximados, del informe de Celestica).</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2026-10-14T21:44:21Z</dcterms:created>
  <dcterms:modified xsi:type="dcterms:W3CDTF">2026-10-14T21:44:21Z</dcterms:modified>
</cp:coreProperties>
</file>

<file path=docProps/custom.xml><?xml version="1.0" encoding="utf-8"?>
<Properties xmlns="http://schemas.openxmlformats.org/officeDocument/2006/custom-properties" xmlns:vt="http://schemas.openxmlformats.org/officeDocument/2006/docPropsVTypes"/>
</file>