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glaukos-gkos-análisis-growth-14-oct-2026"/>
    <w:p>
      <w:pPr>
        <w:pStyle w:val="Heading1"/>
      </w:pPr>
      <w:r>
        <w:t xml:space="preserve">Glaukos (GKOS): análisis growth, 14-oct-2026</w:t>
      </w:r>
    </w:p>
    <w:p>
      <w:pPr>
        <w:pStyle w:val="FirstParagraph"/>
      </w:pPr>
      <w:r>
        <w:rPr>
          <w:bCs/>
          <w:b/>
        </w:rPr>
        <w:t xml:space="preserve">Señal (método v11, vigente): Mantener, en vigilancia</w:t>
      </w:r>
      <w:r>
        <w:t xml:space="preserve"> </w:t>
      </w:r>
      <w:r>
        <w:t xml:space="preserve">· Puntuación 82,5/100 · Señales de cambio de tendencia 7/8 · EV/beneficio bruto NTM 16,1x</w:t>
      </w:r>
    </w:p>
    <w:p>
      <w:pPr>
        <w:numPr>
          <w:ilvl w:val="0"/>
          <w:numId w:val="1001"/>
        </w:numPr>
        <w:pStyle w:val="Compact"/>
      </w:pPr>
      <w:r>
        <w:t xml:space="preserve">Precio: 165,50 USD, cierre del 13-oct.</w:t>
      </w:r>
    </w:p>
    <w:p>
      <w:pPr>
        <w:numPr>
          <w:ilvl w:val="0"/>
          <w:numId w:val="1001"/>
        </w:numPr>
        <w:pStyle w:val="Compact"/>
      </w:pPr>
      <w:r>
        <w:t xml:space="preserve">Objetivo a 12 meses: 169,7 USD.</w:t>
      </w:r>
    </w:p>
    <w:p>
      <w:pPr>
        <w:numPr>
          <w:ilvl w:val="0"/>
          <w:numId w:val="1001"/>
        </w:numPr>
        <w:pStyle w:val="Compact"/>
      </w:pPr>
      <w:r>
        <w:t xml:space="preserve">Rentabilidad ponderada: +2,5 %. Base: +5,7 %. Bajista: −47,4 %. Alcista: +46,2 %.</w:t>
      </w:r>
    </w:p>
    <w:p>
      <w:pPr>
        <w:numPr>
          <w:ilvl w:val="0"/>
          <w:numId w:val="1001"/>
        </w:numPr>
        <w:pStyle w:val="Compact"/>
      </w:pPr>
      <w:r>
        <w:t xml:space="preserve">Compra hasta: 161,6 USD.</w:t>
      </w:r>
    </w:p>
    <w:p>
      <w:pPr>
        <w:numPr>
          <w:ilvl w:val="0"/>
          <w:numId w:val="1001"/>
        </w:numPr>
        <w:pStyle w:val="Compact"/>
      </w:pPr>
      <w:r>
        <w:t xml:space="preserve">Peso orientativo: no entra hoy.</w:t>
      </w:r>
    </w:p>
    <w:p>
      <w:pPr>
        <w:numPr>
          <w:ilvl w:val="0"/>
          <w:numId w:val="1001"/>
        </w:numPr>
        <w:pStyle w:val="Compact"/>
      </w:pPr>
      <w:r>
        <w:t xml:space="preserve">Por qué no compra: la ponderada se queda en +2,5 %, por debajo del 5 % que pide el método. El negocio es excelente; el precio ya descuenta casi todo lo que el consenso espera.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Método</w:t>
            </w:r>
          </w:p>
        </w:tc>
        <w:tc>
          <w:tcPr/>
          <w:p>
            <w:pPr>
              <w:pStyle w:val="Compact"/>
              <w:jc w:val="left"/>
            </w:pPr>
            <w:r>
              <w:t xml:space="preserve">Puntuación</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Señal</w:t>
            </w:r>
          </w:p>
        </w:tc>
        <w:tc>
          <w:tcPr/>
          <w:p>
            <w:pPr>
              <w:pStyle w:val="Compact"/>
              <w:jc w:val="left"/>
            </w:pPr>
            <w:r>
              <w:t xml:space="preserve">Compra hasta</w:t>
            </w:r>
          </w:p>
        </w:tc>
      </w:tr>
      <w:tr>
        <w:tc>
          <w:tcPr/>
          <w:p>
            <w:pPr>
              <w:pStyle w:val="Compact"/>
              <w:jc w:val="left"/>
            </w:pPr>
            <w:r>
              <w:rPr>
                <w:bCs/>
                <w:b/>
              </w:rPr>
              <w:t xml:space="preserve">v11 (vigente)</w:t>
            </w:r>
            <w:r>
              <w:t xml:space="preserve">: ventas = la menor entre la mecánica y la del informe</w:t>
            </w:r>
          </w:p>
        </w:tc>
        <w:tc>
          <w:tcPr/>
          <w:p>
            <w:pPr>
              <w:pStyle w:val="Compact"/>
              <w:jc w:val="left"/>
            </w:pPr>
            <w:r>
              <w:t xml:space="preserve">82,5</w:t>
            </w:r>
          </w:p>
        </w:tc>
        <w:tc>
          <w:tcPr/>
          <w:p>
            <w:pPr>
              <w:pStyle w:val="Compact"/>
              <w:jc w:val="left"/>
            </w:pPr>
            <w:r>
              <w:t xml:space="preserve">+2,5 %</w:t>
            </w:r>
          </w:p>
        </w:tc>
        <w:tc>
          <w:tcPr/>
          <w:p>
            <w:pPr>
              <w:pStyle w:val="Compact"/>
              <w:jc w:val="left"/>
            </w:pPr>
            <w:r>
              <w:t xml:space="preserve">+5,7 %</w:t>
            </w:r>
          </w:p>
        </w:tc>
        <w:tc>
          <w:tcPr/>
          <w:p>
            <w:pPr>
              <w:pStyle w:val="Compact"/>
              <w:jc w:val="left"/>
            </w:pPr>
            <w:r>
              <w:t xml:space="preserve">−47,4 %</w:t>
            </w:r>
          </w:p>
        </w:tc>
        <w:tc>
          <w:tcPr/>
          <w:p>
            <w:pPr>
              <w:pStyle w:val="Compact"/>
              <w:jc w:val="left"/>
            </w:pPr>
            <w:r>
              <w:rPr>
                <w:bCs/>
                <w:b/>
              </w:rPr>
              <w:t xml:space="preserve">Mantener (vigilancia)</w:t>
            </w:r>
          </w:p>
        </w:tc>
        <w:tc>
          <w:tcPr/>
          <w:p>
            <w:pPr>
              <w:pStyle w:val="Compact"/>
              <w:jc w:val="left"/>
            </w:pPr>
            <w:r>
              <w:t xml:space="preserve">161,6 USD</w:t>
            </w:r>
          </w:p>
        </w:tc>
      </w:tr>
      <w:tr>
        <w:tc>
          <w:tcPr/>
          <w:p>
            <w:pPr>
              <w:pStyle w:val="Compact"/>
              <w:jc w:val="left"/>
            </w:pPr>
            <w:r>
              <w:t xml:space="preserve">v9 (referencia): ventas mecánicas, 1.073 M en el base</w:t>
            </w:r>
          </w:p>
        </w:tc>
        <w:tc>
          <w:tcPr/>
          <w:p>
            <w:pPr>
              <w:pStyle w:val="Compact"/>
              <w:jc w:val="left"/>
            </w:pPr>
            <w:r>
              <w:t xml:space="preserve">82,5</w:t>
            </w:r>
          </w:p>
        </w:tc>
        <w:tc>
          <w:tcPr/>
          <w:p>
            <w:pPr>
              <w:pStyle w:val="Compact"/>
              <w:jc w:val="left"/>
            </w:pPr>
            <w:r>
              <w:t xml:space="preserve">+17,8 %</w:t>
            </w:r>
          </w:p>
        </w:tc>
        <w:tc>
          <w:tcPr/>
          <w:p>
            <w:pPr>
              <w:pStyle w:val="Compact"/>
              <w:jc w:val="left"/>
            </w:pPr>
            <w:r>
              <w:t xml:space="preserve">+21,0 %</w:t>
            </w:r>
          </w:p>
        </w:tc>
        <w:tc>
          <w:tcPr/>
          <w:p>
            <w:pPr>
              <w:pStyle w:val="Compact"/>
              <w:jc w:val="left"/>
            </w:pPr>
            <w:r>
              <w:t xml:space="preserve">−43,0 %</w:t>
            </w:r>
          </w:p>
        </w:tc>
        <w:tc>
          <w:tcPr/>
          <w:p>
            <w:pPr>
              <w:pStyle w:val="Compact"/>
              <w:jc w:val="left"/>
            </w:pPr>
            <w:r>
              <w:t xml:space="preserve">Comprar (media)</w:t>
            </w:r>
          </w:p>
        </w:tc>
        <w:tc>
          <w:tcPr/>
          <w:p>
            <w:pPr>
              <w:pStyle w:val="Compact"/>
              <w:jc w:val="left"/>
            </w:pPr>
            <w:r>
              <w:t xml:space="preserve">185,7 USD</w:t>
            </w:r>
          </w:p>
        </w:tc>
      </w:tr>
    </w:tbl>
    <w:p>
      <w:pPr>
        <w:pStyle w:val="BlockText"/>
      </w:pPr>
      <w:r>
        <w:rPr>
          <w:bCs/>
          <w:b/>
        </w:rPr>
        <w:t xml:space="preserve">Al precio actual</w:t>
      </w:r>
      <w:r>
        <w:t xml:space="preserve"> </w:t>
      </w:r>
      <w:r>
        <w:t xml:space="preserve">(167,01 USD, 14-oct a las 18:31 UTC, Yahoo) y con el objetivo del informe</w:t>
      </w:r>
      <w:r>
        <w:t xml:space="preserve"> </w:t>
      </w:r>
      <w:r>
        <w:rPr>
          <w:bCs/>
          <w:b/>
        </w:rPr>
        <w:t xml:space="preserve">fijo</w:t>
      </w:r>
      <w:r>
        <w:t xml:space="preserve"> </w:t>
      </w:r>
      <w:r>
        <w:t xml:space="preserve">(169,7 USD): ponderada</w:t>
      </w:r>
      <w:r>
        <w:t xml:space="preserve"> </w:t>
      </w:r>
      <w:r>
        <w:rPr>
          <w:bCs/>
          <w:b/>
        </w:rPr>
        <w:t xml:space="preserve">+1,6 %</w:t>
      </w:r>
      <w:r>
        <w:t xml:space="preserve"> </w:t>
      </w:r>
      <w:r>
        <w:t xml:space="preserve">y base</w:t>
      </w:r>
      <w:r>
        <w:t xml:space="preserve"> </w:t>
      </w:r>
      <w:r>
        <w:rPr>
          <w:bCs/>
          <w:b/>
        </w:rPr>
        <w:t xml:space="preserve">+4,7 %</w:t>
      </w:r>
      <w:r>
        <w:t xml:space="preserve">. Sigue en Mantener: el precio está por encima del «compra hasta» (161,6).</w:t>
      </w:r>
      <w:r>
        <w:t xml:space="preserve"> </w:t>
      </w:r>
      <w:r>
        <w:rPr>
          <w:bCs/>
          <w:b/>
        </w:rPr>
        <w:t xml:space="preserve">Valoración por EV/ventas NTM</w:t>
      </w:r>
      <w:r>
        <w:t xml:space="preserve">: Glaukos todavía pierde dinero (pérdida operativa GAAP de 37 M en el 1S26 y FCF de 12 meses de −12 M), así que no es rentable de forma estable y no se valora por EBITDA.</w:t>
      </w:r>
      <w:r>
        <w:t xml:space="preserve"> </w:t>
      </w:r>
      <w:r>
        <w:rPr>
          <w:bCs/>
          <w:b/>
        </w:rPr>
        <w:t xml:space="preserve">Sin compras que muevan el crecimiento</w:t>
      </w:r>
      <w:r>
        <w:t xml:space="preserve">: las operaciones recientes (Mobius, la licencia de RO-104) no aportan ventas en los próximos 12 meses, así que no aplica la candidata v12 de crecimiento orgánico.</w:t>
      </w:r>
    </w:p>
    <w:bookmarkStart w:id="20" w:name="la-tesis-en-cinco-líneas"/>
    <w:p>
      <w:pPr>
        <w:pStyle w:val="Heading2"/>
      </w:pPr>
      <w:r>
        <w:t xml:space="preserve">1. La tesis en cinco líneas</w:t>
      </w:r>
    </w:p>
    <w:p>
      <w:pPr>
        <w:numPr>
          <w:ilvl w:val="0"/>
          <w:numId w:val="1002"/>
        </w:numPr>
        <w:pStyle w:val="Compact"/>
      </w:pPr>
      <w:r>
        <w:t xml:space="preserve">Glaukos inventó la cirugía mínimamente invasiva del glaucoma (iStent) y ahora vende</w:t>
      </w:r>
      <w:r>
        <w:t xml:space="preserve"> </w:t>
      </w:r>
      <w:r>
        <w:rPr>
          <w:bCs/>
          <w:b/>
        </w:rPr>
        <w:t xml:space="preserve">iDose TR</w:t>
      </w:r>
      <w:r>
        <w:t xml:space="preserve">, un implante que libera el fármaco dentro del ojo durante años y sustituye a las gotas diarias, y</w:t>
      </w:r>
      <w:r>
        <w:t xml:space="preserve"> </w:t>
      </w:r>
      <w:r>
        <w:rPr>
          <w:bCs/>
          <w:b/>
        </w:rPr>
        <w:t xml:space="preserve">Epioxa</w:t>
      </w:r>
      <w:r>
        <w:t xml:space="preserve">, el primer tratamiento aprobado del queratocono sin quitar la capa externa de la córnea. Vende 612,8 M USD en 12 meses (+41,5 %), con un margen bruto del 79 %.</w:t>
      </w:r>
    </w:p>
    <w:p>
      <w:pPr>
        <w:numPr>
          <w:ilvl w:val="0"/>
          <w:numId w:val="1002"/>
        </w:numPr>
        <w:pStyle w:val="Compact"/>
      </w:pPr>
      <w:r>
        <w:t xml:space="preserve">Está acelerando: +49,5 % en el 2T26 frente a +36 % de media en los cuatro trimestres anteriores. iDose ya vende unos 74 M por trimestre y la empresa ha subido la guía de 2026 dos veces, hasta 680-700 M.</w:t>
      </w:r>
    </w:p>
    <w:p>
      <w:pPr>
        <w:numPr>
          <w:ilvl w:val="0"/>
          <w:numId w:val="1002"/>
        </w:numPr>
        <w:pStyle w:val="Compact"/>
      </w:pPr>
      <w:r>
        <w:t xml:space="preserve">La tendencia ha girado del todo (7 de 8 señales): la acción ha doblado en 12 meses, está muy por encima de su media de 200 sesiones y los analistas suben objetivos. No hay euforia según la regla (sube un 99 %, por debajo del 150 %).</w:t>
      </w:r>
    </w:p>
    <w:p>
      <w:pPr>
        <w:numPr>
          <w:ilvl w:val="0"/>
          <w:numId w:val="1002"/>
        </w:numPr>
        <w:pStyle w:val="Compact"/>
      </w:pPr>
      <w:r>
        <w:t xml:space="preserve">El problema es el precio: 12,7 veces las ventas de los próximos 12 meses, por encima de su mediana de 3 años (10,4x). Con las ventas del consenso a jun-2028 (935 M), el objetivo ponderado da solo +2,5 %. Y hay un riesgo concreto: cinco de los siete contratistas de Medicare han propuesto reglas de cobertura (LCD) que podrían recortar el volumen de iDose un 25-30 %.</w:t>
      </w:r>
    </w:p>
    <w:p>
      <w:pPr>
        <w:numPr>
          <w:ilvl w:val="0"/>
          <w:numId w:val="1002"/>
        </w:numPr>
        <w:pStyle w:val="Compact"/>
      </w:pPr>
      <w:r>
        <w:t xml:space="preserve">Conclusión:</w:t>
      </w:r>
      <w:r>
        <w:t xml:space="preserve"> </w:t>
      </w:r>
      <w:r>
        <w:rPr>
          <w:bCs/>
          <w:b/>
        </w:rPr>
        <w:t xml:space="preserve">Mantener, en vigilancia</w:t>
      </w:r>
      <w:r>
        <w:t xml:space="preserve">. Pasaría a Comprar por debajo de 161,6 USD o si los resultados del 3T (28-oct) y la guía de 2027 suben las ventas esperadas.</w:t>
      </w:r>
    </w:p>
    <w:bookmarkEnd w:id="20"/>
    <w:bookmarkStart w:id="21" w:name="negocio-y-tecnología"/>
    <w:p>
      <w:pPr>
        <w:pStyle w:val="Heading2"/>
      </w:pPr>
      <w:r>
        <w:t xml:space="preserve">2. Negocio y tecnología</w:t>
      </w:r>
    </w:p>
    <w:p>
      <w:pPr>
        <w:numPr>
          <w:ilvl w:val="0"/>
          <w:numId w:val="1003"/>
        </w:numPr>
        <w:pStyle w:val="Compact"/>
      </w:pPr>
      <w:r>
        <w:rPr>
          <w:bCs/>
          <w:b/>
        </w:rPr>
        <w:t xml:space="preserve">Glaucoma (84 % de las ventas)</w:t>
      </w:r>
      <w:r>
        <w:t xml:space="preserve">: la familia</w:t>
      </w:r>
      <w:r>
        <w:t xml:space="preserve"> </w:t>
      </w:r>
      <w:r>
        <w:rPr>
          <w:bCs/>
          <w:b/>
        </w:rPr>
        <w:t xml:space="preserve">iStent</w:t>
      </w:r>
      <w:r>
        <w:t xml:space="preserve"> </w:t>
      </w:r>
      <w:r>
        <w:t xml:space="preserve">(stents de titanio diminutos que abren el drenaje del ojo, solos o junto con la cirugía de cataratas) e</w:t>
      </w:r>
      <w:r>
        <w:t xml:space="preserve"> </w:t>
      </w:r>
      <w:r>
        <w:rPr>
          <w:bCs/>
          <w:b/>
        </w:rPr>
        <w:t xml:space="preserve">iDose TR</w:t>
      </w:r>
      <w:r>
        <w:t xml:space="preserve">, un implante de titanio que se coloca en la cámara anterior del ojo y libera travoprost durante meses. Sustituye a las gotas, que la mitad de los pacientes deja de ponerse. La FDA aprobó en enero de 2026 poder reponerlo (readministración) [2][3].</w:t>
      </w:r>
    </w:p>
    <w:p>
      <w:pPr>
        <w:numPr>
          <w:ilvl w:val="0"/>
          <w:numId w:val="1003"/>
        </w:numPr>
        <w:pStyle w:val="Compact"/>
      </w:pPr>
      <w:r>
        <w:rPr>
          <w:bCs/>
          <w:b/>
        </w:rPr>
        <w:t xml:space="preserve">Salud corneal (16 %)</w:t>
      </w:r>
      <w:r>
        <w:t xml:space="preserve">: entrecruzamiento corneal para el queratocono.</w:t>
      </w:r>
      <w:r>
        <w:t xml:space="preserve"> </w:t>
      </w:r>
      <w:r>
        <w:rPr>
          <w:bCs/>
          <w:b/>
        </w:rPr>
        <w:t xml:space="preserve">Epioxa</w:t>
      </w:r>
      <w:r>
        <w:t xml:space="preserve">, aprobado en octubre de 2025, no exige quitar el epitelio: menos dolor y recuperación más rápida. Sustituye a Photrexa, que deja de venderse en el 3T26. Tiene código de facturación propio (J2789) desde el 1-jul [2][3].</w:t>
      </w:r>
    </w:p>
    <w:p>
      <w:pPr>
        <w:numPr>
          <w:ilvl w:val="0"/>
          <w:numId w:val="1003"/>
        </w:numPr>
        <w:pStyle w:val="Compact"/>
      </w:pPr>
      <w:r>
        <w:rPr>
          <w:bCs/>
          <w:b/>
        </w:rPr>
        <w:t xml:space="preserve">En desarrollo</w:t>
      </w:r>
      <w:r>
        <w:t xml:space="preserve">: iDose TREX (fase 2b/3), iDose TRIO (fase 3b), iStent infinite en glaucoma leve-moderado (estudio pivotal con inscripción completa), y retina (RO-104, licenciado el 8-oct) [3][12].</w:t>
      </w:r>
    </w:p>
    <w:p>
      <w:pPr>
        <w:pStyle w:val="FirstParagraph"/>
      </w:pPr>
      <w:r>
        <w:rPr>
          <w:bCs/>
          <w:b/>
        </w:rPr>
        <w:t xml:space="preserve">Tecnología 4/5</w:t>
      </w:r>
      <w:r>
        <w:t xml:space="preserve">: iDose y Epioxa son los únicos aprobados en su categoría y tienen patentes y años de ensayos detrás; no es 5 porque en cirugía combinada con cataratas hay alternativas (Alcon, Sight Sciences) y en liberación sostenida AbbVie tiene Durysta.</w:t>
      </w:r>
      <w:r>
        <w:t xml:space="preserve"> </w:t>
      </w:r>
      <w:r>
        <w:rPr>
          <w:bCs/>
          <w:b/>
        </w:rPr>
        <w:t xml:space="preserve">Posición 5/5</w:t>
      </w:r>
      <w:r>
        <w:t xml:space="preserve">: líder mundial en MIGS e inventor de la categoría, con cuota creciente en EE. UU.</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2T25</w:t>
            </w:r>
          </w:p>
        </w:tc>
        <w:tc>
          <w:tcPr/>
          <w:p>
            <w:pPr>
              <w:pStyle w:val="Compact"/>
              <w:jc w:val="left"/>
            </w:pPr>
            <w:r>
              <w:t xml:space="preserve">124,1</w:t>
            </w:r>
          </w:p>
        </w:tc>
        <w:tc>
          <w:tcPr/>
          <w:p>
            <w:pPr>
              <w:pStyle w:val="Compact"/>
              <w:jc w:val="left"/>
            </w:pPr>
            <w:r>
              <w:t xml:space="preserve">+29,7 %</w:t>
            </w:r>
          </w:p>
        </w:tc>
      </w:tr>
      <w:tr>
        <w:tc>
          <w:tcPr/>
          <w:p>
            <w:pPr>
              <w:pStyle w:val="Compact"/>
              <w:jc w:val="left"/>
            </w:pPr>
            <w:r>
              <w:t xml:space="preserve">3T25</w:t>
            </w:r>
          </w:p>
        </w:tc>
        <w:tc>
          <w:tcPr/>
          <w:p>
            <w:pPr>
              <w:pStyle w:val="Compact"/>
              <w:jc w:val="left"/>
            </w:pPr>
            <w:r>
              <w:t xml:space="preserve">133,5</w:t>
            </w:r>
          </w:p>
        </w:tc>
        <w:tc>
          <w:tcPr/>
          <w:p>
            <w:pPr>
              <w:pStyle w:val="Compact"/>
              <w:jc w:val="left"/>
            </w:pPr>
            <w:r>
              <w:t xml:space="preserve">+38,1 %</w:t>
            </w:r>
          </w:p>
        </w:tc>
      </w:tr>
      <w:tr>
        <w:tc>
          <w:tcPr/>
          <w:p>
            <w:pPr>
              <w:pStyle w:val="Compact"/>
              <w:jc w:val="left"/>
            </w:pPr>
            <w:r>
              <w:t xml:space="preserve">4T25</w:t>
            </w:r>
          </w:p>
        </w:tc>
        <w:tc>
          <w:tcPr/>
          <w:p>
            <w:pPr>
              <w:pStyle w:val="Compact"/>
              <w:jc w:val="left"/>
            </w:pPr>
            <w:r>
              <w:t xml:space="preserve">143,1</w:t>
            </w:r>
          </w:p>
        </w:tc>
        <w:tc>
          <w:tcPr/>
          <w:p>
            <w:pPr>
              <w:pStyle w:val="Compact"/>
              <w:jc w:val="left"/>
            </w:pPr>
            <w:r>
              <w:t xml:space="preserve">+35,7 %</w:t>
            </w:r>
          </w:p>
        </w:tc>
      </w:tr>
      <w:tr>
        <w:tc>
          <w:tcPr/>
          <w:p>
            <w:pPr>
              <w:pStyle w:val="Compact"/>
              <w:jc w:val="left"/>
            </w:pPr>
            <w:r>
              <w:t xml:space="preserve">1T26</w:t>
            </w:r>
          </w:p>
        </w:tc>
        <w:tc>
          <w:tcPr/>
          <w:p>
            <w:pPr>
              <w:pStyle w:val="Compact"/>
              <w:jc w:val="left"/>
            </w:pPr>
            <w:r>
              <w:t xml:space="preserve">150,6</w:t>
            </w:r>
          </w:p>
        </w:tc>
        <w:tc>
          <w:tcPr/>
          <w:p>
            <w:pPr>
              <w:pStyle w:val="Compact"/>
              <w:jc w:val="left"/>
            </w:pPr>
            <w:r>
              <w:t xml:space="preserve">+41,2 %</w:t>
            </w:r>
          </w:p>
        </w:tc>
      </w:tr>
      <w:tr>
        <w:tc>
          <w:tcPr/>
          <w:p>
            <w:pPr>
              <w:pStyle w:val="Compact"/>
              <w:jc w:val="left"/>
            </w:pPr>
            <w:r>
              <w:t xml:space="preserve">2T26</w:t>
            </w:r>
          </w:p>
        </w:tc>
        <w:tc>
          <w:tcPr/>
          <w:p>
            <w:pPr>
              <w:pStyle w:val="Compact"/>
              <w:jc w:val="left"/>
            </w:pPr>
            <w:r>
              <w:t xml:space="preserve">185,6</w:t>
            </w:r>
          </w:p>
        </w:tc>
        <w:tc>
          <w:tcPr/>
          <w:p>
            <w:pPr>
              <w:pStyle w:val="Compact"/>
              <w:jc w:val="left"/>
            </w:pPr>
            <w:r>
              <w:t xml:space="preserve">+49,5 %</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Año</w:t>
            </w:r>
          </w:p>
        </w:tc>
        <w:tc>
          <w:tcPr/>
          <w:p>
            <w:pPr>
              <w:pStyle w:val="Compact"/>
              <w:jc w:val="left"/>
            </w:pPr>
            <w:r>
              <w:t xml:space="preserve">Ventas</w:t>
            </w:r>
          </w:p>
        </w:tc>
        <w:tc>
          <w:tcPr/>
          <w:p>
            <w:pPr>
              <w:pStyle w:val="Compact"/>
              <w:jc w:val="left"/>
            </w:pPr>
            <w:r>
              <w:t xml:space="preserve">Crecimiento</w:t>
            </w:r>
          </w:p>
        </w:tc>
        <w:tc>
          <w:tcPr/>
          <w:p>
            <w:pPr>
              <w:pStyle w:val="Compact"/>
              <w:jc w:val="left"/>
            </w:pPr>
            <w:r>
              <w:t xml:space="preserve">Primera guía</w:t>
            </w:r>
          </w:p>
        </w:tc>
        <w:tc>
          <w:tcPr/>
          <w:p>
            <w:pPr>
              <w:pStyle w:val="Compact"/>
              <w:jc w:val="left"/>
            </w:pPr>
            <w:r>
              <w:t xml:space="preserve">Exceso sobre la guía</w:t>
            </w:r>
          </w:p>
        </w:tc>
      </w:tr>
      <w:tr>
        <w:tc>
          <w:tcPr/>
          <w:p>
            <w:pPr>
              <w:pStyle w:val="Compact"/>
              <w:jc w:val="left"/>
            </w:pPr>
            <w:r>
              <w:t xml:space="preserve">2024</w:t>
            </w:r>
          </w:p>
        </w:tc>
        <w:tc>
          <w:tcPr/>
          <w:p>
            <w:pPr>
              <w:pStyle w:val="Compact"/>
              <w:jc w:val="left"/>
            </w:pPr>
            <w:r>
              <w:t xml:space="preserve">383,5</w:t>
            </w:r>
          </w:p>
        </w:tc>
        <w:tc>
          <w:tcPr/>
          <w:p>
            <w:pPr>
              <w:pStyle w:val="Compact"/>
              <w:jc w:val="left"/>
            </w:pPr>
            <w:r>
              <w:t xml:space="preserve">+22 %</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507,4</w:t>
            </w:r>
          </w:p>
        </w:tc>
        <w:tc>
          <w:tcPr/>
          <w:p>
            <w:pPr>
              <w:pStyle w:val="Compact"/>
              <w:jc w:val="left"/>
            </w:pPr>
            <w:r>
              <w:t xml:space="preserve">+32,3 %</w:t>
            </w:r>
          </w:p>
        </w:tc>
        <w:tc>
          <w:tcPr/>
          <w:p>
            <w:pPr>
              <w:pStyle w:val="Compact"/>
              <w:jc w:val="left"/>
            </w:pPr>
            <w:r>
              <w:t xml:space="preserve">475-485 (+25,2 %)</w:t>
            </w:r>
          </w:p>
        </w:tc>
        <w:tc>
          <w:tcPr/>
          <w:p>
            <w:pPr>
              <w:pStyle w:val="Compact"/>
              <w:jc w:val="left"/>
            </w:pPr>
            <w:r>
              <w:t xml:space="preserve">+7,1 pp</w:t>
            </w:r>
          </w:p>
        </w:tc>
      </w:tr>
      <w:tr>
        <w:tc>
          <w:tcPr/>
          <w:p>
            <w:pPr>
              <w:pStyle w:val="Compact"/>
              <w:jc w:val="left"/>
            </w:pPr>
            <w:r>
              <w:t xml:space="preserve">2026 (guía de julio)</w:t>
            </w:r>
          </w:p>
        </w:tc>
        <w:tc>
          <w:tcPr/>
          <w:p>
            <w:pPr>
              <w:pStyle w:val="Compact"/>
              <w:jc w:val="left"/>
            </w:pPr>
            <w:r>
              <w:t xml:space="preserve">680-700</w:t>
            </w:r>
          </w:p>
        </w:tc>
        <w:tc>
          <w:tcPr/>
          <w:p>
            <w:pPr>
              <w:pStyle w:val="Compact"/>
              <w:jc w:val="left"/>
            </w:pPr>
            <w:r>
              <w:t xml:space="preserve">+36 %</w:t>
            </w:r>
          </w:p>
        </w:tc>
        <w:tc>
          <w:tcPr/>
          <w:p>
            <w:pPr>
              <w:pStyle w:val="Compact"/>
              <w:jc w:val="left"/>
            </w:pPr>
            <w:r>
              <w:t xml:space="preserve">600-620 (+20,2 %)</w:t>
            </w:r>
          </w:p>
        </w:tc>
        <w:tc>
          <w:tcPr/>
          <w:p>
            <w:pPr>
              <w:pStyle w:val="Compact"/>
              <w:jc w:val="left"/>
            </w:pPr>
            <w:r>
              <w:t xml:space="preserve">ya +16 pp</w:t>
            </w:r>
          </w:p>
        </w:tc>
      </w:tr>
    </w:tbl>
    <w:p>
      <w:pPr>
        <w:pStyle w:val="BodyText"/>
      </w:pPr>
      <w:r>
        <w:t xml:space="preserve">Fuentes: SEC XBRL y notas de resultados [1][4][5][6]. 12 meses: +41,5 %; CAGR propio a 2 años: 33,9 %;</w:t>
      </w:r>
      <w:r>
        <w:t xml:space="preserve"> </w:t>
      </w:r>
      <w:r>
        <w:rPr>
          <w:bCs/>
          <w:b/>
        </w:rPr>
        <w:t xml:space="preserve">aceleración +13,3 pp</w:t>
      </w:r>
      <w:r>
        <w:t xml:space="preserve">. En el 2T26: glaucoma EE. UU. 118,5 M (+64 %, con iDose ~74 M), glaucoma internacional 36,6 M (+17 %), salud corneal 30,4 M (+48 %, con Epioxa ~11 M) [3]. La dirección espera ~275-280 M de iDose en 2026 [11].</w:t>
      </w:r>
    </w:p>
    <w:p>
      <w:pPr>
        <w:pStyle w:val="BodyText"/>
      </w:pPr>
      <w:r>
        <w:rPr>
          <w:bCs/>
          <w:b/>
        </w:rPr>
        <w:t xml:space="preserve">Guía</w:t>
      </w:r>
      <w:r>
        <w:t xml:space="preserve">: la de 2026 implica un 2S26 de 353,8 M,</w:t>
      </w:r>
      <w:r>
        <w:t xml:space="preserve"> </w:t>
      </w:r>
      <w:r>
        <w:rPr>
          <w:bCs/>
          <w:b/>
        </w:rPr>
        <w:t xml:space="preserve">+27,9 %</w:t>
      </w:r>
      <w:r>
        <w:t xml:space="preserve">: frena respecto al +50 % del 2T por la transición de Photrexa a Epioxa en el 3T y por prudencia ante las LCD [3]. Glaukos suele batir su guía (+7,1 pp en 2025), y v9 parte de guía más exceso: 35 %.</w:t>
      </w:r>
    </w:p>
    <w:bookmarkEnd w:id="22"/>
    <w:bookmarkStart w:id="23" w:name="mercado-y-competencia"/>
    <w:p>
      <w:pPr>
        <w:pStyle w:val="Heading2"/>
      </w:pPr>
      <w:r>
        <w:t xml:space="preserve">4. Mercado y competencia</w:t>
      </w:r>
    </w:p>
    <w:p>
      <w:pPr>
        <w:pStyle w:val="FirstParagraph"/>
      </w:pPr>
      <w:r>
        <w:t xml:space="preserve">Mercado alcanzable en 2028 (estimación propia,</w:t>
      </w:r>
      <w:r>
        <w:t xml:space="preserve"> </w:t>
      </w:r>
      <w:r>
        <w:rPr>
          <w:rStyle w:val="VerbatimChar"/>
        </w:rPr>
        <w:t xml:space="preserve">mercado.nota_tam</w:t>
      </w:r>
      <w:r>
        <w:t xml:space="preserve">): MIGS en el mundo ~1.500 M, fármaco de liberación sostenida en EE. UU. ~2.500 M, queratocono ~500 M y resto internacional ~500 M:</w:t>
      </w:r>
      <w:r>
        <w:t xml:space="preserve"> </w:t>
      </w:r>
      <w:r>
        <w:rPr>
          <w:bCs/>
          <w:b/>
        </w:rPr>
        <w:t xml:space="preserve">~5.000 M</w:t>
      </w:r>
      <w:r>
        <w:t xml:space="preserve">, con una penetración del 12 %. El glaucoma afecta a millones de pacientes que hoy usan gotas: el potencial de iDose es muy superior a las ventas actuales si Medicare lo cubre sin restricciones.</w:t>
      </w:r>
    </w:p>
    <w:p>
      <w:pPr>
        <w:pStyle w:val="BodyText"/>
      </w:pPr>
      <w:r>
        <w:t xml:space="preserve">Rivales: en MIGS, Alcon (Hydrus) y Sight Sciences (OMNI), que compiten en la cirugía combinada con cataratas, donde los honorarios del cirujano bajaron; en liberación sostenida, Durysta (AbbVie, de memoria), de duración más corta. Pleito por secretos comerciales contra SpyGlass Pharma, con una orden judicial a favor de Glaukos (dic-2025) [2]. Por qué gana: es la única con una cartera completa para el glaucoma «intervencionista» (stent, implante de fármaco, láser), un equipo comercial ya dentro de los quirófanos y precio alto por unidad.</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rPr>
                <w:bCs/>
                <w:b/>
              </w:rPr>
              <w:t xml:space="preserve">Sí</w:t>
            </w:r>
          </w:p>
        </w:tc>
        <w:tc>
          <w:tcPr/>
          <w:p>
            <w:pPr>
              <w:pStyle w:val="Compact"/>
              <w:jc w:val="left"/>
            </w:pPr>
            <w:r>
              <w:t xml:space="preserve">Guía de 2026 subida dos veces, hasta 680-700 M; consenso de 2026 de ~614 M en marzo a 691,7 M; objetivos al alza en octubre (Mizuho 190, BTIG 205) [4][9]</w:t>
            </w:r>
          </w:p>
        </w:tc>
      </w:tr>
      <w:tr>
        <w:tc>
          <w:tcPr/>
          <w:p>
            <w:pPr>
              <w:pStyle w:val="Compact"/>
              <w:jc w:val="left"/>
            </w:pPr>
            <w:r>
              <w:t xml:space="preserve">2. Precio sobre la media de 200</w:t>
            </w:r>
          </w:p>
        </w:tc>
        <w:tc>
          <w:tcPr/>
          <w:p>
            <w:pPr>
              <w:pStyle w:val="Compact"/>
              <w:jc w:val="left"/>
            </w:pPr>
            <w:r>
              <w:rPr>
                <w:bCs/>
                <w:b/>
              </w:rPr>
              <w:t xml:space="preserve">Sí</w:t>
            </w:r>
          </w:p>
        </w:tc>
        <w:tc>
          <w:tcPr/>
          <w:p>
            <w:pPr>
              <w:pStyle w:val="Compact"/>
              <w:jc w:val="left"/>
            </w:pPr>
            <w:r>
              <w:t xml:space="preserve">165,50 frente a 136,8, que sube (114,0 hace 60 sesiones) [7]</w:t>
            </w:r>
          </w:p>
        </w:tc>
      </w:tr>
      <w:tr>
        <w:tc>
          <w:tcPr/>
          <w:p>
            <w:pPr>
              <w:pStyle w:val="Compact"/>
              <w:jc w:val="left"/>
            </w:pPr>
            <w:r>
              <w:t xml:space="preserve">3. Fuerza relativa 6 m</w:t>
            </w:r>
          </w:p>
        </w:tc>
        <w:tc>
          <w:tcPr/>
          <w:p>
            <w:pPr>
              <w:pStyle w:val="Compact"/>
              <w:jc w:val="left"/>
            </w:pPr>
            <w:r>
              <w:rPr>
                <w:bCs/>
                <w:b/>
              </w:rPr>
              <w:t xml:space="preserve">Sí</w:t>
            </w:r>
          </w:p>
        </w:tc>
        <w:tc>
          <w:tcPr/>
          <w:p>
            <w:pPr>
              <w:pStyle w:val="Compact"/>
              <w:jc w:val="left"/>
            </w:pPr>
            <w:r>
              <w:t xml:space="preserve">+38,5 % frente a +20,4 % del Nasdaq-100 y −2,3 % del ETF de tecnología médica IHI [7]</w:t>
            </w:r>
          </w:p>
        </w:tc>
      </w:tr>
      <w:tr>
        <w:tc>
          <w:tcPr/>
          <w:p>
            <w:pPr>
              <w:pStyle w:val="Compact"/>
              <w:jc w:val="left"/>
            </w:pPr>
            <w:r>
              <w:t xml:space="preserve">4. Mejora de múltiplo ≥ 20 %</w:t>
            </w:r>
          </w:p>
        </w:tc>
        <w:tc>
          <w:tcPr/>
          <w:p>
            <w:pPr>
              <w:pStyle w:val="Compact"/>
              <w:jc w:val="left"/>
            </w:pPr>
            <w:r>
              <w:rPr>
                <w:bCs/>
                <w:b/>
              </w:rPr>
              <w:t xml:space="preserve">Sí</w:t>
            </w:r>
          </w:p>
        </w:tc>
        <w:tc>
          <w:tcPr/>
          <w:p>
            <w:pPr>
              <w:pStyle w:val="Compact"/>
              <w:jc w:val="left"/>
            </w:pPr>
            <w:r>
              <w:t xml:space="preserve">EV/ventas NTM de ~6,3x en el mínimo del 24-oct-2025 a 12,7x: +100 % [19]</w:t>
            </w:r>
          </w:p>
        </w:tc>
      </w:tr>
      <w:tr>
        <w:tc>
          <w:tcPr/>
          <w:p>
            <w:pPr>
              <w:pStyle w:val="Compact"/>
              <w:jc w:val="left"/>
            </w:pPr>
            <w:r>
              <w:t xml:space="preserve">5. Inflexión operativa</w:t>
            </w:r>
          </w:p>
        </w:tc>
        <w:tc>
          <w:tcPr/>
          <w:p>
            <w:pPr>
              <w:pStyle w:val="Compact"/>
              <w:jc w:val="left"/>
            </w:pPr>
            <w:r>
              <w:rPr>
                <w:bCs/>
                <w:b/>
              </w:rPr>
              <w:t xml:space="preserve">Sí</w:t>
            </w:r>
          </w:p>
        </w:tc>
        <w:tc>
          <w:tcPr/>
          <w:p>
            <w:pPr>
              <w:pStyle w:val="Compact"/>
              <w:jc w:val="left"/>
            </w:pPr>
            <w:r>
              <w:t xml:space="preserve">Margen operativo GAAP del 2T de −9,3 %, frente a −18,3 % un año antes; FCF del 2T ≈ +12 M [1][2]</w:t>
            </w:r>
          </w:p>
        </w:tc>
      </w:tr>
      <w:tr>
        <w:tc>
          <w:tcPr/>
          <w:p>
            <w:pPr>
              <w:pStyle w:val="Compact"/>
              <w:jc w:val="left"/>
            </w:pPr>
            <w:r>
              <w:t xml:space="preserve">6. Sentimiento mejorando</w:t>
            </w:r>
          </w:p>
        </w:tc>
        <w:tc>
          <w:tcPr/>
          <w:p>
            <w:pPr>
              <w:pStyle w:val="Compact"/>
              <w:jc w:val="left"/>
            </w:pPr>
            <w:r>
              <w:rPr>
                <w:bCs/>
                <w:b/>
              </w:rPr>
              <w:t xml:space="preserve">Sí</w:t>
            </w:r>
          </w:p>
        </w:tc>
        <w:tc>
          <w:tcPr/>
          <w:p>
            <w:pPr>
              <w:pStyle w:val="Compact"/>
              <w:jc w:val="left"/>
            </w:pPr>
            <w:r>
              <w:t xml:space="preserve">13 de 14 analistas en Compra, fase 4 de iDose positiva (8-oct); poca atención minorista y sin euforia; cortos del 7,3 % [9][11][13]</w:t>
            </w:r>
          </w:p>
        </w:tc>
      </w:tr>
      <w:tr>
        <w:tc>
          <w:tcPr/>
          <w:p>
            <w:pPr>
              <w:pStyle w:val="Compact"/>
              <w:jc w:val="left"/>
            </w:pPr>
            <w:r>
              <w:t xml:space="preserve">7. Compras de directivos o institucionales</w:t>
            </w:r>
          </w:p>
        </w:tc>
        <w:tc>
          <w:tcPr/>
          <w:p>
            <w:pPr>
              <w:pStyle w:val="Compact"/>
              <w:jc w:val="left"/>
            </w:pPr>
            <w:r>
              <w:t xml:space="preserve">No</w:t>
            </w:r>
          </w:p>
        </w:tc>
        <w:tc>
          <w:tcPr/>
          <w:p>
            <w:pPr>
              <w:pStyle w:val="Compact"/>
              <w:jc w:val="left"/>
            </w:pPr>
            <w:r>
              <w:t xml:space="preserve">Solo ventas de directivos tras ejercer opciones, entre 135 y 190 USD [15]</w:t>
            </w:r>
          </w:p>
        </w:tc>
      </w:tr>
      <w:tr>
        <w:tc>
          <w:tcPr/>
          <w:p>
            <w:pPr>
              <w:pStyle w:val="Compact"/>
              <w:jc w:val="left"/>
            </w:pPr>
            <w:r>
              <w:t xml:space="preserve">8. Catalizador nuevo en 6 meses</w:t>
            </w:r>
          </w:p>
        </w:tc>
        <w:tc>
          <w:tcPr/>
          <w:p>
            <w:pPr>
              <w:pStyle w:val="Compact"/>
              <w:jc w:val="left"/>
            </w:pPr>
            <w:r>
              <w:rPr>
                <w:bCs/>
                <w:b/>
              </w:rPr>
              <w:t xml:space="preserve">Sí</w:t>
            </w:r>
          </w:p>
        </w:tc>
        <w:tc>
          <w:tcPr/>
          <w:p>
            <w:pPr>
              <w:pStyle w:val="Compact"/>
              <w:jc w:val="left"/>
            </w:pPr>
            <w:r>
              <w:t xml:space="preserve">Resultados del 3T (28-oct) con posible guía de 2027; decisión final de las LCD; Epioxa a pleno rendimiento con su J-code [3][10]</w:t>
            </w:r>
          </w:p>
        </w:tc>
      </w:tr>
    </w:tbl>
    <w:p>
      <w:pPr>
        <w:pStyle w:val="BodyText"/>
      </w:pPr>
      <w:r>
        <w:rPr>
          <w:bCs/>
          <w:b/>
        </w:rPr>
        <w:t xml:space="preserve">Euforia: no</w:t>
      </w:r>
      <w:r>
        <w:t xml:space="preserve"> </w:t>
      </w:r>
      <w:r>
        <w:t xml:space="preserve">(+99 % en 12 meses, por debajo del umbral del 150 %).</w:t>
      </w:r>
    </w:p>
    <w:bookmarkEnd w:id="24"/>
    <w:bookmarkStart w:id="25" w:name="X6a3ced9ea5ed5bb9ac58f5e7c1bb09ad4718b77"/>
    <w:p>
      <w:pPr>
        <w:pStyle w:val="Heading2"/>
      </w:pPr>
      <w:r>
        <w:t xml:space="preserve">6. Economía unitaria y camino a la rentabilidad</w:t>
      </w:r>
    </w:p>
    <w:p>
      <w:pPr>
        <w:pStyle w:val="FirstParagraph"/>
      </w:pPr>
      <w:r>
        <w:t xml:space="preserve">Margen bruto GAAP de 12 meses</w:t>
      </w:r>
      <w:r>
        <w:t xml:space="preserve"> </w:t>
      </w:r>
      <w:r>
        <w:rPr>
          <w:bCs/>
          <w:b/>
        </w:rPr>
        <w:t xml:space="preserve">79,1 %</w:t>
      </w:r>
      <w:r>
        <w:t xml:space="preserve"> </w:t>
      </w:r>
      <w:r>
        <w:t xml:space="preserve">(81,7 % en el 2T26; ~85 % sin la amortización de Avedro), y sube porque iDose y Epioxa valen más por unidad [1].</w:t>
      </w:r>
      <w:r>
        <w:t xml:space="preserve"> </w:t>
      </w:r>
      <w:r>
        <w:rPr>
          <w:bCs/>
          <w:b/>
        </w:rPr>
        <w:t xml:space="preserve">Regla del 40: 39,5</w:t>
      </w:r>
      <w:r>
        <w:t xml:space="preserve"> </w:t>
      </w:r>
      <w:r>
        <w:t xml:space="preserve">(41,5 de crecimiento menos 2,0 de margen FCF). FCF de 12 meses −12,2 M (−2,0 %), pero positivo en el 4T25 y en el 2T26; el 1T pesa por los bonus. La pérdida operativa sin ajustes contables fue de solo 7,6 M en el 2T: el equilibrio llega en menos de 12 meses (consenso de BPA de 2027: +0,52 USD) [9]. El gasto crece rápido (comercial +39 %, I+D +40 %), pero menos que las ventas.</w:t>
      </w:r>
    </w:p>
    <w:bookmarkEnd w:id="25"/>
    <w:bookmarkStart w:id="26" w:name="caja-deuda-y-dilución"/>
    <w:p>
      <w:pPr>
        <w:pStyle w:val="Heading2"/>
      </w:pPr>
      <w:r>
        <w:t xml:space="preserve">7. Caja, deuda y dilución</w:t>
      </w:r>
    </w:p>
    <w:p>
      <w:pPr>
        <w:pStyle w:val="FirstParagraph"/>
      </w:pPr>
      <w:r>
        <w:t xml:space="preserve">Caja e inversiones 286 M,</w:t>
      </w:r>
      <w:r>
        <w:t xml:space="preserve"> </w:t>
      </w:r>
      <w:r>
        <w:rPr>
          <w:bCs/>
          <w:b/>
        </w:rPr>
        <w:t xml:space="preserve">sin deuda financiera</w:t>
      </w:r>
      <w:r>
        <w:t xml:space="preserve"> </w:t>
      </w:r>
      <w:r>
        <w:t xml:space="preserve">(se cuenta como deuda el arrendamiento financiero de la sede, 68,8 M) [1][2]. Con una quema de ~12 M al año, la pista es de más de 20 años. Dilución: acciones +3,0 % en 12 meses.</w:t>
      </w:r>
      <w:r>
        <w:t xml:space="preserve"> </w:t>
      </w:r>
      <w:r>
        <w:rPr>
          <w:bCs/>
          <w:b/>
        </w:rPr>
        <w:t xml:space="preserve">Pagos en acciones: 13,1 % de las ventas</w:t>
      </w:r>
      <w:r>
        <w:t xml:space="preserve">, alto pero por debajo del 15 % que el método marca en rojo. Las cuentas por cobrar suben (139 M) porque iDose y Epioxa se venden con plazos de pago largos durante el lanzamiento [2].</w:t>
      </w:r>
    </w:p>
    <w:bookmarkEnd w:id="26"/>
    <w:bookmarkStart w:id="27" w:name="dirección-y-ejecución"/>
    <w:p>
      <w:pPr>
        <w:pStyle w:val="Heading2"/>
      </w:pPr>
      <w:r>
        <w:t xml:space="preserve">8. Dirección y ejecución</w:t>
      </w:r>
    </w:p>
    <w:p>
      <w:pPr>
        <w:pStyle w:val="FirstParagraph"/>
      </w:pPr>
      <w:r>
        <w:t xml:space="preserve">Thomas Burns, consejero delegado desde 2002 y presidente del consejo.</w:t>
      </w:r>
      <w:r>
        <w:t xml:space="preserve"> </w:t>
      </w:r>
      <w:r>
        <w:rPr>
          <w:bCs/>
          <w:b/>
        </w:rPr>
        <w:t xml:space="preserve">Historial 5/5</w:t>
      </w:r>
      <w:r>
        <w:t xml:space="preserve">: subió la guía de 2025 dos veces y la batió; la de 2026, dos veces también (+13 %).</w:t>
      </w:r>
      <w:r>
        <w:t xml:space="preserve"> </w:t>
      </w:r>
      <w:r>
        <w:rPr>
          <w:bCs/>
          <w:b/>
        </w:rPr>
        <w:t xml:space="preserve">Dirección 4/5</w:t>
      </w:r>
      <w:r>
        <w:t xml:space="preserve">: sin deuda, compras pequeñas y sensatas (Avedro en 2019, Mobius), pero con pagos en acciones altos, ventas continuas de directivos y una licencia de retina (RO-104) cuyas condiciones no se han publicado y que el mercado castigó un 11 % el 8-oct [12][15].</w:t>
      </w:r>
    </w:p>
    <w:bookmarkEnd w:id="27"/>
    <w:bookmarkStart w:id="28" w:name="valoración"/>
    <w:p>
      <w:pPr>
        <w:pStyle w:val="Heading2"/>
      </w:pPr>
      <w:r>
        <w:t xml:space="preserve">9. Valoración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a jun-2028 (M USD)</w:t>
            </w:r>
          </w:p>
        </w:tc>
        <w:tc>
          <w:tcPr/>
          <w:p>
            <w:pPr>
              <w:pStyle w:val="Compact"/>
              <w:jc w:val="left"/>
            </w:pPr>
            <w:r>
              <w:t xml:space="preserve">EV/ventas</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760</w:t>
            </w:r>
          </w:p>
        </w:tc>
        <w:tc>
          <w:tcPr/>
          <w:p>
            <w:pPr>
              <w:pStyle w:val="Compact"/>
              <w:jc w:val="left"/>
            </w:pPr>
            <w:r>
              <w:t xml:space="preserve">6,9x</w:t>
            </w:r>
          </w:p>
        </w:tc>
        <w:tc>
          <w:tcPr/>
          <w:p>
            <w:pPr>
              <w:pStyle w:val="Compact"/>
              <w:jc w:val="left"/>
            </w:pPr>
            <w:r>
              <w:t xml:space="preserve">87,0</w:t>
            </w:r>
          </w:p>
        </w:tc>
        <w:tc>
          <w:tcPr/>
          <w:p>
            <w:pPr>
              <w:pStyle w:val="Compact"/>
              <w:jc w:val="left"/>
            </w:pPr>
            <w:r>
              <w:t xml:space="preserve">−47,4 %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935</w:t>
            </w:r>
          </w:p>
        </w:tc>
        <w:tc>
          <w:tcPr/>
          <w:p>
            <w:pPr>
              <w:pStyle w:val="Compact"/>
              <w:jc w:val="left"/>
            </w:pPr>
            <w:r>
              <w:t xml:space="preserve">11,5x</w:t>
            </w:r>
          </w:p>
        </w:tc>
        <w:tc>
          <w:tcPr/>
          <w:p>
            <w:pPr>
              <w:pStyle w:val="Compact"/>
              <w:jc w:val="left"/>
            </w:pPr>
            <w:r>
              <w:t xml:space="preserve">174,9</w:t>
            </w:r>
          </w:p>
        </w:tc>
        <w:tc>
          <w:tcPr/>
          <w:p>
            <w:pPr>
              <w:pStyle w:val="Compact"/>
              <w:jc w:val="left"/>
            </w:pPr>
            <w:r>
              <w:t xml:space="preserve">+5,7 %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1.000</w:t>
            </w:r>
          </w:p>
        </w:tc>
        <w:tc>
          <w:tcPr/>
          <w:p>
            <w:pPr>
              <w:pStyle w:val="Compact"/>
              <w:jc w:val="left"/>
            </w:pPr>
            <w:r>
              <w:t xml:space="preserve">14,9x</w:t>
            </w:r>
          </w:p>
        </w:tc>
        <w:tc>
          <w:tcPr/>
          <w:p>
            <w:pPr>
              <w:pStyle w:val="Compact"/>
              <w:jc w:val="left"/>
            </w:pPr>
            <w:r>
              <w:t xml:space="preserve">241,9</w:t>
            </w:r>
          </w:p>
        </w:tc>
        <w:tc>
          <w:tcPr/>
          <w:p>
            <w:pPr>
              <w:pStyle w:val="Compact"/>
              <w:jc w:val="left"/>
            </w:pPr>
            <w:r>
              <w:t xml:space="preserve">+46,2 %</w:t>
            </w:r>
          </w:p>
        </w:tc>
        <w:tc>
          <w:tcPr/>
          <w:p>
            <w:pPr>
              <w:pStyle w:val="Compact"/>
              <w:jc w:val="left"/>
            </w:pPr>
            <w:r>
              <w:t xml:space="preserve">25 %</w:t>
            </w:r>
          </w:p>
        </w:tc>
      </w:tr>
      <w:tr>
        <w:tc>
          <w:tcPr/>
          <w:p>
            <w:pPr>
              <w:pStyle w:val="Compact"/>
              <w:jc w:val="left"/>
            </w:pPr>
            <w:r>
              <w:rPr>
                <w:bCs/>
                <w:b/>
              </w:rPr>
              <w:t xml:space="preserve">Ponderada</w:t>
            </w:r>
          </w:p>
        </w:tc>
        <w:tc>
          <w:tcPr/>
          <w:p>
            <w:pPr>
              <w:pStyle w:val="Compact"/>
            </w:pPr>
          </w:p>
        </w:tc>
        <w:tc>
          <w:tcPr/>
          <w:p>
            <w:pPr>
              <w:pStyle w:val="Compact"/>
            </w:pPr>
          </w:p>
        </w:tc>
        <w:tc>
          <w:tcPr/>
          <w:p>
            <w:pPr>
              <w:pStyle w:val="Compact"/>
              <w:jc w:val="left"/>
            </w:pPr>
            <w:r>
              <w:rPr>
                <w:bCs/>
                <w:b/>
              </w:rPr>
              <w:t xml:space="preserve">169,7</w:t>
            </w:r>
          </w:p>
        </w:tc>
        <w:tc>
          <w:tcPr/>
          <w:p>
            <w:pPr>
              <w:pStyle w:val="Compact"/>
              <w:jc w:val="left"/>
            </w:pPr>
            <w:r>
              <w:rPr>
                <w:bCs/>
                <w:b/>
              </w:rPr>
              <w:t xml:space="preserve">+2,5 %</w:t>
            </w:r>
          </w:p>
        </w:tc>
        <w:tc>
          <w:tcPr/>
          <w:p>
            <w:pPr>
              <w:pStyle w:val="Compact"/>
            </w:pPr>
          </w:p>
        </w:tc>
      </w:tr>
    </w:tbl>
    <w:p>
      <w:pPr>
        <w:numPr>
          <w:ilvl w:val="0"/>
          <w:numId w:val="1004"/>
        </w:numPr>
        <w:pStyle w:val="Compact"/>
      </w:pPr>
      <w:r>
        <w:rPr>
          <w:bCs/>
          <w:b/>
        </w:rPr>
        <w:t xml:space="preserve">Ventas</w:t>
      </w:r>
      <w:r>
        <w:t xml:space="preserve">: v11 toma la menor entre la proyección mecánica (827, 1.073 y 1.181 M) y la del informe (760, 935 y 1.000 M). La del informe sale de la guía del 2S26 (354 M), un +24 % en el 1S27 y un +21 % el segundo año.</w:t>
      </w:r>
      <w:r>
        <w:t xml:space="preserve"> </w:t>
      </w:r>
      <w:r>
        <w:rPr>
          <w:bCs/>
          <w:b/>
        </w:rPr>
        <w:t xml:space="preserve">Consenso</w:t>
      </w:r>
      <w:r>
        <w:t xml:space="preserve">: 2026 691,7 M y 2027 852,4 M; el de 2028 no es público y, con un +20 % (estimación propia), la misma ventana da ~935 M [9]. La mecánica va un 15 % por encima porque parte del 35 % (guía + exceso) cuando la propia guía del 2S26 ya dice +28 %.</w:t>
      </w:r>
    </w:p>
    <w:p>
      <w:pPr>
        <w:numPr>
          <w:ilvl w:val="0"/>
          <w:numId w:val="1004"/>
        </w:numPr>
        <w:pStyle w:val="Compact"/>
      </w:pPr>
      <w:r>
        <w:rPr>
          <w:bCs/>
          <w:b/>
        </w:rPr>
        <w:t xml:space="preserve">Múltiplo</w:t>
      </w:r>
      <w:r>
        <w:t xml:space="preserve">: base = 12,7x de hoy rebajado un 10 % por la desaceleración (de 25,8 % a 21 %) = 11,5x; bajista × 0,6 = 6,9x (coincide con su mínimo de 3 años); alcista × 1,3 = 14,9x.</w:t>
      </w:r>
    </w:p>
    <w:p>
      <w:pPr>
        <w:numPr>
          <w:ilvl w:val="0"/>
          <w:numId w:val="1004"/>
        </w:numPr>
        <w:pStyle w:val="Compact"/>
      </w:pPr>
      <w:r>
        <w:rPr>
          <w:bCs/>
          <w:b/>
        </w:rPr>
        <w:t xml:space="preserve">Probabilidades 25/50/25</w:t>
      </w:r>
      <w:r>
        <w:t xml:space="preserve">: no depende de un solo producto (iDose es ~40 % de las ventas) y la caja sobra. Si se tratara la decisión de Medicare como un riesgo de un solo hecho (35/50/15), la ponderada caería a −6,8 % (sección 11).</w:t>
      </w:r>
    </w:p>
    <w:p>
      <w:pPr>
        <w:numPr>
          <w:ilvl w:val="0"/>
          <w:numId w:val="1004"/>
        </w:numPr>
        <w:pStyle w:val="Compact"/>
      </w:pPr>
      <w:r>
        <w:rPr>
          <w:bCs/>
          <w:b/>
        </w:rPr>
        <w:t xml:space="preserve">DCF inverso</w:t>
      </w:r>
      <w:r>
        <w:t xml:space="preserve">: el precio descuenta crecer un ~21,8 % anual durante 10 años, con un margen FCF que sube al 25 % [19]. Es exigente: supone que iDose se convierte en tratamiento estándar.</w:t>
      </w:r>
    </w:p>
    <w:p>
      <w:pPr>
        <w:numPr>
          <w:ilvl w:val="0"/>
          <w:numId w:val="1004"/>
        </w:numPr>
        <w:pStyle w:val="Compact"/>
      </w:pPr>
      <w:r>
        <w:rPr>
          <w:bCs/>
          <w:b/>
        </w:rPr>
        <w:t xml:space="preserve">Contraste</w:t>
      </w:r>
      <w:r>
        <w:t xml:space="preserve">: objetivo medio de los analistas 199,3 USD (14 analistas, 13 en Compra) [9], un +20 % sobre el cierre. El mercado da por buena una aceleración que el método no proyecta más allá del consenso de ventas.</w:t>
      </w:r>
    </w:p>
    <w:p>
      <w:pPr>
        <w:numPr>
          <w:ilvl w:val="0"/>
          <w:numId w:val="1004"/>
        </w:numPr>
        <w:pStyle w:val="Compact"/>
      </w:pPr>
      <w:r>
        <w:rPr>
          <w:bCs/>
          <w:b/>
        </w:rPr>
        <w:t xml:space="preserve">Versión anterior (v9)</w:t>
      </w:r>
      <w:r>
        <w:t xml:space="preserve">: con la proyección mecánica (1.073 M en el base) daba Comprar con convicción media, ponderada +17,8 % y compra hasta 185,7 USD. La diferencia es exactamente el 15 % de ventas que la mecánica pone por encima del consenso.</w:t>
      </w:r>
    </w:p>
    <w:bookmarkEnd w:id="28"/>
    <w:bookmarkStart w:id="29" w:name="foros-y-sentimiento"/>
    <w:p>
      <w:pPr>
        <w:pStyle w:val="Heading2"/>
      </w:pPr>
      <w:r>
        <w:t xml:space="preserve">10. Foros y sentimiento</w:t>
      </w:r>
    </w:p>
    <w:p>
      <w:pPr>
        <w:numPr>
          <w:ilvl w:val="0"/>
          <w:numId w:val="1005"/>
        </w:numPr>
        <w:pStyle w:val="Compact"/>
      </w:pPr>
      <w:r>
        <w:rPr>
          <w:bCs/>
          <w:b/>
        </w:rPr>
        <w:t xml:space="preserve">StockTwits</w:t>
      </w:r>
      <w:r>
        <w:t xml:space="preserve"> </w:t>
      </w:r>
      <w:r>
        <w:t xml:space="preserve">(30 mensajes, 14-oct): 8 alcistas, 1 bajista y 21 sin etiqueta; solo 933 seguidores. Se comenta que «el múltiplo es escandaloso» y que «el gráfico va convenciendo a la gente»; un usuario dice haber vendido en corto a 174 [13].</w:t>
      </w:r>
    </w:p>
    <w:p>
      <w:pPr>
        <w:numPr>
          <w:ilvl w:val="0"/>
          <w:numId w:val="1005"/>
        </w:numPr>
        <w:pStyle w:val="Compact"/>
      </w:pPr>
      <w:r>
        <w:rPr>
          <w:bCs/>
          <w:b/>
        </w:rPr>
        <w:t xml:space="preserve">Reddit y foros en castellano</w:t>
      </w:r>
      <w:r>
        <w:t xml:space="preserve"> </w:t>
      </w:r>
      <w:r>
        <w:t xml:space="preserve">(Rankia, Investing ES): sin hilos activos [14].</w:t>
      </w:r>
      <w:r>
        <w:t xml:space="preserve"> </w:t>
      </w:r>
      <w:r>
        <w:rPr>
          <w:bCs/>
          <w:b/>
        </w:rPr>
        <w:t xml:space="preserve">Seeking Alpha</w:t>
      </w:r>
      <w:r>
        <w:t xml:space="preserve">: artículos alcistas centrados en el reembolso («el segundo J-code cambia el riesgo») [14].</w:t>
      </w:r>
    </w:p>
    <w:p>
      <w:pPr>
        <w:numPr>
          <w:ilvl w:val="0"/>
          <w:numId w:val="1005"/>
        </w:numPr>
        <w:pStyle w:val="Compact"/>
      </w:pPr>
      <w:r>
        <w:rPr>
          <w:bCs/>
          <w:b/>
        </w:rPr>
        <w:t xml:space="preserve">Analistas</w:t>
      </w:r>
      <w:r>
        <w:t xml:space="preserve">: casi unánimes en Compra, objetivos de 172 a 225 USD [9]. Piper Sandler sigue en Compra pero avisa de un 25-30 % de riesgo en el volumen de iDose si las LCD salen como están propuestas [10].</w:t>
      </w:r>
    </w:p>
    <w:p>
      <w:pPr>
        <w:numPr>
          <w:ilvl w:val="0"/>
          <w:numId w:val="1005"/>
        </w:numPr>
        <w:pStyle w:val="Compact"/>
      </w:pPr>
      <w:r>
        <w:rPr>
          <w:bCs/>
          <w:b/>
        </w:rPr>
        <w:t xml:space="preserve">Contraste con los datos</w:t>
      </w:r>
      <w:r>
        <w:t xml:space="preserve">: el sentimiento ha mejorado con los resultados, no antes, y no es eufórico (poca atención minorista, cortos del 7 % y subiendo). La caída del 8-oct por la licencia de retina muestra lo nervioso que está el precio a 12,7x ventas.</w:t>
      </w:r>
    </w:p>
    <w:p>
      <w:pPr>
        <w:numPr>
          <w:ilvl w:val="0"/>
          <w:numId w:val="1005"/>
        </w:numPr>
        <w:pStyle w:val="Compact"/>
      </w:pPr>
      <w:r>
        <w:rPr>
          <w:bCs/>
          <w:b/>
        </w:rPr>
        <w:t xml:space="preserve">Riesgo de IA: bajo</w:t>
      </w:r>
      <w:r>
        <w:t xml:space="preserve">. Son implantes y fármacos aprobados por la FDA que se ponen en quirófano; la IA no los sustituye. Como mucho ayudaría a diagnosticar antes el glaucoma y el queratocono, lo que ampliaría el mercado.</w:t>
      </w:r>
    </w:p>
    <w:bookmarkEnd w:id="29"/>
    <w:bookmarkStart w:id="30" w:name="riesgos-y-qué-rompería-la-tesis"/>
    <w:p>
      <w:pPr>
        <w:pStyle w:val="Heading2"/>
      </w:pPr>
      <w:r>
        <w:t xml:space="preserve">11. Riesgos y qué rompería la tesis</w:t>
      </w:r>
    </w:p>
    <w:p>
      <w:pPr>
        <w:numPr>
          <w:ilvl w:val="0"/>
          <w:numId w:val="1006"/>
        </w:numPr>
        <w:pStyle w:val="Compact"/>
      </w:pPr>
      <w:r>
        <w:rPr>
          <w:bCs/>
          <w:b/>
        </w:rPr>
        <w:t xml:space="preserve">Robustez:</w:t>
      </w:r>
      <w:r>
        <w:rPr>
          <w:bCs/>
          <w:b/>
        </w:rPr>
        <w:t xml:space="preserve"> </w:t>
      </w:r>
      <w:r>
        <w:rPr>
          <w:rStyle w:val="VerbatimChar"/>
          <w:bCs/>
          <w:b/>
        </w:rPr>
        <w:t xml:space="preserve">calc.alertas</w:t>
      </w:r>
      <w:r>
        <w:rPr>
          <w:bCs/>
          <w:b/>
        </w:rPr>
        <w:t xml:space="preserve"> </w:t>
      </w:r>
      <w:r>
        <w:rPr>
          <w:bCs/>
          <w:b/>
        </w:rPr>
        <w:t xml:space="preserve">está vacío</w:t>
      </w:r>
      <w:r>
        <w:t xml:space="preserve">: no salta ninguna alerta de v11. La proyección mecánica supera a la del informe en 1,15 veces (el umbral es 1,2), el múltiplo de hoy es 1,22 veces su mediana (el umbral es 2), hay guía anual, el exceso sobre la guía es de 7,1 pp (por debajo de 10) y los pagos en acciones, del 13,1 % (por debajo de 15).</w:t>
      </w:r>
      <w:r>
        <w:t xml:space="preserve"> </w:t>
      </w:r>
      <w:r>
        <w:rPr>
          <w:bCs/>
          <w:b/>
        </w:rPr>
        <w:t xml:space="preserve">Prueba de robustez (</w:t>
      </w:r>
      <w:r>
        <w:rPr>
          <w:rStyle w:val="VerbatimChar"/>
          <w:bCs/>
          <w:b/>
        </w:rPr>
        <w:t xml:space="preserve">herramientas/robustez-growth.mjs --precios</w:t>
      </w:r>
      <w:r>
        <w:rPr>
          <w:bCs/>
          <w:b/>
        </w:rPr>
        <w:t xml:space="preserve">): FRÁGIL, señal robusta Mantener.</w:t>
      </w:r>
      <w:r>
        <w:t xml:space="preserve"> </w:t>
      </w:r>
      <w:r>
        <w:t xml:space="preserve">Es frágil porque con v7 o v9 (proyección mecánica) saldría Comprar (+25,6 % con v7), y v11 está en el borde (+2,5 % frente al 5 %). Lo que decide es cuánto se cree en la aceleración: si Glaukos vuelve a batir su guía como en 2025 y 2026, el consenso se quedará corto y la v9 tendría razón. El método vigente no paga por adelantado lo que aún no está en las previsiones, y eso debilita la señal de compra, no la de Mantener. Avisos de la prueba: el objetivo se mueve con el precio (elasticidad 0,98; por eso se deja fijo), bajista del −47 % y un DCF inverso (22 % anual) por encima del crecimiento final que proyectamos (21 %). Con pesos 35/50/15 la ponderada cae a −6,8 % y con el precio de hoy a +1,2 %: Mantener en todas las variantes salvo v7.</w:t>
      </w:r>
    </w:p>
    <w:p>
      <w:pPr>
        <w:numPr>
          <w:ilvl w:val="0"/>
          <w:numId w:val="1006"/>
        </w:numPr>
        <w:pStyle w:val="Compact"/>
      </w:pPr>
      <w:r>
        <w:rPr>
          <w:bCs/>
          <w:b/>
        </w:rPr>
        <w:t xml:space="preserve">Medicare y las LCD (el riesgo principal)</w:t>
      </w:r>
      <w:r>
        <w:t xml:space="preserve">: cinco de los siete contratistas regionales de Medicare propusieron en mayo reglas de cobertura para iDose (por ejemplo, exigir antes otros tratamientos y limitar su uso junto con otras MIGS). Si se aprueban así, Piper estima un 25-30 % menos de volumen de iDose; el efecto llegaría en 2027 [2][10].</w:t>
      </w:r>
      <w:r>
        <w:t xml:space="preserve"> </w:t>
      </w:r>
      <w:r>
        <w:rPr>
          <w:bCs/>
          <w:b/>
        </w:rPr>
        <w:t xml:space="preserve">Tesis rota</w:t>
      </w:r>
      <w:r>
        <w:t xml:space="preserve"> </w:t>
      </w:r>
      <w:r>
        <w:t xml:space="preserve">si las LCD finales restringen mucho iDose y las ventas de glaucoma en EE. UU. caen dos trimestres seguidos.</w:t>
      </w:r>
    </w:p>
    <w:p>
      <w:pPr>
        <w:numPr>
          <w:ilvl w:val="0"/>
          <w:numId w:val="1006"/>
        </w:numPr>
        <w:pStyle w:val="Compact"/>
      </w:pPr>
      <w:r>
        <w:rPr>
          <w:bCs/>
          <w:b/>
        </w:rPr>
        <w:t xml:space="preserve">Transición de Photrexa a Epioxa</w:t>
      </w:r>
      <w:r>
        <w:t xml:space="preserve"> </w:t>
      </w:r>
      <w:r>
        <w:t xml:space="preserve">en el 3T26: posible bache en salud corneal [3].</w:t>
      </w:r>
    </w:p>
    <w:p>
      <w:pPr>
        <w:numPr>
          <w:ilvl w:val="0"/>
          <w:numId w:val="1006"/>
        </w:numPr>
        <w:pStyle w:val="Compact"/>
      </w:pPr>
      <w:r>
        <w:rPr>
          <w:bCs/>
          <w:b/>
        </w:rPr>
        <w:t xml:space="preserve">Competencia</w:t>
      </w:r>
      <w:r>
        <w:t xml:space="preserve"> </w:t>
      </w:r>
      <w:r>
        <w:t xml:space="preserve">en cirugía combinada con cataratas y recortes de honorarios del cirujano en códigos MIGS [3].</w:t>
      </w:r>
    </w:p>
    <w:p>
      <w:pPr>
        <w:numPr>
          <w:ilvl w:val="0"/>
          <w:numId w:val="1006"/>
        </w:numPr>
        <w:pStyle w:val="Compact"/>
      </w:pPr>
      <w:r>
        <w:rPr>
          <w:bCs/>
          <w:b/>
        </w:rPr>
        <w:t xml:space="preserve">Precio</w:t>
      </w:r>
      <w:r>
        <w:t xml:space="preserve">: a 12,7x ventas, un trimestre flojo puede costar un 20-30 % (el 8-oct cayó un 11 % por una licencia).</w:t>
      </w:r>
    </w:p>
    <w:p>
      <w:pPr>
        <w:numPr>
          <w:ilvl w:val="0"/>
          <w:numId w:val="1006"/>
        </w:numPr>
        <w:pStyle w:val="Compact"/>
      </w:pPr>
      <w:r>
        <w:rPr>
          <w:bCs/>
          <w:b/>
        </w:rPr>
        <w:t xml:space="preserve">Pagos en acciones</w:t>
      </w:r>
      <w:r>
        <w:t xml:space="preserve"> </w:t>
      </w:r>
      <w:r>
        <w:t xml:space="preserve">del 13 %: el FCF real es menor de lo que parece.</w:t>
      </w:r>
    </w:p>
    <w:bookmarkEnd w:id="30"/>
    <w:bookmarkStart w:id="31" w:name="catalizadores-con-fecha"/>
    <w:p>
      <w:pPr>
        <w:pStyle w:val="Heading2"/>
      </w:pPr>
      <w:r>
        <w:t xml:space="preserve">12. Catalizadores con fecha</w:t>
      </w:r>
    </w:p>
    <w:p>
      <w:pPr>
        <w:numPr>
          <w:ilvl w:val="0"/>
          <w:numId w:val="1007"/>
        </w:numPr>
        <w:pStyle w:val="Compact"/>
      </w:pPr>
      <w:r>
        <w:rPr>
          <w:bCs/>
          <w:b/>
        </w:rPr>
        <w:t xml:space="preserve">28-oct-2026</w:t>
      </w:r>
      <w:r>
        <w:t xml:space="preserve">: resultados del 3T (primer trimestre sin Photrexa) y probable guía preliminar de 2027 (en 2025 la dio con el 3T) [6].</w:t>
      </w:r>
    </w:p>
    <w:p>
      <w:pPr>
        <w:numPr>
          <w:ilvl w:val="0"/>
          <w:numId w:val="1007"/>
        </w:numPr>
        <w:pStyle w:val="Compact"/>
      </w:pPr>
      <w:r>
        <w:rPr>
          <w:bCs/>
          <w:b/>
        </w:rPr>
        <w:t xml:space="preserve">4T 2026 - 1S 2027</w:t>
      </w:r>
      <w:r>
        <w:t xml:space="preserve">: decisión final de las LCD de iDose de los cinco contratistas de Medicare (Stifel: 7-12 meses desde mayo) [10].</w:t>
      </w:r>
    </w:p>
    <w:p>
      <w:pPr>
        <w:numPr>
          <w:ilvl w:val="0"/>
          <w:numId w:val="1007"/>
        </w:numPr>
        <w:pStyle w:val="Compact"/>
      </w:pPr>
      <w:r>
        <w:rPr>
          <w:bCs/>
          <w:b/>
        </w:rPr>
        <w:t xml:space="preserve">Febrero de 2027</w:t>
      </w:r>
      <w:r>
        <w:t xml:space="preserve">: resultados del año y guía de 2027.</w:t>
      </w:r>
    </w:p>
    <w:p>
      <w:pPr>
        <w:numPr>
          <w:ilvl w:val="0"/>
          <w:numId w:val="1007"/>
        </w:numPr>
        <w:pStyle w:val="Compact"/>
      </w:pPr>
      <w:r>
        <w:rPr>
          <w:bCs/>
          <w:b/>
        </w:rPr>
        <w:t xml:space="preserve">2027</w:t>
      </w:r>
      <w:r>
        <w:t xml:space="preserve">: datos del estudio pivotal de iStent infinite en glaucoma leve-moderado y avance de iDose TREX y TRIO; posible publicación de las condiciones de RO-104 en el 10-Q del 3T.</w:t>
      </w:r>
    </w:p>
    <w:bookmarkEnd w:id="31"/>
    <w:bookmarkStart w:id="32" w:name="encaje-en-cartera"/>
    <w:p>
      <w:pPr>
        <w:pStyle w:val="Heading2"/>
      </w:pPr>
      <w:r>
        <w:t xml:space="preserve">13. Encaje en cartera</w:t>
      </w:r>
    </w:p>
    <w:p>
      <w:pPr>
        <w:numPr>
          <w:ilvl w:val="0"/>
          <w:numId w:val="1008"/>
        </w:numPr>
        <w:pStyle w:val="Compact"/>
      </w:pPr>
      <w:r>
        <w:rPr>
          <w:bCs/>
          <w:b/>
        </w:rPr>
        <w:t xml:space="preserve">No entra hoy.</w:t>
      </w:r>
      <w:r>
        <w:t xml:space="preserve"> </w:t>
      </w:r>
      <w:r>
        <w:t xml:space="preserve">El bolsillo growth está lleno (~20 %: Nu +19 %, Axon +36 %, Shopify +18 %, Snowflake +13 % y Samsara +15 % al precio actual con v11;</w:t>
      </w:r>
      <w:r>
        <w:t xml:space="preserve"> </w:t>
      </w:r>
      <w:r>
        <w:rPr>
          <w:rStyle w:val="VerbatimChar"/>
        </w:rPr>
        <w:t xml:space="preserve">informes-growth/cartera-growth.md</w:t>
      </w:r>
      <w:r>
        <w:t xml:space="preserve">) y la liquidez libre es casi nula, así que solo cabría sustituyendo a otra. Glaukos no da Comprar: ponderada +2,5 % (+1,6 % al precio de ahora con el objetivo fijo), muy por debajo de las cinco posiciones. No sustituye a ninguna.</w:t>
      </w:r>
    </w:p>
    <w:p>
      <w:pPr>
        <w:numPr>
          <w:ilvl w:val="0"/>
          <w:numId w:val="1008"/>
        </w:numPr>
        <w:pStyle w:val="Compact"/>
      </w:pPr>
      <w:r>
        <w:rPr>
          <w:bCs/>
          <w:b/>
        </w:rPr>
        <w:t xml:space="preserve">Suplentes</w:t>
      </w:r>
      <w:r>
        <w:t xml:space="preserve">: tampoco entra en la lista (MongoDB, Toast, Zscaler, dLocal, Dexcom, argenx, Datadog, Saab, Natera, todas en Comprar). Queda en el grupo de Mantener, como</w:t>
      </w:r>
      <w:r>
        <w:t xml:space="preserve"> </w:t>
      </w:r>
      <w:r>
        <w:rPr>
          <w:bCs/>
          <w:b/>
        </w:rPr>
        <w:t xml:space="preserve">la primera en vigilancia de ese grupo</w:t>
      </w:r>
      <w:r>
        <w:t xml:space="preserve">: tiene la mejor puntuación (82,5) y 7 de 8 señales.</w:t>
      </w:r>
    </w:p>
    <w:p>
      <w:pPr>
        <w:numPr>
          <w:ilvl w:val="0"/>
          <w:numId w:val="1008"/>
        </w:numPr>
        <w:pStyle w:val="Compact"/>
      </w:pPr>
      <w:r>
        <w:rPr>
          <w:bCs/>
          <w:b/>
        </w:rPr>
        <w:t xml:space="preserve">Si baja a 161,6 USD o menos</w:t>
      </w:r>
      <w:r>
        <w:t xml:space="preserve">, pasaría a Comprar con convicción media, pero con una ponderada justa del 5 %: entraría al final de la lista de suplentes, por detrás de Natera, salvo que el 3T suba las ventas esperadas. Competiría con Dexcom por el hueco de tecnología médica.</w:t>
      </w:r>
    </w:p>
    <w:p>
      <w:pPr>
        <w:numPr>
          <w:ilvl w:val="0"/>
          <w:numId w:val="1008"/>
        </w:numPr>
        <w:pStyle w:val="Compact"/>
      </w:pPr>
      <w:r>
        <w:rPr>
          <w:bCs/>
          <w:b/>
        </w:rPr>
        <w:t xml:space="preserve">No es exposición a IA</w:t>
      </w:r>
      <w:r>
        <w:t xml:space="preserve"> </w:t>
      </w:r>
      <w:r>
        <w:t xml:space="preserve">(Alphabet se vende mañana y no cuenta como tal): aportaría tecnología médica inmune a la IA.</w:t>
      </w:r>
    </w:p>
    <w:p>
      <w:pPr>
        <w:numPr>
          <w:ilvl w:val="0"/>
          <w:numId w:val="1008"/>
        </w:numPr>
        <w:pStyle w:val="Compact"/>
      </w:pPr>
      <w:r>
        <w:t xml:space="preserve">Preferencias de</w:t>
      </w:r>
      <w:r>
        <w:t xml:space="preserve"> </w:t>
      </w:r>
      <w:r>
        <w:rPr>
          <w:rStyle w:val="VerbatimChar"/>
        </w:rPr>
        <w:t xml:space="preserve">MEMORIA.md</w:t>
      </w:r>
      <w:r>
        <w:t xml:space="preserve">: no es juego, ni comercio minorista, ni una empresa vetada.</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23,3</w:t>
            </w:r>
          </w:p>
        </w:tc>
        <w:tc>
          <w:tcPr/>
          <w:p>
            <w:pPr>
              <w:pStyle w:val="Compact"/>
              <w:jc w:val="left"/>
            </w:pPr>
            <w:r>
              <w:t xml:space="preserve">25</w:t>
            </w:r>
          </w:p>
        </w:tc>
        <w:tc>
          <w:tcPr/>
          <w:p>
            <w:pPr>
              <w:pStyle w:val="Compact"/>
              <w:jc w:val="left"/>
            </w:pPr>
            <w:r>
              <w:t xml:space="preserve">+41,5 % en 12 meses, CAGR del 33,9 % y aceleración de +13,3 pp</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del 12 %; tecnología 4 y posición 5</w:t>
            </w:r>
          </w:p>
        </w:tc>
      </w:tr>
      <w:tr>
        <w:tc>
          <w:tcPr/>
          <w:p>
            <w:pPr>
              <w:pStyle w:val="Compact"/>
              <w:jc w:val="left"/>
            </w:pPr>
            <w:r>
              <w:t xml:space="preserve">C. Cambio de tendencia</w:t>
            </w:r>
          </w:p>
        </w:tc>
        <w:tc>
          <w:tcPr/>
          <w:p>
            <w:pPr>
              <w:pStyle w:val="Compact"/>
              <w:jc w:val="left"/>
            </w:pPr>
            <w:r>
              <w:t xml:space="preserve">17,5</w:t>
            </w:r>
          </w:p>
        </w:tc>
        <w:tc>
          <w:tcPr/>
          <w:p>
            <w:pPr>
              <w:pStyle w:val="Compact"/>
              <w:jc w:val="left"/>
            </w:pPr>
            <w:r>
              <w:t xml:space="preserve">20</w:t>
            </w:r>
          </w:p>
        </w:tc>
        <w:tc>
          <w:tcPr/>
          <w:p>
            <w:pPr>
              <w:pStyle w:val="Compact"/>
              <w:jc w:val="left"/>
            </w:pPr>
            <w:r>
              <w:t xml:space="preserve">7 de 8 (falta la compra de directivos)</w:t>
            </w:r>
          </w:p>
        </w:tc>
      </w:tr>
      <w:tr>
        <w:tc>
          <w:tcPr/>
          <w:p>
            <w:pPr>
              <w:pStyle w:val="Compact"/>
              <w:jc w:val="left"/>
            </w:pPr>
            <w:r>
              <w:t xml:space="preserve">D. Economía unitaria</w:t>
            </w:r>
          </w:p>
        </w:tc>
        <w:tc>
          <w:tcPr/>
          <w:p>
            <w:pPr>
              <w:pStyle w:val="Compact"/>
              <w:jc w:val="left"/>
            </w:pPr>
            <w:r>
              <w:t xml:space="preserve">10,0</w:t>
            </w:r>
          </w:p>
        </w:tc>
        <w:tc>
          <w:tcPr/>
          <w:p>
            <w:pPr>
              <w:pStyle w:val="Compact"/>
              <w:jc w:val="left"/>
            </w:pPr>
            <w:r>
              <w:t xml:space="preserve">15</w:t>
            </w:r>
          </w:p>
        </w:tc>
        <w:tc>
          <w:tcPr/>
          <w:p>
            <w:pPr>
              <w:pStyle w:val="Compact"/>
              <w:jc w:val="left"/>
            </w:pPr>
            <w:r>
              <w:t xml:space="preserve">Margen bruto del 79 %, regla del 40 de 39,5, equilibrio en menos de 12 meses</w:t>
            </w:r>
          </w:p>
        </w:tc>
      </w:tr>
      <w:tr>
        <w:tc>
          <w:tcPr/>
          <w:p>
            <w:pPr>
              <w:pStyle w:val="Compact"/>
              <w:jc w:val="left"/>
            </w:pPr>
            <w:r>
              <w:t xml:space="preserve">E. Caja y dilución</w:t>
            </w:r>
          </w:p>
        </w:tc>
        <w:tc>
          <w:tcPr/>
          <w:p>
            <w:pPr>
              <w:pStyle w:val="Compact"/>
              <w:jc w:val="left"/>
            </w:pPr>
            <w:r>
              <w:t xml:space="preserve">8,0</w:t>
            </w:r>
          </w:p>
        </w:tc>
        <w:tc>
          <w:tcPr/>
          <w:p>
            <w:pPr>
              <w:pStyle w:val="Compact"/>
              <w:jc w:val="left"/>
            </w:pPr>
            <w:r>
              <w:t xml:space="preserve">10</w:t>
            </w:r>
          </w:p>
        </w:tc>
        <w:tc>
          <w:tcPr/>
          <w:p>
            <w:pPr>
              <w:pStyle w:val="Compact"/>
              <w:jc w:val="left"/>
            </w:pPr>
            <w:r>
              <w:t xml:space="preserve">Pista sobrada, dilución del 3 %</w:t>
            </w:r>
          </w:p>
        </w:tc>
      </w:tr>
      <w:tr>
        <w:tc>
          <w:tcPr/>
          <w:p>
            <w:pPr>
              <w:pStyle w:val="Compact"/>
              <w:jc w:val="left"/>
            </w:pPr>
            <w:r>
              <w:t xml:space="preserve">F. Ejecución y dirección</w:t>
            </w:r>
          </w:p>
        </w:tc>
        <w:tc>
          <w:tcPr/>
          <w:p>
            <w:pPr>
              <w:pStyle w:val="Compact"/>
              <w:jc w:val="left"/>
            </w:pPr>
            <w:r>
              <w:t xml:space="preserve">9,0</w:t>
            </w:r>
          </w:p>
        </w:tc>
        <w:tc>
          <w:tcPr/>
          <w:p>
            <w:pPr>
              <w:pStyle w:val="Compact"/>
              <w:jc w:val="left"/>
            </w:pPr>
            <w:r>
              <w:t xml:space="preserve">10</w:t>
            </w:r>
          </w:p>
        </w:tc>
        <w:tc>
          <w:tcPr/>
          <w:p>
            <w:pPr>
              <w:pStyle w:val="Compact"/>
              <w:jc w:val="left"/>
            </w:pPr>
            <w:r>
              <w:t xml:space="preserve">5 + 4</w:t>
            </w:r>
          </w:p>
        </w:tc>
      </w:tr>
      <w:tr>
        <w:tc>
          <w:tcPr/>
          <w:p>
            <w:pPr>
              <w:pStyle w:val="Compact"/>
              <w:jc w:val="left"/>
            </w:pPr>
            <w:r>
              <w:rPr>
                <w:bCs/>
                <w:b/>
              </w:rPr>
              <w:t xml:space="preserve">Total</w:t>
            </w:r>
          </w:p>
        </w:tc>
        <w:tc>
          <w:tcPr/>
          <w:p>
            <w:pPr>
              <w:pStyle w:val="Compact"/>
              <w:jc w:val="left"/>
            </w:pPr>
            <w:r>
              <w:rPr>
                <w:bCs/>
                <w:b/>
              </w:rPr>
              <w:t xml:space="preserve">82,5</w:t>
            </w:r>
          </w:p>
        </w:tc>
        <w:tc>
          <w:tcPr/>
          <w:p>
            <w:pPr>
              <w:pStyle w:val="Compact"/>
              <w:jc w:val="left"/>
            </w:pPr>
            <w:r>
              <w:rPr>
                <w:bCs/>
                <w:b/>
              </w:rPr>
              <w:t xml:space="preserve">100</w:t>
            </w:r>
          </w:p>
        </w:tc>
        <w:tc>
          <w:tcPr/>
          <w:p>
            <w:pPr>
              <w:pStyle w:val="Compact"/>
            </w:pPr>
          </w:p>
        </w:tc>
      </w:tr>
    </w:tbl>
    <w:bookmarkEnd w:id="33"/>
    <w:bookmarkStart w:id="34" w:name="fuentes"/>
    <w:p>
      <w:pPr>
        <w:pStyle w:val="Heading2"/>
      </w:pPr>
      <w:r>
        <w:t xml:space="preserve">Fuentes</w:t>
      </w:r>
    </w:p>
    <w:p>
      <w:pPr>
        <w:pStyle w:val="FirstParagraph"/>
      </w:pPr>
      <w:r>
        <w:t xml:space="preserve">[1] Glaukos, resultados del 2T 2026 (29-jul-2026), 8-K ex. 99.1 (SEC): ventas 185,6 M (+50 %), glaucoma EE. UU. 118,5 M (+64 %), margen bruto 82 %, pérdida operativa 17,3 M, caja 289,3 M y sin deuda; guía 2026 de 680-700 M.</w:t>
      </w:r>
      <w:r>
        <w:t xml:space="preserve"> </w:t>
      </w:r>
      <w:r>
        <w:t xml:space="preserve">[2] Glaukos, 10-Q del 2T 2026 (SEC): ventas por negocio, balance, flujo de caja, arrendamientos, opciones y RSU, ningún cliente &gt; 10 %, LCD propuestas, fin de Photrexa, J-code de Epioxa, pleito con SpyGlass.</w:t>
      </w:r>
      <w:r>
        <w:t xml:space="preserve"> </w:t>
      </w:r>
      <w:r>
        <w:t xml:space="preserve">[3] Glaukos, Quarterly Summary del 2T 2026: iDose ~74 M, Epioxa ~11 M, factores de la guía.</w:t>
      </w:r>
      <w:r>
        <w:t xml:space="preserve"> </w:t>
      </w:r>
      <w:r>
        <w:t xml:space="preserve">[4] Glaukos, resultados del 1T 2026 (29-abr-2026), 8-K (SEC): guía de 620-635 M.</w:t>
      </w:r>
      <w:r>
        <w:t xml:space="preserve"> </w:t>
      </w:r>
      <w:r>
        <w:t xml:space="preserve">[5] Glaukos, resultados del 4T y del año 2025 (17-feb-2026) y avance del 13-ene-2026, 8-K (SEC).</w:t>
      </w:r>
      <w:r>
        <w:t xml:space="preserve"> </w:t>
      </w:r>
      <w:r>
        <w:t xml:space="preserve">[6] Glaukos, 8-K de resultados de feb, jul y oct de 2025 (SEC): guía de 2025 de 475-485, 480-486 y 490-495 M; guía preliminar de 2026 de 600-620 M.</w:t>
      </w:r>
      <w:r>
        <w:t xml:space="preserve"> </w:t>
      </w:r>
      <w:r>
        <w:t xml:space="preserve">[7] Yahoo Finance chart API (GKOS, QQQ, IHI): cierres, medias de 200 sesiones e intradía del 14-oct (167,01 USD, 18:31 UTC).</w:t>
      </w:r>
      <w:r>
        <w:t xml:space="preserve"> </w:t>
      </w:r>
      <w:r>
        <w:t xml:space="preserve">[8] Nasdaq.com, históricos: cierre del 13-oct-2026 de 165,50 USD.</w:t>
      </w:r>
      <w:r>
        <w:t xml:space="preserve"> </w:t>
      </w:r>
      <w:r>
        <w:t xml:space="preserve">[9] StockAnalysis, previsiones y estadísticas (14-oct-2026): consenso de ventas y BPA, objetivos, cambios de recomendación, cortos.</w:t>
      </w:r>
      <w:r>
        <w:t xml:space="preserve"> </w:t>
      </w:r>
      <w:r>
        <w:t xml:space="preserve">[10] Investing.com (Piper Sandler, jul-2026) y Quartr (foro de Stifel 2026): impacto y plazos de las LCD.</w:t>
      </w:r>
      <w:r>
        <w:t xml:space="preserve"> </w:t>
      </w:r>
      <w:r>
        <w:t xml:space="preserve">[11] StockTitan y nota de Glaukos (8-oct-2026): fase 4 de iDose con cataratas; MarketBeat: iDose ~275-280 M en 2026.</w:t>
      </w:r>
      <w:r>
        <w:t xml:space="preserve"> </w:t>
      </w:r>
      <w:r>
        <w:t xml:space="preserve">[12] RTTNews, MarketBeat y nota de Glaukos (8-oct-2026): licencia de RO-104 de RevOpsis y caída del 11 %.</w:t>
      </w:r>
      <w:r>
        <w:t xml:space="preserve"> </w:t>
      </w:r>
      <w:r>
        <w:t xml:space="preserve">[13] StockTwits, flujo de GKOS (14-oct-2026).</w:t>
      </w:r>
      <w:r>
        <w:t xml:space="preserve"> </w:t>
      </w:r>
      <w:r>
        <w:t xml:space="preserve">[14] Búsqueda en Reddit, Rankia, Investing ES y Seeking Alpha (14-oct-2026).</w:t>
      </w:r>
      <w:r>
        <w:t xml:space="preserve"> </w:t>
      </w:r>
      <w:r>
        <w:t xml:space="preserve">[15] SEC, Formularios 4 de abr-oct 2026: ventas de directivos y retenciones fiscales.</w:t>
      </w:r>
      <w:r>
        <w:t xml:space="preserve"> </w:t>
      </w:r>
      <w:r>
        <w:t xml:space="preserve">[16] Simply Wall St (2025): ventas de 2028 de ~857 M, anteriores a las subidas de guía (no se usan).</w:t>
      </w:r>
      <w:r>
        <w:t xml:space="preserve"> </w:t>
      </w:r>
      <w:r>
        <w:t xml:space="preserve">[17] DE MEMORIA: precio de lista de iDose, pacientes de Medicare con gotas, compra de Avedro en 2019, Durysta.</w:t>
      </w:r>
      <w:r>
        <w:t xml:space="preserve"> </w:t>
      </w:r>
      <w:r>
        <w:t xml:space="preserve">[18] DE MEMORIA: múltiplos de Tarsus, Harrow, Insulet y Dexcom.</w:t>
      </w:r>
      <w:r>
        <w:t xml:space="preserve"> </w:t>
      </w:r>
      <w:r>
        <w:t xml:space="preserve">[19] Cálculo propio: EV (9.812 M), EV/ventas NTM histórico (mediana ~10,4x, mínimo ~6,9x; caja de 2023-24 y convertible aproximados) y DCF inverso (~21,8 %).</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2026-10-14T21:41:41Z</dcterms:created>
  <dcterms:modified xsi:type="dcterms:W3CDTF">2026-10-14T21:41:41Z</dcterms:modified>
</cp:coreProperties>
</file>

<file path=docProps/custom.xml><?xml version="1.0" encoding="utf-8"?>
<Properties xmlns="http://schemas.openxmlformats.org/officeDocument/2006/custom-properties" xmlns:vt="http://schemas.openxmlformats.org/officeDocument/2006/docPropsVTypes"/>
</file>