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insmed-insm-análisis-growth-14-oct-2026"/>
    <w:p>
      <w:pPr>
        <w:pStyle w:val="Heading1"/>
      </w:pPr>
      <w:r>
        <w:t xml:space="preserve">Insmed (INSM): análisis growth, 14-oct-2026</w:t>
      </w:r>
    </w:p>
    <w:p>
      <w:pPr>
        <w:pStyle w:val="FirstParagraph"/>
      </w:pPr>
      <w:r>
        <w:rPr>
          <w:bCs/>
          <w:b/>
        </w:rPr>
        <w:t xml:space="preserve">Señal (método v11, vigente): Vender / no comprar</w:t>
      </w:r>
      <w:r>
        <w:t xml:space="preserve"> </w:t>
      </w:r>
      <w:r>
        <w:t xml:space="preserve">· Puntuación 71,5/100 · Señales de cambio de tendencia 3/8 · EV/beneficio bruto NTM 11,1x</w:t>
      </w:r>
      <w:r>
        <w:t xml:space="preserve"> </w:t>
      </w:r>
      <w:r>
        <w:t xml:space="preserve">Precio 96,79 USD (cierre del 13-oct) · Objetivo 12 m 67,6 USD (ponderada −30,2 %, base −23,8 %, bajista −70,0 %, alcista +41,3 %) · Compra hasta 58,0 USD</w:t>
      </w:r>
      <w:r>
        <w:t xml:space="preserve"> </w:t>
      </w:r>
      <w:r>
        <w:rPr>
          <w:bCs/>
          <w:b/>
        </w:rPr>
        <w:t xml:space="preserve">Al precio actual</w:t>
      </w:r>
      <w:r>
        <w:t xml:space="preserve"> </w:t>
      </w:r>
      <w:r>
        <w:t xml:space="preserve">(97,29 USD, 14-oct, 17:44 UTC; objetivo fijo): ponderada −30,5 %, base −24,1 %, bajista −70,2 %.</w:t>
      </w:r>
      <w:r>
        <w:t xml:space="preserve"> </w:t>
      </w:r>
      <w:r>
        <w:t xml:space="preserve">Referencia v9: misma puntuación y mismas rentabilidades (71,5 puntos, Vender, ponderada −30,2 %, base −23,8 %, bajista −70,0 %). Solo cambia el «compra hasta», que es 64,3 USD con v9: a ese precio el bajista quedaría en −54,9 %, y v11 lo baja a 58,0 para respetar el listón del −50 %. La proyección mecánica (2.748 M en el base) queda</w:t>
      </w:r>
      <w:r>
        <w:t xml:space="preserve"> </w:t>
      </w:r>
      <w:r>
        <w:rPr>
          <w:bCs/>
          <w:b/>
        </w:rPr>
        <w:t xml:space="preserve">por debajo</w:t>
      </w:r>
      <w:r>
        <w:t xml:space="preserve"> </w:t>
      </w:r>
      <w:r>
        <w:t xml:space="preserve">de la mía (3.300 M) y del consenso (~3.357 M), así que el tope de v11 no actúa.</w:t>
      </w:r>
      <w:r>
        <w:t xml:space="preserve"> </w:t>
      </w:r>
      <w:r>
        <w:t xml:space="preserve">Alertas de robustez (</w:t>
      </w:r>
      <w:r>
        <w:rPr>
          <w:rStyle w:val="VerbatimChar"/>
        </w:rPr>
        <w:t xml:space="preserve">calc.alertas</w:t>
      </w:r>
      <w:r>
        <w:t xml:space="preserve">): una, por concentración de clientes (dos clientes suman el 60 % de las ventas). Son farmacias especializadas y un distribuidor, no pacientes ni pagadores (sección 11).</w:t>
      </w:r>
      <w:r>
        <w:t xml:space="preserve"> </w:t>
      </w:r>
      <w:r>
        <w:t xml:space="preserve">Peso orientativo:</w:t>
      </w:r>
      <w:r>
        <w:t xml:space="preserve"> </w:t>
      </w:r>
      <w:r>
        <w:rPr>
          <w:bCs/>
          <w:b/>
        </w:rPr>
        <w:t xml:space="preserve">no entra</w:t>
      </w:r>
      <w:r>
        <w:t xml:space="preserve">. No sustituye a ninguna posición del bolsillo y</w:t>
      </w:r>
      <w:r>
        <w:t xml:space="preserve"> </w:t>
      </w:r>
      <w:r>
        <w:rPr>
          <w:bCs/>
          <w:b/>
        </w:rPr>
        <w:t xml:space="preserve">no entra en la lista de suplentes</w:t>
      </w:r>
      <w:r>
        <w:t xml:space="preserve"> </w:t>
      </w:r>
      <w:r>
        <w:t xml:space="preserve">(sección 13).</w:t>
      </w:r>
    </w:p>
    <w:p>
      <w:pPr>
        <w:pStyle w:val="BlockText"/>
      </w:pPr>
      <w:r>
        <w:rPr>
          <w:bCs/>
          <w:b/>
        </w:rPr>
        <w:t xml:space="preserve">Valorada por EV/ventas NTM</w:t>
      </w:r>
      <w:r>
        <w:t xml:space="preserve"> </w:t>
      </w:r>
      <w:r>
        <w:t xml:space="preserve">porque Insmed aún no es rentable de forma estable: pérdida operativa de −101 M USD en el 2T26 sin apuntes contables, FCF de los últimos 12 meses de −808 M y EBITDA de consenso de −341 M en 2026. Los múltiplos del método son 3,9x / 6,6x / 10,5x, frente a 9,4x hoy.</w:t>
      </w:r>
      <w:r>
        <w:t xml:space="preserve"> </w:t>
      </w:r>
      <w:r>
        <w:rPr>
          <w:bCs/>
          <w:b/>
        </w:rPr>
        <w:t xml:space="preserve">Lectura en una línea:</w:t>
      </w:r>
      <w:r>
        <w:t xml:space="preserve"> </w:t>
      </w:r>
      <w:r>
        <w:t xml:space="preserve">el lanzamiento de Brinsupri es de los mejores de la biotecnología reciente (ventas ×4 en un año), pero el precio ya paga las ventas de consenso de 2027-28 a múltiplos de biotecnológica madura. La regla no ve margen y el mercado está girando en contra (−41 % en 12 meses, −25 % desde septiembre).</w:t>
      </w:r>
    </w:p>
    <w:bookmarkStart w:id="20" w:name="la-tesis-en-cinco-líneas"/>
    <w:p>
      <w:pPr>
        <w:pStyle w:val="Heading2"/>
      </w:pPr>
      <w:r>
        <w:t xml:space="preserve">1. La tesis en cinco líneas</w:t>
      </w:r>
    </w:p>
    <w:p>
      <w:pPr>
        <w:numPr>
          <w:ilvl w:val="0"/>
          <w:numId w:val="1001"/>
        </w:numPr>
        <w:pStyle w:val="Compact"/>
      </w:pPr>
      <w:r>
        <w:rPr>
          <w:bCs/>
          <w:b/>
        </w:rPr>
        <w:t xml:space="preserve">Brinsupri (brensocatib)</w:t>
      </w:r>
      <w:r>
        <w:t xml:space="preserve"> </w:t>
      </w:r>
      <w:r>
        <w:t xml:space="preserve">es el primer fármaco aprobado para las bronquiectasias no debidas a fibrosis quística (FDA en ago-2025; después la UE y Japón, el 24-ago-2026). En su tercer trimestre completo vendió 309 M USD (+49 % trimestral), y la empresa subió la guía de 2026 a 1.250-1.400 M [1][17]. Con Arikayce, las ventas de los últimos 12 meses son 1.138 M USD (+186 %).</w:t>
      </w:r>
    </w:p>
    <w:p>
      <w:pPr>
        <w:numPr>
          <w:ilvl w:val="0"/>
          <w:numId w:val="1001"/>
        </w:numPr>
        <w:pStyle w:val="Compact"/>
      </w:pPr>
      <w:r>
        <w:rPr>
          <w:bCs/>
          <w:b/>
        </w:rPr>
        <w:t xml:space="preserve">El negocio saca la nota máxima en crecimiento (25/25)</w:t>
      </w:r>
      <w:r>
        <w:t xml:space="preserve"> </w:t>
      </w:r>
      <w:r>
        <w:t xml:space="preserve">y tiene un margen bruto del 84 %, pero</w:t>
      </w:r>
      <w:r>
        <w:t xml:space="preserve"> </w:t>
      </w:r>
      <w:r>
        <w:rPr>
          <w:bCs/>
          <w:b/>
        </w:rPr>
        <w:t xml:space="preserve">aún quema caja</w:t>
      </w:r>
      <w:r>
        <w:t xml:space="preserve">: el FCF de 12 meses es de −808 M. La pista con esa quema es de</w:t>
      </w:r>
      <w:r>
        <w:t xml:space="preserve"> </w:t>
      </w:r>
      <w:r>
        <w:rPr>
          <w:bCs/>
          <w:b/>
        </w:rPr>
        <w:t xml:space="preserve">17 meses</w:t>
      </w:r>
      <w:r>
        <w:t xml:space="preserve">. La empresa dice que tendrá flujo de caja positivo en 2027 sin ampliar capital, y el FCF del 2T (−95 M) lo hace creíble [1][4][8].</w:t>
      </w:r>
    </w:p>
    <w:p>
      <w:pPr>
        <w:numPr>
          <w:ilvl w:val="0"/>
          <w:numId w:val="1001"/>
        </w:numPr>
        <w:pStyle w:val="Compact"/>
      </w:pPr>
      <w:r>
        <w:rPr>
          <w:bCs/>
          <w:b/>
        </w:rPr>
        <w:t xml:space="preserve">La valoración no deja margen con la regla.</w:t>
      </w:r>
      <w:r>
        <w:t xml:space="preserve"> </w:t>
      </w:r>
      <w:r>
        <w:t xml:space="preserve">El EV es de 22.060 M y el EV/ventas NTM de 9,4x (11,1x sobre beneficio bruto, lejos del tope de 35). La regla proyecta 2.748 M de ventas en la ventana objetivo, un 18 % menos que el consenso, porque el crecimiento de partida tiene un tope del 60 %. Además rebaja el múltiplo un 30 % por la desaceleración (del 107 % al 40 %). Resultado: base −24 %, ponderada −30 %.</w:t>
      </w:r>
    </w:p>
    <w:p>
      <w:pPr>
        <w:numPr>
          <w:ilvl w:val="0"/>
          <w:numId w:val="1001"/>
        </w:numPr>
        <w:pStyle w:val="Compact"/>
      </w:pPr>
      <w:r>
        <w:rPr>
          <w:bCs/>
          <w:b/>
        </w:rPr>
        <w:t xml:space="preserve">Tendencia: 3 de 8 señales.</w:t>
      </w:r>
      <w:r>
        <w:t xml:space="preserve"> </w:t>
      </w:r>
      <w:r>
        <w:t xml:space="preserve">Hay revisiones al alza tras el 2T, la inflexión operativa y catalizadores cercanos. En contra, el precio está muy por debajo de la media de 200 sesiones, la acción cae un 36 % en 6 meses frente a +18 % del Nasdaq-100, ha salido la directora financiera, Wolfe la ha rebajado y los directivos venden.</w:t>
      </w:r>
    </w:p>
    <w:p>
      <w:pPr>
        <w:numPr>
          <w:ilvl w:val="0"/>
          <w:numId w:val="1001"/>
        </w:numPr>
        <w:pStyle w:val="Compact"/>
      </w:pPr>
      <w:r>
        <w:rPr>
          <w:bCs/>
          <w:b/>
        </w:rPr>
        <w:t xml:space="preserve">Conclusión:</w:t>
      </w:r>
      <w:r>
        <w:t xml:space="preserve"> </w:t>
      </w:r>
      <w:r>
        <w:t xml:space="preserve">buen negocio y lanzamiento excelente, pero ni la regla ni la percepción acompañan. Con la regla es</w:t>
      </w:r>
      <w:r>
        <w:t xml:space="preserve"> </w:t>
      </w:r>
      <w:r>
        <w:rPr>
          <w:bCs/>
          <w:b/>
        </w:rPr>
        <w:t xml:space="preserve">Vender / no comprar</w:t>
      </w:r>
      <w:r>
        <w:t xml:space="preserve">. Incluso con las ventas del consenso, una quema adelantada mucho menor y probabilidades 25/50/25, la ponderada se queda en −17 % (sección 11). Solo pasaría a Mantener si la regla no aplicara la rebaja del múltiplo: el precio ya paga lo que esperan los analistas.</w:t>
      </w:r>
    </w:p>
    <w:bookmarkEnd w:id="20"/>
    <w:bookmarkStart w:id="21" w:name="negocio-y-tecnología"/>
    <w:p>
      <w:pPr>
        <w:pStyle w:val="Heading2"/>
      </w:pPr>
      <w:r>
        <w:t xml:space="preserve">2. Negocio y tecnología</w:t>
      </w:r>
    </w:p>
    <w:p>
      <w:pPr>
        <w:pStyle w:val="FirstParagraph"/>
      </w:pPr>
      <w:r>
        <w:t xml:space="preserve">Insmed (Bridgewater, Nueva Jersey) es una biotecnológica de enfermedades respiratorias raras y graves con dos productos comerciales [1][2]:</w:t>
      </w:r>
    </w:p>
    <w:p>
      <w:pPr>
        <w:numPr>
          <w:ilvl w:val="0"/>
          <w:numId w:val="1002"/>
        </w:numPr>
        <w:pStyle w:val="Compact"/>
      </w:pPr>
      <w:r>
        <w:rPr>
          <w:bCs/>
          <w:b/>
        </w:rPr>
        <w:t xml:space="preserve">Brinsupri (brensocatib 10 y 25 mg, oral, una vez al día).</w:t>
      </w:r>
      <w:r>
        <w:t xml:space="preserve"> </w:t>
      </w:r>
      <w:r>
        <w:t xml:space="preserve">Es un inhibidor de la DPP1 (catepsina C). Frena la activación de las proteasas de los neutrófilos que destruyen la pared bronquial. En el fase 3 ASPEN redujo las exacerbaciones y frenó la pérdida de función pulmonar. Está aprobado para pacientes de 12 años o más con bronquiectasias no FQ. Precio de lista de ~88.000 USD al año, con un descuento bruto-neto en la parte media-alta del 20 % [8][16]. En el 2T26 supuso el 73 % de las ventas.</w:t>
      </w:r>
    </w:p>
    <w:p>
      <w:pPr>
        <w:numPr>
          <w:ilvl w:val="0"/>
          <w:numId w:val="1002"/>
        </w:numPr>
        <w:pStyle w:val="Compact"/>
      </w:pPr>
      <w:r>
        <w:rPr>
          <w:bCs/>
          <w:b/>
        </w:rPr>
        <w:t xml:space="preserve">Arikayce (amikacina liposomal inhalada).</w:t>
      </w:r>
      <w:r>
        <w:t xml:space="preserve"> </w:t>
      </w:r>
      <w:r>
        <w:t xml:space="preserve">Se usa en la infección pulmonar refractaria por MAC (micobacterias). Vende ~450-470 M USD al año y crece un 8 %. La FDA estudia ampliarlo a los pacientes recién diagnosticados (revisión prioritaria, fecha del 28-ene-2027), lo que multiplicaría su población [1][11].</w:t>
      </w:r>
    </w:p>
    <w:p>
      <w:pPr>
        <w:numPr>
          <w:ilvl w:val="0"/>
          <w:numId w:val="1002"/>
        </w:numPr>
        <w:pStyle w:val="Compact"/>
      </w:pPr>
      <w:r>
        <w:rPr>
          <w:bCs/>
          <w:b/>
        </w:rPr>
        <w:t xml:space="preserve">Cartera</w:t>
      </w:r>
      <w:r>
        <w:t xml:space="preserve">:</w:t>
      </w:r>
      <w:r>
        <w:t xml:space="preserve"> </w:t>
      </w:r>
      <w:r>
        <w:rPr>
          <w:bCs/>
          <w:b/>
        </w:rPr>
        <w:t xml:space="preserve">TPIP</w:t>
      </w:r>
      <w:r>
        <w:t xml:space="preserve"> </w:t>
      </w:r>
      <w:r>
        <w:t xml:space="preserve">(treprostinil inhalado en polvo, una vez al día) en fase 3 en hipertensión pulmonar asociada a enfermedad intersticial (PALM-ILD) y en hipertensión arterial pulmonar (PALM-PAH), con fase 3 en fibrosis pulmonar progresiva en el 2S26 y en FPI en 2027. La empresa le atribuye ventas máximas de más de 6.000 M. También tiene INS1148 (fibrosis), INS1033 (segundo inhibidor de DPP1, artritis reumatoide) y terapias génicas intratecales en Duchenne y ELA (fase 1) [1][5].</w:t>
      </w:r>
    </w:p>
    <w:p>
      <w:pPr>
        <w:numPr>
          <w:ilvl w:val="0"/>
          <w:numId w:val="1002"/>
        </w:numPr>
        <w:pStyle w:val="Compact"/>
      </w:pPr>
      <w:r>
        <w:rPr>
          <w:bCs/>
          <w:b/>
        </w:rPr>
        <w:t xml:space="preserve">Fracasos de brensocatib fuera de las bronquiectasias</w:t>
      </w:r>
      <w:r>
        <w:t xml:space="preserve">: rinosinusitis crónica sin pólipos (BiRCh, dic-2025) e hidradenitis supurativa (CEDAR, 7-abr-2026, por debajo del placebo; programa cerrado) [14]. El mecanismo no se extiende con facilidad a otras enfermedades de neutrófilos.</w:t>
      </w:r>
    </w:p>
    <w:p>
      <w:pPr>
        <w:pStyle w:val="FirstParagraph"/>
      </w:pPr>
      <w:r>
        <w:rPr>
          <w:bCs/>
          <w:b/>
        </w:rPr>
        <w:t xml:space="preserve">Tecnología 4/5</w:t>
      </w:r>
      <w:r>
        <w:t xml:space="preserve">: es la primera de su clase, con patentes en EE. UU. hasta 2035 (más la posible extensión) y equivalentes hasta 2039 [6]. No le doy el 5 porque hay dos rivales en el mismo mecanismo en fase 3 (sección 4).</w:t>
      </w:r>
      <w:r>
        <w:t xml:space="preserve"> </w:t>
      </w:r>
      <w:r>
        <w:rPr>
          <w:bCs/>
          <w:b/>
        </w:rPr>
        <w:t xml:space="preserve">Posición 5/5</w:t>
      </w:r>
      <w:r>
        <w:t xml:space="preserve">: es el único tratamiento aprobado para la enfermedad en EE. UU., la UE y Japón [17].</w:t>
      </w:r>
    </w:p>
    <w:bookmarkEnd w:id="21"/>
    <w:bookmarkStart w:id="22" w:name="crecimiento"/>
    <w:p>
      <w:pPr>
        <w:pStyle w:val="Heading2"/>
      </w:pPr>
      <w:r>
        <w:t xml:space="preserve">3. Crecimiento</w:t>
      </w:r>
    </w:p>
    <w:p>
      <w:pPr>
        <w:pStyle w:val="FirstParagraph"/>
      </w:pPr>
      <w:r>
        <w:t xml:space="preserve">Ventas netas por trimestre (M USD) [1][2][3]:</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Trimestre</w:t>
            </w:r>
          </w:p>
        </w:tc>
        <w:tc>
          <w:tcPr/>
          <w:p>
            <w:pPr>
              <w:pStyle w:val="Compact"/>
              <w:jc w:val="left"/>
            </w:pPr>
            <w:r>
              <w:t xml:space="preserve">Total</w:t>
            </w:r>
          </w:p>
        </w:tc>
        <w:tc>
          <w:tcPr/>
          <w:p>
            <w:pPr>
              <w:pStyle w:val="Compact"/>
              <w:jc w:val="left"/>
            </w:pPr>
            <w:r>
              <w:t xml:space="preserve">Brinsupri</w:t>
            </w:r>
          </w:p>
        </w:tc>
        <w:tc>
          <w:tcPr/>
          <w:p>
            <w:pPr>
              <w:pStyle w:val="Compact"/>
              <w:jc w:val="left"/>
            </w:pPr>
            <w:r>
              <w:t xml:space="preserve">Arikayce</w:t>
            </w:r>
          </w:p>
        </w:tc>
        <w:tc>
          <w:tcPr/>
          <w:p>
            <w:pPr>
              <w:pStyle w:val="Compact"/>
              <w:jc w:val="left"/>
            </w:pPr>
            <w:r>
              <w:t xml:space="preserve">Crec. interanual total</w:t>
            </w:r>
          </w:p>
        </w:tc>
      </w:tr>
      <w:tr>
        <w:tc>
          <w:tcPr/>
          <w:p>
            <w:pPr>
              <w:pStyle w:val="Compact"/>
              <w:jc w:val="left"/>
            </w:pPr>
            <w:r>
              <w:t xml:space="preserve">2T 2025</w:t>
            </w:r>
          </w:p>
        </w:tc>
        <w:tc>
          <w:tcPr/>
          <w:p>
            <w:pPr>
              <w:pStyle w:val="Compact"/>
              <w:jc w:val="left"/>
            </w:pPr>
            <w:r>
              <w:t xml:space="preserve">107,4</w:t>
            </w:r>
          </w:p>
        </w:tc>
        <w:tc>
          <w:tcPr/>
          <w:p>
            <w:pPr>
              <w:pStyle w:val="Compact"/>
              <w:jc w:val="left"/>
            </w:pPr>
            <w:r>
              <w:t xml:space="preserve">—</w:t>
            </w:r>
          </w:p>
        </w:tc>
        <w:tc>
          <w:tcPr/>
          <w:p>
            <w:pPr>
              <w:pStyle w:val="Compact"/>
              <w:jc w:val="left"/>
            </w:pPr>
            <w:r>
              <w:t xml:space="preserve">107,4</w:t>
            </w:r>
          </w:p>
        </w:tc>
        <w:tc>
          <w:tcPr/>
          <w:p>
            <w:pPr>
              <w:pStyle w:val="Compact"/>
              <w:jc w:val="left"/>
            </w:pPr>
            <w:r>
              <w:t xml:space="preserve">+18,9 %</w:t>
            </w:r>
          </w:p>
        </w:tc>
      </w:tr>
      <w:tr>
        <w:tc>
          <w:tcPr/>
          <w:p>
            <w:pPr>
              <w:pStyle w:val="Compact"/>
              <w:jc w:val="left"/>
            </w:pPr>
            <w:r>
              <w:t xml:space="preserve">3T 2025</w:t>
            </w:r>
          </w:p>
        </w:tc>
        <w:tc>
          <w:tcPr/>
          <w:p>
            <w:pPr>
              <w:pStyle w:val="Compact"/>
              <w:jc w:val="left"/>
            </w:pPr>
            <w:r>
              <w:t xml:space="preserve">142,3</w:t>
            </w:r>
          </w:p>
        </w:tc>
        <w:tc>
          <w:tcPr/>
          <w:p>
            <w:pPr>
              <w:pStyle w:val="Compact"/>
              <w:jc w:val="left"/>
            </w:pPr>
            <w:r>
              <w:t xml:space="preserve">~28 (de memoria)</w:t>
            </w:r>
          </w:p>
        </w:tc>
        <w:tc>
          <w:tcPr/>
          <w:p>
            <w:pPr>
              <w:pStyle w:val="Compact"/>
              <w:jc w:val="left"/>
            </w:pPr>
            <w:r>
              <w:t xml:space="preserve">~114</w:t>
            </w:r>
          </w:p>
        </w:tc>
        <w:tc>
          <w:tcPr/>
          <w:p>
            <w:pPr>
              <w:pStyle w:val="Compact"/>
              <w:jc w:val="left"/>
            </w:pPr>
            <w:r>
              <w:t xml:space="preserve">+52,4 %</w:t>
            </w:r>
          </w:p>
        </w:tc>
      </w:tr>
      <w:tr>
        <w:tc>
          <w:tcPr/>
          <w:p>
            <w:pPr>
              <w:pStyle w:val="Compact"/>
              <w:jc w:val="left"/>
            </w:pPr>
            <w:r>
              <w:t xml:space="preserve">4T 2025</w:t>
            </w:r>
          </w:p>
        </w:tc>
        <w:tc>
          <w:tcPr/>
          <w:p>
            <w:pPr>
              <w:pStyle w:val="Compact"/>
              <w:jc w:val="left"/>
            </w:pPr>
            <w:r>
              <w:t xml:space="preserve">263,8</w:t>
            </w:r>
          </w:p>
        </w:tc>
        <w:tc>
          <w:tcPr/>
          <w:p>
            <w:pPr>
              <w:pStyle w:val="Compact"/>
              <w:jc w:val="left"/>
            </w:pPr>
            <w:r>
              <w:t xml:space="preserve">~144 (derivado: 207,9 / 1,44)</w:t>
            </w:r>
          </w:p>
        </w:tc>
        <w:tc>
          <w:tcPr/>
          <w:p>
            <w:pPr>
              <w:pStyle w:val="Compact"/>
              <w:jc w:val="left"/>
            </w:pPr>
            <w:r>
              <w:t xml:space="preserve">~119</w:t>
            </w:r>
          </w:p>
        </w:tc>
        <w:tc>
          <w:tcPr/>
          <w:p>
            <w:pPr>
              <w:pStyle w:val="Compact"/>
              <w:jc w:val="left"/>
            </w:pPr>
            <w:r>
              <w:t xml:space="preserve">+152,6 %</w:t>
            </w:r>
          </w:p>
        </w:tc>
      </w:tr>
      <w:tr>
        <w:tc>
          <w:tcPr/>
          <w:p>
            <w:pPr>
              <w:pStyle w:val="Compact"/>
              <w:jc w:val="left"/>
            </w:pPr>
            <w:r>
              <w:t xml:space="preserve">1T 2026</w:t>
            </w:r>
          </w:p>
        </w:tc>
        <w:tc>
          <w:tcPr/>
          <w:p>
            <w:pPr>
              <w:pStyle w:val="Compact"/>
              <w:jc w:val="left"/>
            </w:pPr>
            <w:r>
              <w:t xml:space="preserve">306,0</w:t>
            </w:r>
          </w:p>
        </w:tc>
        <w:tc>
          <w:tcPr/>
          <w:p>
            <w:pPr>
              <w:pStyle w:val="Compact"/>
              <w:jc w:val="left"/>
            </w:pPr>
            <w:r>
              <w:t xml:space="preserve">207,9</w:t>
            </w:r>
          </w:p>
        </w:tc>
        <w:tc>
          <w:tcPr/>
          <w:p>
            <w:pPr>
              <w:pStyle w:val="Compact"/>
              <w:jc w:val="left"/>
            </w:pPr>
            <w:r>
              <w:t xml:space="preserve">98,1</w:t>
            </w:r>
          </w:p>
        </w:tc>
        <w:tc>
          <w:tcPr/>
          <w:p>
            <w:pPr>
              <w:pStyle w:val="Compact"/>
              <w:jc w:val="left"/>
            </w:pPr>
            <w:r>
              <w:t xml:space="preserve">+229,6 %</w:t>
            </w:r>
          </w:p>
        </w:tc>
      </w:tr>
      <w:tr>
        <w:tc>
          <w:tcPr/>
          <w:p>
            <w:pPr>
              <w:pStyle w:val="Compact"/>
              <w:jc w:val="left"/>
            </w:pPr>
            <w:r>
              <w:t xml:space="preserve">2T 2026</w:t>
            </w:r>
          </w:p>
        </w:tc>
        <w:tc>
          <w:tcPr/>
          <w:p>
            <w:pPr>
              <w:pStyle w:val="Compact"/>
              <w:jc w:val="left"/>
            </w:pPr>
            <w:r>
              <w:t xml:space="preserve">425,5</w:t>
            </w:r>
          </w:p>
        </w:tc>
        <w:tc>
          <w:tcPr/>
          <w:p>
            <w:pPr>
              <w:pStyle w:val="Compact"/>
              <w:jc w:val="left"/>
            </w:pPr>
            <w:r>
              <w:t xml:space="preserve">309,2</w:t>
            </w:r>
          </w:p>
        </w:tc>
        <w:tc>
          <w:tcPr/>
          <w:p>
            <w:pPr>
              <w:pStyle w:val="Compact"/>
              <w:jc w:val="left"/>
            </w:pPr>
            <w:r>
              <w:t xml:space="preserve">116,3</w:t>
            </w:r>
          </w:p>
        </w:tc>
        <w:tc>
          <w:tcPr/>
          <w:p>
            <w:pPr>
              <w:pStyle w:val="Compact"/>
              <w:jc w:val="left"/>
            </w:pPr>
            <w:r>
              <w:t xml:space="preserve">+296,1 %</w:t>
            </w:r>
          </w:p>
        </w:tc>
      </w:tr>
      <w:tr>
        <w:tc>
          <w:tcPr/>
          <w:p>
            <w:pPr>
              <w:pStyle w:val="Compact"/>
              <w:jc w:val="left"/>
            </w:pPr>
            <w:r>
              <w:t xml:space="preserve">3T 2026 (consenso)</w:t>
            </w:r>
          </w:p>
        </w:tc>
        <w:tc>
          <w:tcPr/>
          <w:p>
            <w:pPr>
              <w:pStyle w:val="Compact"/>
              <w:jc w:val="left"/>
            </w:pPr>
            <w:r>
              <w:t xml:space="preserve">~497,5</w:t>
            </w:r>
          </w:p>
        </w:tc>
        <w:tc>
          <w:tcPr/>
          <w:p>
            <w:pPr>
              <w:pStyle w:val="Compact"/>
            </w:pPr>
          </w:p>
        </w:tc>
        <w:tc>
          <w:tcPr/>
          <w:p>
            <w:pPr>
              <w:pStyle w:val="Compact"/>
            </w:pPr>
          </w:p>
        </w:tc>
        <w:tc>
          <w:tcPr/>
          <w:p>
            <w:pPr>
              <w:pStyle w:val="Compact"/>
              <w:jc w:val="left"/>
            </w:pPr>
            <w:r>
              <w:t xml:space="preserve">~+250 %</w:t>
            </w:r>
          </w:p>
        </w:tc>
      </w:tr>
    </w:tbl>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Ejercicio</w:t>
            </w:r>
          </w:p>
        </w:tc>
        <w:tc>
          <w:tcPr/>
          <w:p>
            <w:pPr>
              <w:pStyle w:val="Compact"/>
              <w:jc w:val="left"/>
            </w:pPr>
            <w:r>
              <w:t xml:space="preserve">Ventas</w:t>
            </w:r>
          </w:p>
        </w:tc>
        <w:tc>
          <w:tcPr/>
          <w:p>
            <w:pPr>
              <w:pStyle w:val="Compact"/>
              <w:jc w:val="left"/>
            </w:pPr>
            <w:r>
              <w:t xml:space="preserve">Crec.</w:t>
            </w:r>
          </w:p>
        </w:tc>
      </w:tr>
      <w:tr>
        <w:tc>
          <w:tcPr/>
          <w:p>
            <w:pPr>
              <w:pStyle w:val="Compact"/>
              <w:jc w:val="left"/>
            </w:pPr>
            <w:r>
              <w:t xml:space="preserve">2023</w:t>
            </w:r>
          </w:p>
        </w:tc>
        <w:tc>
          <w:tcPr/>
          <w:p>
            <w:pPr>
              <w:pStyle w:val="Compact"/>
              <w:jc w:val="left"/>
            </w:pPr>
            <w:r>
              <w:t xml:space="preserve">305,2</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363,7</w:t>
            </w:r>
          </w:p>
        </w:tc>
        <w:tc>
          <w:tcPr/>
          <w:p>
            <w:pPr>
              <w:pStyle w:val="Compact"/>
              <w:jc w:val="left"/>
            </w:pPr>
            <w:r>
              <w:t xml:space="preserve">+19,2 %</w:t>
            </w:r>
          </w:p>
        </w:tc>
      </w:tr>
      <w:tr>
        <w:tc>
          <w:tcPr/>
          <w:p>
            <w:pPr>
              <w:pStyle w:val="Compact"/>
              <w:jc w:val="left"/>
            </w:pPr>
            <w:r>
              <w:t xml:space="preserve">2025</w:t>
            </w:r>
          </w:p>
        </w:tc>
        <w:tc>
          <w:tcPr/>
          <w:p>
            <w:pPr>
              <w:pStyle w:val="Compact"/>
              <w:jc w:val="left"/>
            </w:pPr>
            <w:r>
              <w:t xml:space="preserve">606,4</w:t>
            </w:r>
          </w:p>
        </w:tc>
        <w:tc>
          <w:tcPr/>
          <w:p>
            <w:pPr>
              <w:pStyle w:val="Compact"/>
              <w:jc w:val="left"/>
            </w:pPr>
            <w:r>
              <w:t xml:space="preserve">+66,7 %</w:t>
            </w:r>
          </w:p>
        </w:tc>
      </w:tr>
      <w:tr>
        <w:tc>
          <w:tcPr/>
          <w:p>
            <w:pPr>
              <w:pStyle w:val="Compact"/>
              <w:jc w:val="left"/>
            </w:pPr>
            <w:r>
              <w:t xml:space="preserve">2026 guía (punto medio)</w:t>
            </w:r>
          </w:p>
        </w:tc>
        <w:tc>
          <w:tcPr/>
          <w:p>
            <w:pPr>
              <w:pStyle w:val="Compact"/>
              <w:jc w:val="left"/>
            </w:pPr>
            <w:r>
              <w:t xml:space="preserve">1.785</w:t>
            </w:r>
          </w:p>
        </w:tc>
        <w:tc>
          <w:tcPr/>
          <w:p>
            <w:pPr>
              <w:pStyle w:val="Compact"/>
              <w:jc w:val="left"/>
            </w:pPr>
            <w:r>
              <w:t xml:space="preserve">+194 %</w:t>
            </w:r>
          </w:p>
        </w:tc>
      </w:tr>
      <w:tr>
        <w:tc>
          <w:tcPr/>
          <w:p>
            <w:pPr>
              <w:pStyle w:val="Compact"/>
              <w:jc w:val="left"/>
            </w:pPr>
            <w:r>
              <w:t xml:space="preserve">2027 consenso</w:t>
            </w:r>
          </w:p>
        </w:tc>
        <w:tc>
          <w:tcPr/>
          <w:p>
            <w:pPr>
              <w:pStyle w:val="Compact"/>
              <w:jc w:val="left"/>
            </w:pPr>
            <w:r>
              <w:t xml:space="preserve">2.907</w:t>
            </w:r>
          </w:p>
        </w:tc>
        <w:tc>
          <w:tcPr/>
          <w:p>
            <w:pPr>
              <w:pStyle w:val="Compact"/>
              <w:jc w:val="left"/>
            </w:pPr>
            <w:r>
              <w:t xml:space="preserve">+63 %</w:t>
            </w:r>
          </w:p>
        </w:tc>
      </w:tr>
      <w:tr>
        <w:tc>
          <w:tcPr/>
          <w:p>
            <w:pPr>
              <w:pStyle w:val="Compact"/>
              <w:jc w:val="left"/>
            </w:pPr>
            <w:r>
              <w:t xml:space="preserve">2028 consenso</w:t>
            </w:r>
          </w:p>
        </w:tc>
        <w:tc>
          <w:tcPr/>
          <w:p>
            <w:pPr>
              <w:pStyle w:val="Compact"/>
              <w:jc w:val="left"/>
            </w:pPr>
            <w:r>
              <w:t xml:space="preserve">3.807</w:t>
            </w:r>
          </w:p>
        </w:tc>
        <w:tc>
          <w:tcPr/>
          <w:p>
            <w:pPr>
              <w:pStyle w:val="Compact"/>
              <w:jc w:val="left"/>
            </w:pPr>
            <w:r>
              <w:t xml:space="preserve">+31 %</w:t>
            </w:r>
          </w:p>
        </w:tc>
      </w:tr>
    </w:tbl>
    <w:p>
      <w:pPr>
        <w:numPr>
          <w:ilvl w:val="0"/>
          <w:numId w:val="1003"/>
        </w:numPr>
        <w:pStyle w:val="Compact"/>
      </w:pPr>
      <w:r>
        <w:rPr>
          <w:bCs/>
          <w:b/>
        </w:rPr>
        <w:t xml:space="preserve">Ventas de 12 meses</w:t>
      </w:r>
      <w:r>
        <w:t xml:space="preserve"> </w:t>
      </w:r>
      <w:r>
        <w:t xml:space="preserve">(3T25-2T26):</w:t>
      </w:r>
      <w:r>
        <w:t xml:space="preserve"> </w:t>
      </w:r>
      <w:r>
        <w:rPr>
          <w:bCs/>
          <w:b/>
        </w:rPr>
        <w:t xml:space="preserve">1.137,6 M USD, +185,8 %</w:t>
      </w:r>
      <w:r>
        <w:t xml:space="preserve"> </w:t>
      </w:r>
      <w:r>
        <w:t xml:space="preserve">(398,0 M un año antes).</w:t>
      </w:r>
      <w:r>
        <w:t xml:space="preserve"> </w:t>
      </w:r>
      <w:r>
        <w:rPr>
          <w:bCs/>
          <w:b/>
        </w:rPr>
        <w:t xml:space="preserve">CAGR propio a 2 años: +86,1 %</w:t>
      </w:r>
      <w:r>
        <w:t xml:space="preserve"> </w:t>
      </w:r>
      <w:r>
        <w:t xml:space="preserve">(328,6 M en los 12 meses a jun-2024).</w:t>
      </w:r>
      <w:r>
        <w:t xml:space="preserve"> </w:t>
      </w:r>
      <w:r>
        <w:rPr>
          <w:bCs/>
          <w:b/>
        </w:rPr>
        <w:t xml:space="preserve">Aceleración: +182,7 pp</w:t>
      </w:r>
      <w:r>
        <w:t xml:space="preserve">: el 2T creció un 296 %, frente a una media del 113 % en los cuatro anteriores. Es un efecto de lanzamiento que se apagará en cuanto Brinsupri cumpla un año (el 3T26 ya se compara con un trimestre con Brinsupri).</w:t>
      </w:r>
    </w:p>
    <w:p>
      <w:pPr>
        <w:numPr>
          <w:ilvl w:val="0"/>
          <w:numId w:val="1003"/>
        </w:numPr>
        <w:pStyle w:val="Compact"/>
      </w:pPr>
      <w:r>
        <w:rPr>
          <w:bCs/>
          <w:b/>
        </w:rPr>
        <w:t xml:space="preserve">Pacientes</w:t>
      </w:r>
      <w:r>
        <w:t xml:space="preserve">: ~7.000 inicios de Brinsupri en el 2T (se esperaban ~6.300) y la empresa espera ~7.000 por trimestre el resto de 2026. Hay 6.300 prescriptores (+1.300 en el trimestre) y el 30 % ya tiene 5 pacientes o más. La bolsa de pacientes «listos y esperando» ya se agotó: la demanda es orgánica [8].</w:t>
      </w:r>
    </w:p>
    <w:p>
      <w:pPr>
        <w:numPr>
          <w:ilvl w:val="0"/>
          <w:numId w:val="1003"/>
        </w:numPr>
        <w:pStyle w:val="Compact"/>
      </w:pPr>
      <w:r>
        <w:rPr>
          <w:bCs/>
          <w:b/>
        </w:rPr>
        <w:t xml:space="preserve">Guía</w:t>
      </w:r>
      <w:r>
        <w:t xml:space="preserve">: anual. Para 2026, Brinsupri 1.250-1.400 M (subida desde «al menos 1.000 M») y Arikayce 450-470 M, reafirmada el 5-oct [1][4]. El crecimiento implícito en el 2S26 es del</w:t>
      </w:r>
      <w:r>
        <w:t xml:space="preserve"> </w:t>
      </w:r>
      <w:r>
        <w:rPr>
          <w:bCs/>
          <w:b/>
        </w:rPr>
        <w:t xml:space="preserve">+159 %</w:t>
      </w:r>
      <w:r>
        <w:t xml:space="preserve">, y es el que va a</w:t>
      </w:r>
      <w:r>
        <w:t xml:space="preserve"> </w:t>
      </w:r>
      <w:r>
        <w:rPr>
          <w:rStyle w:val="VerbatimChar"/>
        </w:rPr>
        <w:t xml:space="preserve">guia_12m_pct</w:t>
      </w:r>
      <w:r>
        <w:t xml:space="preserve">. El exceso sobre la guía es</w:t>
      </w:r>
      <w:r>
        <w:t xml:space="preserve"> </w:t>
      </w:r>
      <w:r>
        <w:rPr>
          <w:rStyle w:val="VerbatimChar"/>
        </w:rPr>
        <w:t xml:space="preserve">null</w:t>
      </w:r>
      <w:r>
        <w:t xml:space="preserve">: solo hay guía anual y la de 2025 no es comparable, porque Brinsupri no tenía guía. No hay guía de 2027 ni guía trimestral. La regla v9</w:t>
      </w:r>
      <w:r>
        <w:t xml:space="preserve"> </w:t>
      </w:r>
      <w:r>
        <w:rPr>
          <w:bCs/>
          <w:b/>
        </w:rPr>
        <w:t xml:space="preserve">no recorta</w:t>
      </w:r>
      <w:r>
        <w:t xml:space="preserve">, porque la mecánica ya parte del tope del 60 %, muy por debajo de la guía.</w:t>
      </w:r>
    </w:p>
    <w:p>
      <w:pPr>
        <w:numPr>
          <w:ilvl w:val="0"/>
          <w:numId w:val="1003"/>
        </w:numPr>
        <w:pStyle w:val="Compact"/>
      </w:pPr>
      <w:r>
        <w:rPr>
          <w:bCs/>
          <w:b/>
        </w:rPr>
        <w:t xml:space="preserve">Retención</w:t>
      </w:r>
      <w:r>
        <w:t xml:space="preserve">: no aplica (</w:t>
      </w:r>
      <w:r>
        <w:rPr>
          <w:rStyle w:val="VerbatimChar"/>
        </w:rPr>
        <w:t xml:space="preserve">nrr_pct</w:t>
      </w:r>
      <w:r>
        <w:t xml:space="preserve"> </w:t>
      </w:r>
      <w:r>
        <w:t xml:space="preserve">= null).</w:t>
      </w:r>
    </w:p>
    <w:bookmarkEnd w:id="22"/>
    <w:bookmarkStart w:id="23" w:name="mercado-y-competencia"/>
    <w:p>
      <w:pPr>
        <w:pStyle w:val="Heading2"/>
      </w:pPr>
      <w:r>
        <w:t xml:space="preserve">4. Mercado y competencia</w:t>
      </w:r>
    </w:p>
    <w:p>
      <w:pPr>
        <w:numPr>
          <w:ilvl w:val="0"/>
          <w:numId w:val="1004"/>
        </w:numPr>
        <w:pStyle w:val="Compact"/>
      </w:pPr>
      <w:r>
        <w:rPr>
          <w:bCs/>
          <w:b/>
        </w:rPr>
        <w:t xml:space="preserve">Mercado alcanzable en la ventana objetivo: ~15.000 M USD</w:t>
      </w:r>
      <w:r>
        <w:t xml:space="preserve"> </w:t>
      </w:r>
      <w:r>
        <w:t xml:space="preserve">(estimación propia [20]). En EE. UU. hay ~500.000 personas diagnosticadas con bronquiectasias [16]. Con un precio neto de ~60.000 USD y ~40 % de pacientes con exacerbaciones frecuentes salen ~12.000 M. A eso se suman Europa y Japón (~2.000 M en esa fecha, por precios y tiempos de reembolso) y MAC con Arikayce (~1.000 M). La empresa habla de más de 7.000 M de ventas máximas solo de Brinsupri, lo que encaja con una penetración del 50-60 % del mercado alcanzable a largo plazo.</w:t>
      </w:r>
      <w:r>
        <w:t xml:space="preserve"> </w:t>
      </w:r>
      <w:r>
        <w:rPr>
          <w:bCs/>
          <w:b/>
        </w:rPr>
        <w:t xml:space="preserve">Penetración hoy: 7,6 %</w:t>
      </w:r>
      <w:r>
        <w:t xml:space="preserve"> </w:t>
      </w:r>
      <w:r>
        <w:t xml:space="preserve">(3/5).</w:t>
      </w:r>
    </w:p>
    <w:p>
      <w:pPr>
        <w:numPr>
          <w:ilvl w:val="0"/>
          <w:numId w:val="1004"/>
        </w:numPr>
        <w:pStyle w:val="Compact"/>
      </w:pPr>
      <w:r>
        <w:rPr>
          <w:bCs/>
          <w:b/>
        </w:rPr>
        <w:t xml:space="preserve">Rivales</w:t>
      </w:r>
      <w:r>
        <w:t xml:space="preserve">:</w:t>
      </w:r>
      <w:r>
        <w:t xml:space="preserve"> </w:t>
      </w:r>
      <w:r>
        <w:rPr>
          <w:bCs/>
          <w:b/>
        </w:rPr>
        <w:t xml:space="preserve">verducatib</w:t>
      </w:r>
      <w:r>
        <w:t xml:space="preserve"> </w:t>
      </w:r>
      <w:r>
        <w:t xml:space="preserve">(BI 1291583, Boehringer Ingelheim) está en fase 3 (AIRTIVITY) tras unos datos de fase 2 conjuntos presentados en la ATS de mayo de 2026 que el mercado leyó como competitivos. Hay más en desarrollo:</w:t>
      </w:r>
      <w:r>
        <w:t xml:space="preserve"> </w:t>
      </w:r>
      <w:r>
        <w:rPr>
          <w:bCs/>
          <w:b/>
        </w:rPr>
        <w:t xml:space="preserve">HSK31858</w:t>
      </w:r>
      <w:r>
        <w:t xml:space="preserve"> </w:t>
      </w:r>
      <w:r>
        <w:t xml:space="preserve">(Haisco, fase 3), XH-S004 (Fosun) y MDI-0151 [15]. Truist recortó su objetivo en mayo por «novedades competitivas» [13]. Calculo que verducatib no llegaría antes de 2028-2029 (de memoria, sin fecha publicada de fase 3).</w:t>
      </w:r>
    </w:p>
    <w:p>
      <w:pPr>
        <w:numPr>
          <w:ilvl w:val="0"/>
          <w:numId w:val="1004"/>
        </w:numPr>
        <w:pStyle w:val="Compact"/>
      </w:pPr>
      <w:r>
        <w:rPr>
          <w:bCs/>
          <w:b/>
        </w:rPr>
        <w:t xml:space="preserve">Por qué gana</w:t>
      </w:r>
      <w:r>
        <w:t xml:space="preserve">: es la primera de su clase, tiene 2-3 años de ventaja, red comercial en neumología (la de Arikayce), datos de función pulmonar y cobertura de pagadores ya negociada (~90 % de aprobaciones) [8]. El riesgo no es perder el mercado, sino que ampliarlo cueste más de lo previsto. Es la tesis de la rebaja de Wolfe: identificar a los pacientes con otras enfermedades (EPOC, asma) que también tienen bronquiectasias podría llevar más allá de mediados de 2027 [12].</w:t>
      </w:r>
    </w:p>
    <w:p>
      <w:pPr>
        <w:numPr>
          <w:ilvl w:val="0"/>
          <w:numId w:val="1004"/>
        </w:numPr>
        <w:pStyle w:val="Compact"/>
      </w:pPr>
      <w:r>
        <w:rPr>
          <w:bCs/>
          <w:b/>
        </w:rPr>
        <w:t xml:space="preserve">Riesgo de IA: bajo.</w:t>
      </w:r>
      <w:r>
        <w:t xml:space="preserve"> </w:t>
      </w:r>
      <w:r>
        <w:t xml:space="preserve">Es un fármaco con patente para una enfermedad crónica, y la IA no sustituye ni el producto ni la relación con el neumólogo. Puede acelerar el descubrimiento de rivales (más inhibidores de DPP1), pero el cuello de botella son los ensayos clínicos de fase 3, de 2-3 años. No es un valor «de IA»: no aporta ni resta exposición a IA en la cartera.</w:t>
      </w:r>
    </w:p>
    <w:bookmarkEnd w:id="23"/>
    <w:bookmarkStart w:id="24" w:name="cambio-de-tendencia"/>
    <w:p>
      <w:pPr>
        <w:pStyle w:val="Heading2"/>
      </w:pPr>
      <w:r>
        <w:t xml:space="preserve">5. Cambio de tendencia</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Señal</w:t>
            </w:r>
          </w:p>
        </w:tc>
        <w:tc>
          <w:tcPr/>
          <w:p>
            <w:pPr>
              <w:pStyle w:val="Compact"/>
              <w:jc w:val="left"/>
            </w:pPr>
            <w:r>
              <w:t xml:space="preserve">Sí/No</w:t>
            </w:r>
          </w:p>
        </w:tc>
        <w:tc>
          <w:tcPr/>
          <w:p>
            <w:pPr>
              <w:pStyle w:val="Compact"/>
              <w:jc w:val="left"/>
            </w:pPr>
            <w:r>
              <w:t xml:space="preserve">Prueba</w:t>
            </w:r>
          </w:p>
        </w:tc>
        <w:tc>
          <w:tcPr/>
          <w:p>
            <w:pPr>
              <w:pStyle w:val="Compact"/>
              <w:jc w:val="left"/>
            </w:pPr>
            <w:r>
              <w:t xml:space="preserve">Fuente</w:t>
            </w:r>
          </w:p>
        </w:tc>
      </w:tr>
      <w:tr>
        <w:tc>
          <w:tcPr/>
          <w:p>
            <w:pPr>
              <w:pStyle w:val="Compact"/>
              <w:jc w:val="left"/>
            </w:pPr>
            <w:r>
              <w:t xml:space="preserve">1</w:t>
            </w:r>
          </w:p>
        </w:tc>
        <w:tc>
          <w:tcPr/>
          <w:p>
            <w:pPr>
              <w:pStyle w:val="Compact"/>
              <w:jc w:val="left"/>
            </w:pPr>
            <w:r>
              <w:t xml:space="preserve">Revisiones al alza</w:t>
            </w:r>
          </w:p>
        </w:tc>
        <w:tc>
          <w:tcPr/>
          <w:p>
            <w:pPr>
              <w:pStyle w:val="Compact"/>
              <w:jc w:val="left"/>
            </w:pPr>
            <w:r>
              <w:t xml:space="preserve">Sí</w:t>
            </w:r>
          </w:p>
        </w:tc>
        <w:tc>
          <w:tcPr/>
          <w:p>
            <w:pPr>
              <w:pStyle w:val="Compact"/>
              <w:jc w:val="left"/>
            </w:pPr>
            <w:r>
              <w:t xml:space="preserve">En 3 meses, el BPA de consenso de 2026 pasa de −2,62 a −1,59 USD y el de 2027 de 0,21 a 0,73. Las ventas de 2026 pasan de ~1.700 M (abril) a 1.800 M. Contrapeso: en 30 días las revisiones son mixtas, UBS baja el 2S26 de Brinsupri (8-oct) y Wolfe rebaja (12-oct)</w:t>
            </w:r>
          </w:p>
        </w:tc>
        <w:tc>
          <w:tcPr/>
          <w:p>
            <w:pPr>
              <w:pStyle w:val="Compact"/>
              <w:jc w:val="left"/>
            </w:pPr>
            <w:r>
              <w:t xml:space="preserve">[9][10][11][12]</w:t>
            </w:r>
          </w:p>
        </w:tc>
      </w:tr>
      <w:tr>
        <w:tc>
          <w:tcPr/>
          <w:p>
            <w:pPr>
              <w:pStyle w:val="Compact"/>
              <w:jc w:val="left"/>
            </w:pPr>
            <w:r>
              <w:t xml:space="preserve">2</w:t>
            </w:r>
          </w:p>
        </w:tc>
        <w:tc>
          <w:tcPr/>
          <w:p>
            <w:pPr>
              <w:pStyle w:val="Compact"/>
              <w:jc w:val="left"/>
            </w:pPr>
            <w:r>
              <w:t xml:space="preserve">Precio sobre la media de 200 sesiones</w:t>
            </w:r>
          </w:p>
        </w:tc>
        <w:tc>
          <w:tcPr/>
          <w:p>
            <w:pPr>
              <w:pStyle w:val="Compact"/>
              <w:jc w:val="left"/>
            </w:pPr>
            <w:r>
              <w:t xml:space="preserve">No</w:t>
            </w:r>
          </w:p>
        </w:tc>
        <w:tc>
          <w:tcPr/>
          <w:p>
            <w:pPr>
              <w:pStyle w:val="Compact"/>
              <w:jc w:val="left"/>
            </w:pPr>
            <w:r>
              <w:t xml:space="preserve">96,79 USD frente a una media de 129,9 (cálculo propio; MarketBeat da 119,5) que baja (138,1 hace 20 sesiones)</w:t>
            </w:r>
          </w:p>
        </w:tc>
        <w:tc>
          <w:tcPr/>
          <w:p>
            <w:pPr>
              <w:pStyle w:val="Compact"/>
              <w:jc w:val="left"/>
            </w:pPr>
            <w:r>
              <w:t xml:space="preserve">[7][18]</w:t>
            </w:r>
          </w:p>
        </w:tc>
      </w:tr>
      <w:tr>
        <w:tc>
          <w:tcPr/>
          <w:p>
            <w:pPr>
              <w:pStyle w:val="Compact"/>
              <w:jc w:val="left"/>
            </w:pPr>
            <w:r>
              <w:t xml:space="preserve">3</w:t>
            </w:r>
          </w:p>
        </w:tc>
        <w:tc>
          <w:tcPr/>
          <w:p>
            <w:pPr>
              <w:pStyle w:val="Compact"/>
              <w:jc w:val="left"/>
            </w:pPr>
            <w:r>
              <w:t xml:space="preserve">Fuerza relativa a 6 meses</w:t>
            </w:r>
          </w:p>
        </w:tc>
        <w:tc>
          <w:tcPr/>
          <w:p>
            <w:pPr>
              <w:pStyle w:val="Compact"/>
              <w:jc w:val="left"/>
            </w:pPr>
            <w:r>
              <w:t xml:space="preserve">No</w:t>
            </w:r>
          </w:p>
        </w:tc>
        <w:tc>
          <w:tcPr/>
          <w:p>
            <w:pPr>
              <w:pStyle w:val="Compact"/>
              <w:jc w:val="left"/>
            </w:pPr>
            <w:r>
              <w:t xml:space="preserve">−36 % (de 151,14 a 96,79) frente a +18 % del Nasdaq-100 y +11,5 % del XBI</w:t>
            </w:r>
          </w:p>
        </w:tc>
        <w:tc>
          <w:tcPr/>
          <w:p>
            <w:pPr>
              <w:pStyle w:val="Compact"/>
              <w:jc w:val="left"/>
            </w:pPr>
            <w:r>
              <w:t xml:space="preserve">[7]</w:t>
            </w:r>
          </w:p>
        </w:tc>
      </w:tr>
      <w:tr>
        <w:tc>
          <w:tcPr/>
          <w:p>
            <w:pPr>
              <w:pStyle w:val="Compact"/>
              <w:jc w:val="left"/>
            </w:pPr>
            <w:r>
              <w:t xml:space="preserve">4</w:t>
            </w:r>
          </w:p>
        </w:tc>
        <w:tc>
          <w:tcPr/>
          <w:p>
            <w:pPr>
              <w:pStyle w:val="Compact"/>
              <w:jc w:val="left"/>
            </w:pPr>
            <w:r>
              <w:t xml:space="preserve">Mejora del múltiplo</w:t>
            </w:r>
          </w:p>
        </w:tc>
        <w:tc>
          <w:tcPr/>
          <w:p>
            <w:pPr>
              <w:pStyle w:val="Compact"/>
              <w:jc w:val="left"/>
            </w:pPr>
            <w:r>
              <w:t xml:space="preserve">No</w:t>
            </w:r>
          </w:p>
        </w:tc>
        <w:tc>
          <w:tcPr/>
          <w:p>
            <w:pPr>
              <w:pStyle w:val="Compact"/>
              <w:jc w:val="left"/>
            </w:pPr>
            <w:r>
              <w:t xml:space="preserve">EV/ventas NTM de ~8,2x en el mínimo del 10-jun a ~8,7x hoy (misma base): +5 %. En 12 meses ha caído de ~20x a ~9x</w:t>
            </w:r>
          </w:p>
        </w:tc>
        <w:tc>
          <w:tcPr/>
          <w:p>
            <w:pPr>
              <w:pStyle w:val="Compact"/>
              <w:jc w:val="left"/>
            </w:pPr>
            <w:r>
              <w:t xml:space="preserve">[7][20]</w:t>
            </w:r>
          </w:p>
        </w:tc>
      </w:tr>
      <w:tr>
        <w:tc>
          <w:tcPr/>
          <w:p>
            <w:pPr>
              <w:pStyle w:val="Compact"/>
              <w:jc w:val="left"/>
            </w:pPr>
            <w:r>
              <w:t xml:space="preserve">5</w:t>
            </w:r>
          </w:p>
        </w:tc>
        <w:tc>
          <w:tcPr/>
          <w:p>
            <w:pPr>
              <w:pStyle w:val="Compact"/>
              <w:jc w:val="left"/>
            </w:pPr>
            <w:r>
              <w:t xml:space="preserve">Inflexión operativa</w:t>
            </w:r>
          </w:p>
        </w:tc>
        <w:tc>
          <w:tcPr/>
          <w:p>
            <w:pPr>
              <w:pStyle w:val="Compact"/>
              <w:jc w:val="left"/>
            </w:pPr>
            <w:r>
              <w:t xml:space="preserve">Sí</w:t>
            </w:r>
          </w:p>
        </w:tc>
        <w:tc>
          <w:tcPr/>
          <w:p>
            <w:pPr>
              <w:pStyle w:val="Compact"/>
              <w:jc w:val="left"/>
            </w:pPr>
            <w:r>
              <w:t xml:space="preserve">Pérdida operativa del 2T sin el apunte contable de −24 % de las ventas, frente a −236 % un año antes. FCF trimestral de −95 M frente a −209 M</w:t>
            </w:r>
          </w:p>
        </w:tc>
        <w:tc>
          <w:tcPr/>
          <w:p>
            <w:pPr>
              <w:pStyle w:val="Compact"/>
              <w:jc w:val="left"/>
            </w:pPr>
            <w:r>
              <w:t xml:space="preserve">[1][2]</w:t>
            </w:r>
          </w:p>
        </w:tc>
      </w:tr>
      <w:tr>
        <w:tc>
          <w:tcPr/>
          <w:p>
            <w:pPr>
              <w:pStyle w:val="Compact"/>
              <w:jc w:val="left"/>
            </w:pPr>
            <w:r>
              <w:t xml:space="preserve">6</w:t>
            </w:r>
          </w:p>
        </w:tc>
        <w:tc>
          <w:tcPr/>
          <w:p>
            <w:pPr>
              <w:pStyle w:val="Compact"/>
              <w:jc w:val="left"/>
            </w:pPr>
            <w:r>
              <w:t xml:space="preserve">Sentimiento mejorando</w:t>
            </w:r>
          </w:p>
        </w:tc>
        <w:tc>
          <w:tcPr/>
          <w:p>
            <w:pPr>
              <w:pStyle w:val="Compact"/>
              <w:jc w:val="left"/>
            </w:pPr>
            <w:r>
              <w:t xml:space="preserve">No</w:t>
            </w:r>
          </w:p>
        </w:tc>
        <w:tc>
          <w:tcPr/>
          <w:p>
            <w:pPr>
              <w:pStyle w:val="Compact"/>
              <w:jc w:val="left"/>
            </w:pPr>
            <w:r>
              <w:t xml:space="preserve">Empeora: −25 % desde mediados de septiembre, salida de la directora financiera, rebaja de Wolfe y recorte de UBS</w:t>
            </w:r>
          </w:p>
        </w:tc>
        <w:tc>
          <w:tcPr/>
          <w:p>
            <w:pPr>
              <w:pStyle w:val="Compact"/>
              <w:jc w:val="left"/>
            </w:pPr>
            <w:r>
              <w:t xml:space="preserve">[4][11][12]</w:t>
            </w:r>
          </w:p>
        </w:tc>
      </w:tr>
      <w:tr>
        <w:tc>
          <w:tcPr/>
          <w:p>
            <w:pPr>
              <w:pStyle w:val="Compact"/>
              <w:jc w:val="left"/>
            </w:pPr>
            <w:r>
              <w:t xml:space="preserve">7</w:t>
            </w:r>
          </w:p>
        </w:tc>
        <w:tc>
          <w:tcPr/>
          <w:p>
            <w:pPr>
              <w:pStyle w:val="Compact"/>
              <w:jc w:val="left"/>
            </w:pPr>
            <w:r>
              <w:t xml:space="preserve">Compras de directivos o institucionales</w:t>
            </w:r>
          </w:p>
        </w:tc>
        <w:tc>
          <w:tcPr/>
          <w:p>
            <w:pPr>
              <w:pStyle w:val="Compact"/>
              <w:jc w:val="left"/>
            </w:pPr>
            <w:r>
              <w:t xml:space="preserve">No</w:t>
            </w:r>
          </w:p>
        </w:tc>
        <w:tc>
          <w:tcPr/>
          <w:p>
            <w:pPr>
              <w:pStyle w:val="Compact"/>
              <w:jc w:val="left"/>
            </w:pPr>
            <w:r>
              <w:t xml:space="preserve">Solo ventas: el director de operaciones vendió ~32 M USD (10-ago) y un consejero 3,1 M (9-sep). Sin entrada de un inversor de referencia</w:t>
            </w:r>
          </w:p>
        </w:tc>
        <w:tc>
          <w:tcPr/>
          <w:p>
            <w:pPr>
              <w:pStyle w:val="Compact"/>
              <w:jc w:val="left"/>
            </w:pPr>
            <w:r>
              <w:t xml:space="preserve">[18]</w:t>
            </w:r>
          </w:p>
        </w:tc>
      </w:tr>
      <w:tr>
        <w:tc>
          <w:tcPr/>
          <w:p>
            <w:pPr>
              <w:pStyle w:val="Compact"/>
              <w:jc w:val="left"/>
            </w:pPr>
            <w:r>
              <w:t xml:space="preserve">8</w:t>
            </w:r>
          </w:p>
        </w:tc>
        <w:tc>
          <w:tcPr/>
          <w:p>
            <w:pPr>
              <w:pStyle w:val="Compact"/>
              <w:jc w:val="left"/>
            </w:pPr>
            <w:r>
              <w:t xml:space="preserve">Catalizador nuevo</w:t>
            </w:r>
          </w:p>
        </w:tc>
        <w:tc>
          <w:tcPr/>
          <w:p>
            <w:pPr>
              <w:pStyle w:val="Compact"/>
              <w:jc w:val="left"/>
            </w:pPr>
            <w:r>
              <w:t xml:space="preserve">Sí</w:t>
            </w:r>
          </w:p>
        </w:tc>
        <w:tc>
          <w:tcPr/>
          <w:p>
            <w:pPr>
              <w:pStyle w:val="Compact"/>
              <w:jc w:val="left"/>
            </w:pPr>
            <w:r>
              <w:t xml:space="preserve">Resultados del 3T (29-oct), lanzamiento en Japón y la UE, decisión de la FDA sobre Arikayce en MAC recién diagnosticada (28-ene-2027) e inicio del fase 3 de TPIP en fibrosis pulmonar progresiva</w:t>
            </w:r>
          </w:p>
        </w:tc>
        <w:tc>
          <w:tcPr/>
          <w:p>
            <w:pPr>
              <w:pStyle w:val="Compact"/>
              <w:jc w:val="left"/>
            </w:pPr>
            <w:r>
              <w:t xml:space="preserve">[1][11][17]</w:t>
            </w:r>
          </w:p>
        </w:tc>
      </w:tr>
    </w:tbl>
    <w:p>
      <w:pPr>
        <w:pStyle w:val="BodyText"/>
      </w:pPr>
      <w:r>
        <w:rPr>
          <w:bCs/>
          <w:b/>
        </w:rPr>
        <w:t xml:space="preserve">Euforia: no.</w:t>
      </w:r>
      <w:r>
        <w:t xml:space="preserve"> </w:t>
      </w:r>
      <w:r>
        <w:t xml:space="preserve">La acción cae un 41 % en 12 meses (de 163,94 a 96,79 USD), muy lejos del +150 % del veto. Es lo contrario: el negocio se ha multiplicado y el precio ha caído a la mitad desde el máximo de 212,75 USD (dic-2025).</w:t>
      </w:r>
    </w:p>
    <w:bookmarkEnd w:id="24"/>
    <w:bookmarkStart w:id="25" w:name="X6a3ced9ea5ed5bb9ac58f5e7c1bb09ad4718b77"/>
    <w:p>
      <w:pPr>
        <w:pStyle w:val="Heading2"/>
      </w:pPr>
      <w:r>
        <w:t xml:space="preserve">6. Economía unitaria y camino a la rentabilidad</w:t>
      </w:r>
    </w:p>
    <w:p>
      <w:pPr>
        <w:numPr>
          <w:ilvl w:val="0"/>
          <w:numId w:val="1005"/>
        </w:numPr>
        <w:pStyle w:val="Compact"/>
      </w:pPr>
      <w:r>
        <w:rPr>
          <w:bCs/>
          <w:b/>
        </w:rPr>
        <w:t xml:space="preserve">Margen bruto: 84,2 %</w:t>
      </w:r>
      <w:r>
        <w:t xml:space="preserve"> </w:t>
      </w:r>
      <w:r>
        <w:t xml:space="preserve">en el 2T26 (coste de ventas de 67,2 M sobre 425,5 M, sin amortización de intangibles) y 83,5 % en 12 meses. Sube con la mezcla, porque Brinsupri cuesta menos de fabricar que Arikayce [1].</w:t>
      </w:r>
    </w:p>
    <w:p>
      <w:pPr>
        <w:numPr>
          <w:ilvl w:val="0"/>
          <w:numId w:val="1005"/>
        </w:numPr>
        <w:pStyle w:val="Compact"/>
      </w:pPr>
      <w:r>
        <w:rPr>
          <w:bCs/>
          <w:b/>
        </w:rPr>
        <w:t xml:space="preserve">Gastos</w:t>
      </w:r>
      <w:r>
        <w:t xml:space="preserve">: I+D de 210 M al trimestre (TPIP, cuatro fases 3) y SG&amp;A de 247 M (lanzamiento). Pérdida operativa contable del 2T:</w:t>
      </w:r>
      <w:r>
        <w:t xml:space="preserve"> </w:t>
      </w:r>
      <w:r>
        <w:rPr>
          <w:bCs/>
          <w:b/>
        </w:rPr>
        <w:t xml:space="preserve">−1,5 M</w:t>
      </w:r>
      <w:r>
        <w:t xml:space="preserve">, pero incluye una</w:t>
      </w:r>
      <w:r>
        <w:t xml:space="preserve"> </w:t>
      </w:r>
      <w:r>
        <w:rPr>
          <w:bCs/>
          <w:b/>
        </w:rPr>
        <w:t xml:space="preserve">ganancia de 99,8 M</w:t>
      </w:r>
      <w:r>
        <w:t xml:space="preserve"> </w:t>
      </w:r>
      <w:r>
        <w:t xml:space="preserve">por la menor valoración de la contraprestación contingente, un apunte contable sin caja. Sin ella,</w:t>
      </w:r>
      <w:r>
        <w:t xml:space="preserve"> </w:t>
      </w:r>
      <w:r>
        <w:rPr>
          <w:bCs/>
          <w:b/>
        </w:rPr>
        <w:t xml:space="preserve">−101 M</w:t>
      </w:r>
      <w:r>
        <w:t xml:space="preserve"> </w:t>
      </w:r>
      <w:r>
        <w:t xml:space="preserve">(−24 % de las ventas) [2].</w:t>
      </w:r>
    </w:p>
    <w:p>
      <w:pPr>
        <w:numPr>
          <w:ilvl w:val="0"/>
          <w:numId w:val="1005"/>
        </w:numPr>
        <w:pStyle w:val="Compact"/>
      </w:pPr>
      <w:r>
        <w:rPr>
          <w:bCs/>
          <w:b/>
        </w:rPr>
        <w:t xml:space="preserve">FCF de 12 meses: −808 M</w:t>
      </w:r>
      <w:r>
        <w:t xml:space="preserve"> </w:t>
      </w:r>
      <w:r>
        <w:t xml:space="preserve">(flujo de operaciones −779 M e inversiones −29 M);</w:t>
      </w:r>
      <w:r>
        <w:t xml:space="preserve"> </w:t>
      </w:r>
      <w:r>
        <w:rPr>
          <w:bCs/>
          <w:b/>
        </w:rPr>
        <w:t xml:space="preserve">margen FCF −71 %</w:t>
      </w:r>
      <w:r>
        <w:t xml:space="preserve">.</w:t>
      </w:r>
      <w:r>
        <w:t xml:space="preserve"> </w:t>
      </w:r>
      <w:r>
        <w:rPr>
          <w:bCs/>
          <w:b/>
        </w:rPr>
        <w:t xml:space="preserve">Regla del 40: 186 − 71 = 115</w:t>
      </w:r>
      <w:r>
        <w:t xml:space="preserve"> </w:t>
      </w:r>
      <w:r>
        <w:t xml:space="preserve">(5/5). Tendencia: FCF de −209 M en el 2T25 y −95 M en el 2T26 [2][3].</w:t>
      </w:r>
    </w:p>
    <w:p>
      <w:pPr>
        <w:numPr>
          <w:ilvl w:val="0"/>
          <w:numId w:val="1005"/>
        </w:numPr>
        <w:pStyle w:val="Compact"/>
      </w:pPr>
      <w:r>
        <w:rPr>
          <w:bCs/>
          <w:b/>
        </w:rPr>
        <w:t xml:space="preserve">Camino</w:t>
      </w:r>
      <w:r>
        <w:t xml:space="preserve">: la empresa espera flujo de caja positivo en 2027. El consenso da FCF de −479 M en 2026 (−158 M en el 2S), −129 M en 2027 y +504 M en 2028 [4][9]. Puntúo «equilibrio en ≤ 24 meses» (2/5) y no «≤ 12 meses»: el consenso aún ve 2027 entero en negativo.</w:t>
      </w:r>
    </w:p>
    <w:bookmarkEnd w:id="25"/>
    <w:bookmarkStart w:id="26" w:name="caja-deuda-y-dilución"/>
    <w:p>
      <w:pPr>
        <w:pStyle w:val="Heading2"/>
      </w:pPr>
      <w:r>
        <w:t xml:space="preserve">7. Caja, deuda y dilución</w:t>
      </w:r>
    </w:p>
    <w:p>
      <w:pPr>
        <w:numPr>
          <w:ilvl w:val="0"/>
          <w:numId w:val="1006"/>
        </w:numPr>
        <w:pStyle w:val="Compact"/>
      </w:pPr>
      <w:r>
        <w:rPr>
          <w:bCs/>
          <w:b/>
        </w:rPr>
        <w:t xml:space="preserve">Caja y valores: 1.160 M USD</w:t>
      </w:r>
      <w:r>
        <w:t xml:space="preserve"> </w:t>
      </w:r>
      <w:r>
        <w:t xml:space="preserve">(30-jun).</w:t>
      </w:r>
      <w:r>
        <w:t xml:space="preserve"> </w:t>
      </w:r>
      <w:r>
        <w:rPr>
          <w:bCs/>
          <w:b/>
        </w:rPr>
        <w:t xml:space="preserve">Deuda: 707 M</w:t>
      </w:r>
      <w:r>
        <w:t xml:space="preserve">, que son el préstamo de Pharmakon (500 M de principal más 46,8 M de intereses capitalizados, al 9,6 %, con 8 cuotas trimestrales desde el 3-ene-2028 y vencimiento en sep-2029) y la financiación de regalías con OrbiMed (159,8 M).</w:t>
      </w:r>
      <w:r>
        <w:t xml:space="preserve"> </w:t>
      </w:r>
      <w:r>
        <w:rPr>
          <w:bCs/>
          <w:b/>
        </w:rPr>
        <w:t xml:space="preserve">Caja neta: ~454 M</w:t>
      </w:r>
      <w:r>
        <w:t xml:space="preserve"> </w:t>
      </w:r>
      <w:r>
        <w:t xml:space="preserve">[2].</w:t>
      </w:r>
    </w:p>
    <w:p>
      <w:pPr>
        <w:numPr>
          <w:ilvl w:val="0"/>
          <w:numId w:val="1006"/>
        </w:numPr>
        <w:pStyle w:val="Compact"/>
      </w:pPr>
      <w:r>
        <w:rPr>
          <w:bCs/>
          <w:b/>
        </w:rPr>
        <w:t xml:space="preserve">Pista con la regla</w:t>
      </w:r>
      <w:r>
        <w:t xml:space="preserve"> </w:t>
      </w:r>
      <w:r>
        <w:t xml:space="preserve">(FCF de 12 meses): 1.160 / 808 × 12 =</w:t>
      </w:r>
      <w:r>
        <w:t xml:space="preserve"> </w:t>
      </w:r>
      <w:r>
        <w:rPr>
          <w:bCs/>
          <w:b/>
        </w:rPr>
        <w:t xml:space="preserve">17,2 meses</w:t>
      </w:r>
      <w:r>
        <w:t xml:space="preserve">. Es menos de 24, así que: (a) cierra el Comprar por sí sola, (b) obliga a probabilidades 35/50/15 y (c) puntúa 1/5.</w:t>
      </w:r>
      <w:r>
        <w:t xml:space="preserve"> </w:t>
      </w:r>
      <w:r>
        <w:rPr>
          <w:bCs/>
          <w:b/>
        </w:rPr>
        <w:t xml:space="preserve">Pista realista</w:t>
      </w:r>
      <w:r>
        <w:t xml:space="preserve">: con la quema que espera el consenso (2S26 −158 M, 2027 −129 M), la caja llega a 2028 con ~870 M y sin necesidad de ampliar capital, que la empresa dice no planear [8][9]. El riesgo de caja es bajo, pero el método mide la quema pasada (sección 11).</w:t>
      </w:r>
    </w:p>
    <w:p>
      <w:pPr>
        <w:numPr>
          <w:ilvl w:val="0"/>
          <w:numId w:val="1006"/>
        </w:numPr>
        <w:pStyle w:val="Compact"/>
      </w:pPr>
      <w:r>
        <w:rPr>
          <w:bCs/>
          <w:b/>
        </w:rPr>
        <w:t xml:space="preserve">Dilución</w:t>
      </w:r>
      <w:r>
        <w:t xml:space="preserve">: en los últimos 12 meses las acciones pasan de 211,37 M (1-ago-2025) a 218,38 M (31-jul-2026):</w:t>
      </w:r>
      <w:r>
        <w:t xml:space="preserve"> </w:t>
      </w:r>
      <w:r>
        <w:rPr>
          <w:bCs/>
          <w:b/>
        </w:rPr>
        <w:t xml:space="preserve">+3,3 %</w:t>
      </w:r>
      <w:r>
        <w:t xml:space="preserve"> </w:t>
      </w:r>
      <w:r>
        <w:t xml:space="preserve">(3/5). La historia es peor: 178,9 M en oct-2024, con ampliaciones de 1.084 M USD en 2024 y 823 M en 2025 y la conversión de los bonos de 2028. Son</w:t>
      </w:r>
      <w:r>
        <w:t xml:space="preserve"> </w:t>
      </w:r>
      <w:r>
        <w:rPr>
          <w:bCs/>
          <w:b/>
        </w:rPr>
        <w:t xml:space="preserve">+22 % en dos años</w:t>
      </w:r>
      <w:r>
        <w:t xml:space="preserve">. La empresa ha captado más de 4.200 M en siete años [3][4]. Además, la contraprestación contingente (170,6 M) se paga en acciones (~1,8 M de acciones a precio de hoy) [2].</w:t>
      </w:r>
    </w:p>
    <w:p>
      <w:pPr>
        <w:numPr>
          <w:ilvl w:val="0"/>
          <w:numId w:val="1006"/>
        </w:numPr>
        <w:pStyle w:val="Compact"/>
      </w:pPr>
      <w:r>
        <w:rPr>
          <w:bCs/>
          <w:b/>
        </w:rPr>
        <w:t xml:space="preserve">Acciones diluidas: 232,6 M</w:t>
      </w:r>
      <w:r>
        <w:t xml:space="preserve"> </w:t>
      </w:r>
      <w:r>
        <w:t xml:space="preserve">= 218,38 básicas + 3,3 M de RSU + 0,2 M de PSU + ~10,7 M de opciones por el método del tipo de interés (15,5 M de opciones a ~28-30 USD de media) [2][6].</w:t>
      </w:r>
    </w:p>
    <w:p>
      <w:pPr>
        <w:numPr>
          <w:ilvl w:val="0"/>
          <w:numId w:val="1006"/>
        </w:numPr>
        <w:pStyle w:val="Compact"/>
      </w:pPr>
      <w:r>
        <w:rPr>
          <w:bCs/>
          <w:b/>
        </w:rPr>
        <w:t xml:space="preserve">Pagos en acciones: 157,5 M en 12 meses = 13,8 % de las ventas</w:t>
      </w:r>
      <w:r>
        <w:t xml:space="preserve">: por debajo del 15 % que se marca en rojo, pero bajando solo porque las ventas suben [2][3].</w:t>
      </w:r>
    </w:p>
    <w:bookmarkEnd w:id="26"/>
    <w:bookmarkStart w:id="27" w:name="dirección-y-ejecución"/>
    <w:p>
      <w:pPr>
        <w:pStyle w:val="Heading2"/>
      </w:pPr>
      <w:r>
        <w:t xml:space="preserve">8. Dirección y ejecución</w:t>
      </w:r>
    </w:p>
    <w:p>
      <w:pPr>
        <w:numPr>
          <w:ilvl w:val="0"/>
          <w:numId w:val="1007"/>
        </w:numPr>
        <w:pStyle w:val="Compact"/>
      </w:pPr>
      <w:r>
        <w:rPr>
          <w:bCs/>
          <w:b/>
        </w:rPr>
        <w:t xml:space="preserve">Will Lewis</w:t>
      </w:r>
      <w:r>
        <w:t xml:space="preserve">, presidente y consejero delegado desde 2012, ha llevado la empresa de Arikayce a Brinsupri. El lanzamiento es de los mejores de los últimos años en biotecnología: la guía de 2026 subió un 25-40 %, la cobertura de pagadores es amplia y el bruto-neto mejora [1][8].</w:t>
      </w:r>
    </w:p>
    <w:p>
      <w:pPr>
        <w:numPr>
          <w:ilvl w:val="0"/>
          <w:numId w:val="1007"/>
        </w:numPr>
        <w:pStyle w:val="Compact"/>
      </w:pPr>
      <w:r>
        <w:rPr>
          <w:bCs/>
          <w:b/>
        </w:rPr>
        <w:t xml:space="preserve">Historial 4/5</w:t>
      </w:r>
      <w:r>
        <w:t xml:space="preserve">: cumple o supera la guía de ventas (Arikayce, de forma constante; Brinsupri, por encima de lo esperado) y ASPEN fue positivo. Resta por los fracasos de las ampliaciones (rinosinusitis y hidradenitis) y por un 1T26 que batió sin subir la guía y cayó un 23 % [13][14].</w:t>
      </w:r>
    </w:p>
    <w:p>
      <w:pPr>
        <w:numPr>
          <w:ilvl w:val="0"/>
          <w:numId w:val="1007"/>
        </w:numPr>
        <w:pStyle w:val="Compact"/>
      </w:pPr>
      <w:r>
        <w:rPr>
          <w:bCs/>
          <w:b/>
        </w:rPr>
        <w:t xml:space="preserve">Dirección 3/5</w:t>
      </w:r>
      <w:r>
        <w:t xml:space="preserve">: los directivos solo tienen el 2,1 % y venden con regularidad (COO, ~32 M USD en agosto). La directora financiera se va el 30-oct en mitad del giro a la rentabilidad, sin desacuerdos según la empresa y con sustituto aún por buscar. Ha financiado el crecimiento con ampliaciones y deuda cara (9,6 %) [4][18]. A favor: la asignación a I+D es disciplinada (la investigación preclínica, menos del 20 % del gasto) y paga la contraprestación contingente en acciones [1].</w:t>
      </w:r>
    </w:p>
    <w:bookmarkEnd w:id="27"/>
    <w:bookmarkStart w:id="28" w:name="valoración"/>
    <w:p>
      <w:pPr>
        <w:pStyle w:val="Heading2"/>
      </w:pPr>
      <w:r>
        <w:t xml:space="preserve">9. Valoración</w:t>
      </w:r>
    </w:p>
    <w:p>
      <w:pPr>
        <w:pStyle w:val="FirstParagraph"/>
      </w:pPr>
      <w:r>
        <w:rPr>
          <w:bCs/>
          <w:b/>
        </w:rPr>
        <w:t xml:space="preserve">Ventana objetivo</w:t>
      </w:r>
      <w:r>
        <w:t xml:space="preserve">: 12 meses a jun-2028 (2 años sobre los 12 m a jun-2026).</w:t>
      </w:r>
      <w:r>
        <w:t xml:space="preserve"> </w:t>
      </w:r>
      <w:r>
        <w:rPr>
          <w:bCs/>
          <w:b/>
        </w:rPr>
        <w:t xml:space="preserve">Métrica: EV/ventas NTM.</w:t>
      </w:r>
      <w:r>
        <w:t xml:space="preserve"> </w:t>
      </w:r>
      <w:r>
        <w:t xml:space="preserve">Aún no es rentable de forma estable (EBITDA de consenso −341 M en 2026), así que el EV/EBITDA no sirve.</w:t>
      </w:r>
    </w:p>
    <w:p>
      <w:pPr>
        <w:numPr>
          <w:ilvl w:val="0"/>
          <w:numId w:val="1008"/>
        </w:numPr>
        <w:pStyle w:val="Compact"/>
      </w:pPr>
      <w:r>
        <w:rPr>
          <w:bCs/>
          <w:b/>
        </w:rPr>
        <w:t xml:space="preserve">EV de hoy</w:t>
      </w:r>
      <w:r>
        <w:t xml:space="preserve">: 96,79 × 232,6 + 706,6 − 1.160,3 =</w:t>
      </w:r>
      <w:r>
        <w:t xml:space="preserve"> </w:t>
      </w:r>
      <w:r>
        <w:rPr>
          <w:bCs/>
          <w:b/>
        </w:rPr>
        <w:t xml:space="preserve">22.060 M USD</w:t>
      </w:r>
      <w:r>
        <w:t xml:space="preserve">.</w:t>
      </w:r>
    </w:p>
    <w:p>
      <w:pPr>
        <w:numPr>
          <w:ilvl w:val="0"/>
          <w:numId w:val="1008"/>
        </w:numPr>
        <w:pStyle w:val="Compact"/>
      </w:pPr>
      <w:r>
        <w:rPr>
          <w:bCs/>
          <w:b/>
        </w:rPr>
        <w:t xml:space="preserve">Ventas NTM</w:t>
      </w:r>
      <w:r>
        <w:t xml:space="preserve"> </w:t>
      </w:r>
      <w:r>
        <w:t xml:space="preserve">(3T26-2T27): ~2.355 M (+107 %). Salen del 2S26 que implica la guía (1.053,5 M) más un 1S27 de ~1.300 M, estimado con el consenso de 2027.</w:t>
      </w:r>
      <w:r>
        <w:t xml:space="preserve"> </w:t>
      </w:r>
      <w:r>
        <w:rPr>
          <w:bCs/>
          <w:b/>
        </w:rPr>
        <w:t xml:space="preserve">EV/ventas NTM 9,4x; EV/beneficio bruto NTM 11,1x</w:t>
      </w:r>
      <w:r>
        <w:t xml:space="preserve"> </w:t>
      </w:r>
      <w:r>
        <w:t xml:space="preserve">(tope del método: 35).</w:t>
      </w:r>
    </w:p>
    <w:p>
      <w:pPr>
        <w:numPr>
          <w:ilvl w:val="0"/>
          <w:numId w:val="1008"/>
        </w:numPr>
        <w:pStyle w:val="Compact"/>
      </w:pPr>
      <w:r>
        <w:rPr>
          <w:bCs/>
          <w:b/>
        </w:rPr>
        <w:t xml:space="preserve">Mediana de 3 años: ~17,2x NTM</w:t>
      </w:r>
      <w:r>
        <w:t xml:space="preserve"> </w:t>
      </w:r>
      <w:r>
        <w:t xml:space="preserve">(12 cierres trimestrales de sep-2023 a jun-2026, cálculo propio con las ventas reales de los 12 meses siguientes: entre 9,6x en jun-2026 y 28,1x en sep-2024).</w:t>
      </w:r>
      <w:r>
        <w:t xml:space="preserve"> </w:t>
      </w:r>
      <w:r>
        <w:rPr>
          <w:bCs/>
          <w:b/>
        </w:rPr>
        <w:t xml:space="preserve">Mínimo: 9,6x</w:t>
      </w:r>
      <w:r>
        <w:t xml:space="preserve">.</w:t>
      </w:r>
      <w:r>
        <w:t xml:space="preserve"> </w:t>
      </w:r>
      <w:r>
        <w:rPr>
          <w:bCs/>
          <w:b/>
        </w:rPr>
        <w:t xml:space="preserve">Comparables: ~8x</w:t>
      </w:r>
      <w:r>
        <w:t xml:space="preserve"> </w:t>
      </w:r>
      <w:r>
        <w:t xml:space="preserve">(argenx 6,9x y Vertex 8,6x de los informes del repo; Alnylam ~10x, United Therapeutics ~5x y Madrigal ~8x, de memoria) [20].</w:t>
      </w:r>
    </w:p>
    <w:p>
      <w:pPr>
        <w:numPr>
          <w:ilvl w:val="0"/>
          <w:numId w:val="1008"/>
        </w:numPr>
        <w:pStyle w:val="Compact"/>
      </w:pPr>
      <w:r>
        <w:rPr>
          <w:bCs/>
          <w:b/>
        </w:rPr>
        <w:t xml:space="preserve">Desaceleración</w:t>
      </w:r>
      <w:r>
        <w:t xml:space="preserve">: del 107 % NTM al 40 % en la ventana objetivo (mi base), factor √(40/107) = 0,61, limitado a 0,70 →</w:t>
      </w:r>
      <w:r>
        <w:t xml:space="preserve"> </w:t>
      </w:r>
      <w:r>
        <w:rPr>
          <w:bCs/>
          <w:b/>
        </w:rPr>
        <w:t xml:space="preserve">base 6,6x</w:t>
      </w:r>
      <w:r>
        <w:t xml:space="preserv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Escenario</w:t>
            </w:r>
          </w:p>
        </w:tc>
        <w:tc>
          <w:tcPr/>
          <w:p>
            <w:pPr>
              <w:pStyle w:val="Compact"/>
              <w:jc w:val="left"/>
            </w:pPr>
            <w:r>
              <w:t xml:space="preserve">Ventas ventana objetivo (M USD)</w:t>
            </w:r>
          </w:p>
        </w:tc>
        <w:tc>
          <w:tcPr/>
          <w:p>
            <w:pPr>
              <w:pStyle w:val="Compact"/>
              <w:jc w:val="left"/>
            </w:pPr>
            <w:r>
              <w:t xml:space="preserve">EV/ventas</w:t>
            </w:r>
          </w:p>
        </w:tc>
        <w:tc>
          <w:tcPr/>
          <w:p>
            <w:pPr>
              <w:pStyle w:val="Compact"/>
              <w:jc w:val="left"/>
            </w:pPr>
            <w:r>
              <w:t xml:space="preserve">Precio 12 m</w:t>
            </w:r>
          </w:p>
        </w:tc>
        <w:tc>
          <w:tcPr/>
          <w:p>
            <w:pPr>
              <w:pStyle w:val="Compact"/>
              <w:jc w:val="left"/>
            </w:pPr>
            <w:r>
              <w:t xml:space="preserve">Rentabilidad</w:t>
            </w:r>
          </w:p>
        </w:tc>
      </w:tr>
      <w:tr>
        <w:tc>
          <w:tcPr/>
          <w:p>
            <w:pPr>
              <w:pStyle w:val="Compact"/>
              <w:jc w:val="left"/>
            </w:pPr>
            <w:r>
              <w:t xml:space="preserve">Bajista (35 %)</w:t>
            </w:r>
          </w:p>
        </w:tc>
        <w:tc>
          <w:tcPr/>
          <w:p>
            <w:pPr>
              <w:pStyle w:val="Compact"/>
              <w:jc w:val="left"/>
            </w:pPr>
            <w:r>
              <w:t xml:space="preserve">1.856</w:t>
            </w:r>
          </w:p>
        </w:tc>
        <w:tc>
          <w:tcPr/>
          <w:p>
            <w:pPr>
              <w:pStyle w:val="Compact"/>
              <w:jc w:val="left"/>
            </w:pPr>
            <w:r>
              <w:t xml:space="preserve">3,9x</w:t>
            </w:r>
          </w:p>
        </w:tc>
        <w:tc>
          <w:tcPr/>
          <w:p>
            <w:pPr>
              <w:pStyle w:val="Compact"/>
              <w:jc w:val="left"/>
            </w:pPr>
            <w:r>
              <w:t xml:space="preserve">29,0</w:t>
            </w:r>
          </w:p>
        </w:tc>
        <w:tc>
          <w:tcPr/>
          <w:p>
            <w:pPr>
              <w:pStyle w:val="Compact"/>
              <w:jc w:val="left"/>
            </w:pPr>
            <w:r>
              <w:t xml:space="preserve">−70,0 %</w:t>
            </w:r>
          </w:p>
        </w:tc>
      </w:tr>
      <w:tr>
        <w:tc>
          <w:tcPr/>
          <w:p>
            <w:pPr>
              <w:pStyle w:val="Compact"/>
              <w:jc w:val="left"/>
            </w:pPr>
            <w:r>
              <w:t xml:space="preserve">Base (50 %)</w:t>
            </w:r>
          </w:p>
        </w:tc>
        <w:tc>
          <w:tcPr/>
          <w:p>
            <w:pPr>
              <w:pStyle w:val="Compact"/>
              <w:jc w:val="left"/>
            </w:pPr>
            <w:r>
              <w:t xml:space="preserve">2.748</w:t>
            </w:r>
          </w:p>
        </w:tc>
        <w:tc>
          <w:tcPr/>
          <w:p>
            <w:pPr>
              <w:pStyle w:val="Compact"/>
              <w:jc w:val="left"/>
            </w:pPr>
            <w:r>
              <w:t xml:space="preserve">6,6x</w:t>
            </w:r>
          </w:p>
        </w:tc>
        <w:tc>
          <w:tcPr/>
          <w:p>
            <w:pPr>
              <w:pStyle w:val="Compact"/>
              <w:jc w:val="left"/>
            </w:pPr>
            <w:r>
              <w:t xml:space="preserve">73,8</w:t>
            </w:r>
          </w:p>
        </w:tc>
        <w:tc>
          <w:tcPr/>
          <w:p>
            <w:pPr>
              <w:pStyle w:val="Compact"/>
              <w:jc w:val="left"/>
            </w:pPr>
            <w:r>
              <w:t xml:space="preserve">−23,8 %</w:t>
            </w:r>
          </w:p>
        </w:tc>
      </w:tr>
      <w:tr>
        <w:tc>
          <w:tcPr/>
          <w:p>
            <w:pPr>
              <w:pStyle w:val="Compact"/>
              <w:jc w:val="left"/>
            </w:pPr>
            <w:r>
              <w:t xml:space="preserve">Alcista (15 %)</w:t>
            </w:r>
          </w:p>
        </w:tc>
        <w:tc>
          <w:tcPr/>
          <w:p>
            <w:pPr>
              <w:pStyle w:val="Compact"/>
              <w:jc w:val="left"/>
            </w:pPr>
            <w:r>
              <w:t xml:space="preserve">3.154</w:t>
            </w:r>
          </w:p>
        </w:tc>
        <w:tc>
          <w:tcPr/>
          <w:p>
            <w:pPr>
              <w:pStyle w:val="Compact"/>
              <w:jc w:val="left"/>
            </w:pPr>
            <w:r>
              <w:t xml:space="preserve">10,5x</w:t>
            </w:r>
          </w:p>
        </w:tc>
        <w:tc>
          <w:tcPr/>
          <w:p>
            <w:pPr>
              <w:pStyle w:val="Compact"/>
              <w:jc w:val="left"/>
            </w:pPr>
            <w:r>
              <w:t xml:space="preserve">136,7</w:t>
            </w:r>
          </w:p>
        </w:tc>
        <w:tc>
          <w:tcPr/>
          <w:p>
            <w:pPr>
              <w:pStyle w:val="Compact"/>
              <w:jc w:val="left"/>
            </w:pPr>
            <w:r>
              <w:t xml:space="preserve">+41,3 %</w:t>
            </w:r>
          </w:p>
        </w:tc>
      </w:tr>
      <w:tr>
        <w:tc>
          <w:tcPr/>
          <w:p>
            <w:pPr>
              <w:pStyle w:val="Compact"/>
              <w:jc w:val="left"/>
            </w:pPr>
            <w:r>
              <w:rPr>
                <w:bCs/>
                <w:b/>
              </w:rPr>
              <w:t xml:space="preserve">Ponderado (v11 = v9)</w:t>
            </w:r>
          </w:p>
        </w:tc>
        <w:tc>
          <w:tcPr/>
          <w:p>
            <w:pPr>
              <w:pStyle w:val="Compact"/>
            </w:pPr>
          </w:p>
        </w:tc>
        <w:tc>
          <w:tcPr/>
          <w:p>
            <w:pPr>
              <w:pStyle w:val="Compact"/>
            </w:pPr>
          </w:p>
        </w:tc>
        <w:tc>
          <w:tcPr/>
          <w:p>
            <w:pPr>
              <w:pStyle w:val="Compact"/>
              <w:jc w:val="left"/>
            </w:pPr>
            <w:r>
              <w:rPr>
                <w:bCs/>
                <w:b/>
              </w:rPr>
              <w:t xml:space="preserve">67,6</w:t>
            </w:r>
          </w:p>
        </w:tc>
        <w:tc>
          <w:tcPr/>
          <w:p>
            <w:pPr>
              <w:pStyle w:val="Compact"/>
              <w:jc w:val="left"/>
            </w:pPr>
            <w:r>
              <w:rPr>
                <w:bCs/>
                <w:b/>
              </w:rPr>
              <w:t xml:space="preserve">−30,2 %</w:t>
            </w:r>
          </w:p>
        </w:tc>
      </w:tr>
    </w:tbl>
    <w:p>
      <w:pPr>
        <w:pStyle w:val="BodyText"/>
      </w:pPr>
      <w:r>
        <w:t xml:space="preserve">Probabilidades 35/50/15 por dos motivos: la pista es menor de 24 meses con la regla y depende de un solo producto (Brinsupri es el 73 % de las ventas y casi todo el crecimiento). Acciones dentro de 12 meses: 240,3 M (+3,3 %). Caja dentro de 12 meses según la regla: 1.160 − 808 = 352 M.</w:t>
      </w:r>
      <w:r>
        <w:t xml:space="preserve"> </w:t>
      </w:r>
      <w:r>
        <w:rPr>
          <w:bCs/>
          <w:b/>
        </w:rPr>
        <w:t xml:space="preserve">Asimetría: 0,6.</w:t>
      </w:r>
      <w:r>
        <w:t xml:space="preserve"> </w:t>
      </w:r>
      <w:r>
        <w:rPr>
          <w:bCs/>
          <w:b/>
        </w:rPr>
        <w:t xml:space="preserve">Precio máximo de compra: 58,0 USD</w:t>
      </w:r>
      <w:r>
        <w:t xml:space="preserve"> </w:t>
      </w:r>
      <w:r>
        <w:t xml:space="preserve">con v11 (el que deja el bajista en −50 %; con v9, 64,3).</w:t>
      </w:r>
    </w:p>
    <w:p>
      <w:pPr>
        <w:pStyle w:val="BodyText"/>
      </w:pPr>
      <w:r>
        <w:rPr>
          <w:bCs/>
          <w:b/>
        </w:rPr>
        <w:t xml:space="preserve">Por qué la regla sale tan baja, a pesar de un crecimiento del 186 %:</w:t>
      </w:r>
      <w:r>
        <w:t xml:space="preserve"> </w:t>
      </w:r>
      <w:r>
        <w:t xml:space="preserve">1.</w:t>
      </w:r>
      <w:r>
        <w:t xml:space="preserve"> </w:t>
      </w:r>
      <w:r>
        <w:rPr>
          <w:bCs/>
          <w:b/>
        </w:rPr>
        <w:t xml:space="preserve">Las ventas de la regla están por debajo de la realidad cercana.</w:t>
      </w:r>
      <w:r>
        <w:t xml:space="preserve"> </w:t>
      </w:r>
      <w:r>
        <w:t xml:space="preserve">El crecimiento de partida tiene un tope del 60 % y decae un 15 % al año: 1.138 × 1,60 × 1,51 = 2.748 M en la ventana objetivo. El consenso da ~3.357 M (media de 2027 y 2028 [9]) y mi proyección 3.300 M. El bajista (1.856 M) queda incluso por debajo del ritmo anual del 2T26 (425,5 × 4 = 1.702 M) más el crecimiento de un solo trimestre. v11 se queda con la menor, que es la mecánica.</w:t>
      </w:r>
      <w:r>
        <w:t xml:space="preserve"> </w:t>
      </w:r>
      <w:r>
        <w:t xml:space="preserve">2.</w:t>
      </w:r>
      <w:r>
        <w:t xml:space="preserve"> </w:t>
      </w:r>
      <w:r>
        <w:rPr>
          <w:bCs/>
          <w:b/>
        </w:rPr>
        <w:t xml:space="preserve">El múltiplo baja un 30 %</w:t>
      </w:r>
      <w:r>
        <w:t xml:space="preserve"> </w:t>
      </w:r>
      <w:r>
        <w:t xml:space="preserve">porque el crecimiento pasa del 107 % al 40 %. Con mi proyección de ventas (3.300 M), el mismo 6,6x y la caja de la regla, el precio base sería ~89 USD (−8 %). Con el consenso, ~91 USD (−6 %).</w:t>
      </w:r>
      <w:r>
        <w:t xml:space="preserve"> </w:t>
      </w:r>
      <w:r>
        <w:rPr>
          <w:bCs/>
          <w:b/>
        </w:rPr>
        <w:t xml:space="preserve">Es decir, el precio de hoy ya paga las ventas de consenso de mediados de 2028 a ~7x, el múltiplo de argenx o Vertex.</w:t>
      </w:r>
      <w:r>
        <w:t xml:space="preserve"> </w:t>
      </w:r>
      <w:r>
        <w:t xml:space="preserve">Para ganar dinero hace falta batir el consenso o que el mercado vuelva a pagar más de 9x.</w:t>
      </w:r>
      <w:r>
        <w:t xml:space="preserve"> </w:t>
      </w:r>
      <w:r>
        <w:t xml:space="preserve">3.</w:t>
      </w:r>
      <w:r>
        <w:t xml:space="preserve"> </w:t>
      </w:r>
      <w:r>
        <w:rPr>
          <w:bCs/>
          <w:b/>
        </w:rPr>
        <w:t xml:space="preserve">La caja de la regla resta toda la quema pasada</w:t>
      </w:r>
      <w:r>
        <w:t xml:space="preserve"> </w:t>
      </w:r>
      <w:r>
        <w:t xml:space="preserve">(−808 M), cuando la que viene es de ~−300 M.</w:t>
      </w:r>
    </w:p>
    <w:p>
      <w:pPr>
        <w:numPr>
          <w:ilvl w:val="0"/>
          <w:numId w:val="1009"/>
        </w:numPr>
        <w:pStyle w:val="Compact"/>
      </w:pPr>
      <w:r>
        <w:rPr>
          <w:bCs/>
          <w:b/>
        </w:rPr>
        <w:t xml:space="preserve">Contraste con mi proyección y el consenso</w:t>
      </w:r>
      <w:r>
        <w:t xml:space="preserve">: mis ventas (2.600 / 3.300 / 3.900 M) están por encima de las mecánicas en los tres escenarios. La herramienta de robustez con las ventas del analista da</w:t>
      </w:r>
      <w:r>
        <w:t xml:space="preserve"> </w:t>
      </w:r>
      <w:r>
        <w:rPr>
          <w:bCs/>
          <w:b/>
        </w:rPr>
        <w:t xml:space="preserve">ponderada −13,3 %, base −8,4 %: Vender igual</w:t>
      </w:r>
      <w:r>
        <w:t xml:space="preserve">.</w:t>
      </w:r>
    </w:p>
    <w:p>
      <w:pPr>
        <w:numPr>
          <w:ilvl w:val="0"/>
          <w:numId w:val="1009"/>
        </w:numPr>
        <w:pStyle w:val="Compact"/>
      </w:pPr>
      <w:r>
        <w:rPr>
          <w:bCs/>
          <w:b/>
        </w:rPr>
        <w:t xml:space="preserve">Consenso de precio</w:t>
      </w:r>
      <w:r>
        <w:t xml:space="preserve">: objetivo medio de</w:t>
      </w:r>
      <w:r>
        <w:t xml:space="preserve"> </w:t>
      </w:r>
      <w:r>
        <w:rPr>
          <w:bCs/>
          <w:b/>
        </w:rPr>
        <w:t xml:space="preserve">198,36 USD</w:t>
      </w:r>
      <w:r>
        <w:t xml:space="preserve"> </w:t>
      </w:r>
      <w:r>
        <w:t xml:space="preserve">(+105 %; de 169 a 243; 23 de 24 analistas en Compra) [10]. El consenso supone que el múltiplo se mantiene en ~9-10x NTM con las ventas máximas de más de 7.000 M a la vista. El método supone que baja con la desaceleración, como pasó con argenx (de ~9x a 6,9x en un año).</w:t>
      </w:r>
    </w:p>
    <w:p>
      <w:pPr>
        <w:numPr>
          <w:ilvl w:val="0"/>
          <w:numId w:val="1009"/>
        </w:numPr>
        <w:pStyle w:val="Compact"/>
      </w:pPr>
      <w:r>
        <w:rPr>
          <w:bCs/>
          <w:b/>
        </w:rPr>
        <w:t xml:space="preserve">DCF inverso</w:t>
      </w:r>
      <w:r>
        <w:t xml:space="preserve">: con un margen FCF que sube de −5 % a 35 % en cinco años, WACC del 10 % y crecimiento terminal del 3 %, el precio descuenta</w:t>
      </w:r>
      <w:r>
        <w:t xml:space="preserve"> </w:t>
      </w:r>
      <w:r>
        <w:rPr>
          <w:bCs/>
          <w:b/>
        </w:rPr>
        <w:t xml:space="preserve">~21,8 % anual durante 10 años</w:t>
      </w:r>
      <w:r>
        <w:t xml:space="preserve"> </w:t>
      </w:r>
      <w:r>
        <w:t xml:space="preserve">desde las ventas de 12 meses (≈ 8.200 M en el año 10). Con margen del 30 %, 23,7 %; con WACC del 9 %, 19,2 %. Es</w:t>
      </w:r>
      <w:r>
        <w:t xml:space="preserve"> </w:t>
      </w:r>
      <w:r>
        <w:rPr>
          <w:bCs/>
          <w:b/>
        </w:rPr>
        <w:t xml:space="preserve">exigente pero alcanzable</w:t>
      </w:r>
      <w:r>
        <w:t xml:space="preserve"> </w:t>
      </w:r>
      <w:r>
        <w:t xml:space="preserve">si Brinsupri llega a los 7.000 M y TPIP funciona. Aquí está la diferencia con la regla: el DCF mira 10 años y la regla mira 12 meses con un múltiplo a la baja.</w:t>
      </w:r>
    </w:p>
    <w:bookmarkEnd w:id="28"/>
    <w:bookmarkStart w:id="29" w:name="foros-y-sentimiento"/>
    <w:p>
      <w:pPr>
        <w:pStyle w:val="Heading2"/>
      </w:pPr>
      <w:r>
        <w:t xml:space="preserve">10. Foros y sentimiento</w:t>
      </w:r>
    </w:p>
    <w:p>
      <w:pPr>
        <w:numPr>
          <w:ilvl w:val="0"/>
          <w:numId w:val="1010"/>
        </w:numPr>
        <w:pStyle w:val="Compact"/>
      </w:pPr>
      <w:r>
        <w:rPr>
          <w:bCs/>
          <w:b/>
        </w:rPr>
        <w:t xml:space="preserve">Prensa y analistas</w:t>
      </w:r>
      <w:r>
        <w:t xml:space="preserve">: en 2026 el relato ha sido de «gran lanzamiento, mala acción». El 7-may la acción cayó un ~23 % pese a batir, porque no subió la guía y los gastos crecían. El 5-jun cayó un 10 % por rumores (desmentidos) de un 2T flojo. El 6-ago subió un 34 % al subir la guía, y desde septiembre ha caído un 25 % por la salida de la directora financiera (−7 %), la rebaja de Wolfe y el recorte de UBS en el 2S26 [11][12][13]. Aun así, 23 de 24 analistas mantienen Compra, con objetivos de 169-243 USD; Goldman empezó con Compra (188) y Mizuho subió a 195 tras Japón [10][11].</w:t>
      </w:r>
    </w:p>
    <w:p>
      <w:pPr>
        <w:numPr>
          <w:ilvl w:val="0"/>
          <w:numId w:val="1010"/>
        </w:numPr>
        <w:pStyle w:val="Compact"/>
      </w:pPr>
      <w:r>
        <w:rPr>
          <w:bCs/>
          <w:b/>
        </w:rPr>
        <w:t xml:space="preserve">StockTwits</w:t>
      </w:r>
      <w:r>
        <w:t xml:space="preserve"> </w:t>
      </w:r>
      <w:r>
        <w:t xml:space="preserve">(14-oct): 30 mensajes, 4 alcistas marcados y ninguno bajista. Tono dividido: «fire sale, I keep adding» y «good price entry» frente a «go to 0», «it wants to go $90» y «is this stock being shorted?». Hay compras inusuales de opciones de compra (MarketBeat, 13-oct) [18][19]. No hay euforia: hay cansancio.</w:t>
      </w:r>
    </w:p>
    <w:p>
      <w:pPr>
        <w:numPr>
          <w:ilvl w:val="0"/>
          <w:numId w:val="1010"/>
        </w:numPr>
        <w:pStyle w:val="Compact"/>
      </w:pPr>
      <w:r>
        <w:rPr>
          <w:bCs/>
          <w:b/>
        </w:rPr>
        <w:t xml:space="preserve">Reddit (r/stocks, r/investing, r/biotech)</w:t>
      </w:r>
      <w:r>
        <w:t xml:space="preserve">: bloqueado desde aquí (403).</w:t>
      </w:r>
      <w:r>
        <w:t xml:space="preserve"> </w:t>
      </w:r>
      <w:r>
        <w:rPr>
          <w:bCs/>
          <w:b/>
        </w:rPr>
        <w:t xml:space="preserve">Laguna.</w:t>
      </w:r>
    </w:p>
    <w:p>
      <w:pPr>
        <w:numPr>
          <w:ilvl w:val="0"/>
          <w:numId w:val="1010"/>
        </w:numPr>
        <w:pStyle w:val="Compact"/>
      </w:pPr>
      <w:r>
        <w:rPr>
          <w:bCs/>
          <w:b/>
        </w:rPr>
        <w:t xml:space="preserve">Seeking Alpha</w:t>
      </w:r>
      <w:r>
        <w:t xml:space="preserve">: solo notas de prensa recientes; no se pudieron leer artículos de opinión.</w:t>
      </w:r>
      <w:r>
        <w:t xml:space="preserve"> </w:t>
      </w:r>
      <w:r>
        <w:rPr>
          <w:bCs/>
          <w:b/>
        </w:rPr>
        <w:t xml:space="preserve">Laguna.</w:t>
      </w:r>
    </w:p>
    <w:p>
      <w:pPr>
        <w:numPr>
          <w:ilvl w:val="0"/>
          <w:numId w:val="1010"/>
        </w:numPr>
        <w:pStyle w:val="Compact"/>
      </w:pPr>
      <w:r>
        <w:rPr>
          <w:bCs/>
          <w:b/>
        </w:rPr>
        <w:t xml:space="preserve">En castellano</w:t>
      </w:r>
      <w:r>
        <w:t xml:space="preserve"> </w:t>
      </w:r>
      <w:r>
        <w:t xml:space="preserve">(Rankia, Investing ES): sin hilos recientes encontrados.</w:t>
      </w:r>
      <w:r>
        <w:t xml:space="preserve"> </w:t>
      </w:r>
      <w:r>
        <w:rPr>
          <w:bCs/>
          <w:b/>
        </w:rPr>
        <w:t xml:space="preserve">Laguna.</w:t>
      </w:r>
    </w:p>
    <w:p>
      <w:pPr>
        <w:numPr>
          <w:ilvl w:val="0"/>
          <w:numId w:val="1010"/>
        </w:numPr>
        <w:pStyle w:val="Compact"/>
      </w:pPr>
      <w:r>
        <w:rPr>
          <w:bCs/>
          <w:b/>
        </w:rPr>
        <w:t xml:space="preserve">Contraste con los datos</w:t>
      </w:r>
      <w:r>
        <w:t xml:space="preserve">: el pesimismo no viene de las ventas, que baten y suben la guía, sino de la velocidad de la curva de 2027 (ampliar el mercado más allá de los pacientes ya diagnosticados), la competencia futura de los DPP1, los fracasos de las ampliaciones y la gobernanza (directora financiera, ventas de directivos). El sentimiento podría girar rápido con un buen 3T el 29-oct, pero hoy no hay giro que medir.</w:t>
      </w:r>
    </w:p>
    <w:bookmarkEnd w:id="29"/>
    <w:bookmarkStart w:id="30" w:name="riesgos-y-qué-rompería-la-tesis"/>
    <w:p>
      <w:pPr>
        <w:pStyle w:val="Heading2"/>
      </w:pPr>
      <w:r>
        <w:t xml:space="preserve">11. Riesgos y qué rompería la tesis</w:t>
      </w:r>
    </w:p>
    <w:p>
      <w:pPr>
        <w:pStyle w:val="FirstParagraph"/>
      </w:pPr>
      <w:r>
        <w:rPr>
          <w:bCs/>
          <w:b/>
        </w:rPr>
        <w:t xml:space="preserve">Robustez del resultado (por qué Vender / no comprar es defendible).</w:t>
      </w:r>
    </w:p>
    <w:p>
      <w:pPr>
        <w:pStyle w:val="BodyText"/>
      </w:pPr>
      <w:r>
        <w:rPr>
          <w:rStyle w:val="VerbatimChar"/>
        </w:rPr>
        <w:t xml:space="preserve">calc.alertas</w:t>
      </w:r>
      <w:r>
        <w:t xml:space="preserve"> </w:t>
      </w:r>
      <w:r>
        <w:t xml:space="preserve">tiene</w:t>
      </w:r>
      <w:r>
        <w:t xml:space="preserve"> </w:t>
      </w:r>
      <w:r>
        <w:rPr>
          <w:bCs/>
          <w:b/>
        </w:rPr>
        <w:t xml:space="preserve">una alerta</w:t>
      </w:r>
      <w:r>
        <w:t xml:space="preserve">: «Dos clientes suman el 60 % de las ventas (&gt; 40 %)». El 10-Q nombra A 38 %, B 22 %, C 18 % y D 14 % [2].</w:t>
      </w:r>
      <w:r>
        <w:t xml:space="preserve"> </w:t>
      </w:r>
      <w:r>
        <w:rPr>
          <w:bCs/>
          <w:b/>
        </w:rPr>
        <w:t xml:space="preserve">No debilita la señal</w:t>
      </w:r>
      <w:r>
        <w:t xml:space="preserve">: son farmacias especializadas y un distribuidor especializado de EE. UU., que es como se venden todos los fármacos especiales. Los pagadores y los pacientes están muy repartidos. El riesgo real es operativo (cobros y existencias del canal, que subieron 75 M en el 1S26) y no de demanda. No hay más alertas: la mecánica no supera al analista ni al consenso, el múltiplo (9,4x) está por debajo de su mediana (17,2x), hay guía anual, los pagos en acciones son el 13,8 % y no se valora por EBITDA.</w:t>
      </w:r>
    </w:p>
    <w:p>
      <w:pPr>
        <w:pStyle w:val="BodyText"/>
      </w:pPr>
      <w:r>
        <w:rPr>
          <w:bCs/>
          <w:b/>
        </w:rPr>
        <w:t xml:space="preserve">Herramienta</w:t>
      </w:r>
      <w:r>
        <w:rPr>
          <w:bCs/>
          <w:b/>
        </w:rPr>
        <w:t xml:space="preserve"> </w:t>
      </w:r>
      <w:r>
        <w:rPr>
          <w:rStyle w:val="VerbatimChar"/>
          <w:bCs/>
          <w:b/>
        </w:rPr>
        <w:t xml:space="preserve">robustez-growth.mjs --precios</w:t>
      </w:r>
      <w:r>
        <w:t xml:space="preserve"> </w:t>
      </w:r>
      <w:r>
        <w:t xml:space="preserve">(sin</w:t>
      </w:r>
      <w:r>
        <w:t xml:space="preserve"> </w:t>
      </w:r>
      <w:r>
        <w:rPr>
          <w:rStyle w:val="VerbatimChar"/>
        </w:rPr>
        <w:t xml:space="preserve">--escribir</w:t>
      </w:r>
      <w:r>
        <w:t xml:space="preserve">):</w:t>
      </w:r>
      <w:r>
        <w:t xml:space="preserve"> </w:t>
      </w:r>
      <w:r>
        <w:rPr>
          <w:bCs/>
          <w:b/>
        </w:rPr>
        <w:t xml:space="preserve">veredicto SÓLIDA, señal robusta: Vender.</w:t>
      </w:r>
      <w:r>
        <w:t xml:space="preserve"> </w:t>
      </w:r>
      <w:r>
        <w:t xml:space="preserve">Avisos:</w:t>
      </w:r>
      <w:r>
        <w:t xml:space="preserve"> </w:t>
      </w:r>
      <w:r>
        <w:t xml:space="preserve">-</w:t>
      </w:r>
      <w:r>
        <w:t xml:space="preserve"> </w:t>
      </w:r>
      <w:r>
        <w:rPr>
          <w:bCs/>
          <w:b/>
        </w:rPr>
        <w:t xml:space="preserve">G2</w:t>
      </w:r>
      <w:r>
        <w:t xml:space="preserve">: el objetivo se mueve con el precio (elasticidad 1,02). Se deja fijo (67,6 USD) y el límite es el del informe, 58,0.</w:t>
      </w:r>
      <w:r>
        <w:t xml:space="preserve"> </w:t>
      </w:r>
      <w:r>
        <w:t xml:space="preserve">-</w:t>
      </w:r>
      <w:r>
        <w:t xml:space="preserve"> </w:t>
      </w:r>
      <w:r>
        <w:rPr>
          <w:bCs/>
          <w:b/>
        </w:rPr>
        <w:t xml:space="preserve">G3</w:t>
      </w:r>
      <w:r>
        <w:t xml:space="preserve">: la proyección mecánica queda un 17 % por debajo de la del analista.</w:t>
      </w:r>
      <w:r>
        <w:t xml:space="preserve"> </w:t>
      </w:r>
      <w:r>
        <w:rPr>
          <w:bCs/>
          <w:b/>
        </w:rPr>
        <w:t xml:space="preserve">La señal es prudente</w:t>
      </w:r>
      <w:r>
        <w:t xml:space="preserve">, no optimista.</w:t>
      </w:r>
      <w:r>
        <w:t xml:space="preserve"> </w:t>
      </w:r>
      <w:r>
        <w:t xml:space="preserve">-</w:t>
      </w:r>
      <w:r>
        <w:t xml:space="preserve"> </w:t>
      </w:r>
      <w:r>
        <w:rPr>
          <w:bCs/>
          <w:b/>
        </w:rPr>
        <w:t xml:space="preserve">G6</w:t>
      </w:r>
      <w:r>
        <w:t xml:space="preserve">: bajista del −70 %. Si algún día entra, posición pequeña y en tramos.</w:t>
      </w:r>
    </w:p>
    <w:p>
      <w:pPr>
        <w:pStyle w:val="BodyText"/>
      </w:pPr>
      <w:r>
        <w:t xml:space="preserve">Variantes de la herramienta: v7 −30,2/−23,8, Vender; ventas del analista −13,3/−8,4, Vender; 25/50/25 −19,1/−23,8, Vender; precio de hoy (97,23, objetivo fijo) −30,5/−24,1, Vender.</w:t>
      </w:r>
    </w:p>
    <w:p>
      <w:pPr>
        <w:pStyle w:val="BodyText"/>
      </w:pPr>
      <w:r>
        <w:rPr>
          <w:bCs/>
          <w:b/>
        </w:rPr>
        <w:t xml:space="preserve">Pruebas propias</w:t>
      </w:r>
      <w:r>
        <w:t xml:space="preserve"> </w:t>
      </w:r>
      <w:r>
        <w:t xml:space="preserve">(copias en memoria de</w:t>
      </w:r>
      <w:r>
        <w:t xml:space="preserve"> </w:t>
      </w:r>
      <w:r>
        <w:rPr>
          <w:rStyle w:val="VerbatimChar"/>
        </w:rPr>
        <w:t xml:space="preserve">datos.json</w:t>
      </w:r>
      <w:r>
        <w:t xml:space="preserve">, motor v11):</w:t>
      </w:r>
      <w:r>
        <w:t xml:space="preserve"> </w:t>
      </w:r>
      <w:r>
        <w:t xml:space="preserve">-</w:t>
      </w:r>
      <w:r>
        <w:t xml:space="preserve"> </w:t>
      </w:r>
      <w:r>
        <w:rPr>
          <w:bCs/>
          <w:b/>
        </w:rPr>
        <w:t xml:space="preserve">Quema adelantada de 300 M</w:t>
      </w:r>
      <w:r>
        <w:t xml:space="preserve"> </w:t>
      </w:r>
      <w:r>
        <w:t xml:space="preserve">(pista de 46 meses): 75,5 puntos, ponderada −28,0 %, Vender. Con además probabilidades 25/50/25: −16,9 %, Vender.</w:t>
      </w:r>
      <w:r>
        <w:t xml:space="preserve"> </w:t>
      </w:r>
      <w:r>
        <w:rPr>
          <w:bCs/>
          <w:b/>
        </w:rPr>
        <w:t xml:space="preserve">La caja no es lo que decide.</w:t>
      </w:r>
      <w:r>
        <w:t xml:space="preserve"> </w:t>
      </w:r>
      <w:r>
        <w:t xml:space="preserve">-</w:t>
      </w:r>
      <w:r>
        <w:t xml:space="preserve"> </w:t>
      </w:r>
      <w:r>
        <w:rPr>
          <w:bCs/>
          <w:b/>
        </w:rPr>
        <w:t xml:space="preserve">Todas las señales de precio y sentimiento en «sí»</w:t>
      </w:r>
      <w:r>
        <w:t xml:space="preserve"> </w:t>
      </w:r>
      <w:r>
        <w:t xml:space="preserve">(2, 3 y 6): 79 puntos, ponderada −30,2 %, Vender. La puntuación tampoco decide.</w:t>
      </w:r>
      <w:r>
        <w:t xml:space="preserve"> </w:t>
      </w:r>
      <w:r>
        <w:t xml:space="preserve">-</w:t>
      </w:r>
      <w:r>
        <w:t xml:space="preserve"> </w:t>
      </w:r>
      <w:r>
        <w:rPr>
          <w:bCs/>
          <w:b/>
        </w:rPr>
        <w:t xml:space="preserve">Sin rebaja del múltiplo</w:t>
      </w:r>
      <w:r>
        <w:t xml:space="preserve"> </w:t>
      </w:r>
      <w:r>
        <w:t xml:space="preserve">(crecimiento objetivo = actual): ponderada +0,4 %, base +9,6 %,</w:t>
      </w:r>
      <w:r>
        <w:t xml:space="preserve"> </w:t>
      </w:r>
      <w:r>
        <w:rPr>
          <w:bCs/>
          <w:b/>
        </w:rPr>
        <w:t xml:space="preserve">Mantener</w:t>
      </w:r>
      <w:r>
        <w:t xml:space="preserve">. Es la única variante que saca a Insmed de Vender. Muestra que el resultado depende de suponer que el múltiplo baja con la desaceleración, algo razonable: los comparables que crecen al 30-40 % cotizan a ~7-9x.</w:t>
      </w:r>
      <w:r>
        <w:t xml:space="preserve"> </w:t>
      </w:r>
      <w:r>
        <w:t xml:space="preserve">-</w:t>
      </w:r>
      <w:r>
        <w:t xml:space="preserve"> </w:t>
      </w:r>
      <w:r>
        <w:rPr>
          <w:bCs/>
          <w:b/>
        </w:rPr>
        <w:t xml:space="preserve">Sin</w:t>
      </w:r>
      <w:r>
        <w:rPr>
          <w:bCs/>
          <w:b/>
        </w:rPr>
        <w:t xml:space="preserve"> </w:t>
      </w:r>
      <w:r>
        <w:rPr>
          <w:rStyle w:val="VerbatimChar"/>
          <w:bCs/>
          <w:b/>
        </w:rPr>
        <w:t xml:space="preserve">crecimiento_actual_pct</w:t>
      </w:r>
      <w:r>
        <w:t xml:space="preserve"> </w:t>
      </w:r>
      <w:r>
        <w:t xml:space="preserve">(el motor usa el 60 % mecánico para las ventas NTM): ventas NTM de 1.820 M en vez de ~2.355, múltiplo de hoy de 12,1x en vez de 9,4x, ponderada +5,7 %, Mantener.</w:t>
      </w:r>
      <w:r>
        <w:t xml:space="preserve"> </w:t>
      </w:r>
      <w:r>
        <w:rPr>
          <w:bCs/>
          <w:b/>
        </w:rPr>
        <w:t xml:space="preserve">No es válida</w:t>
      </w:r>
      <w:r>
        <w:t xml:space="preserve">: infla el múltiplo de hoy al dividir el EV por unas ventas NTM menores que la propia guía del 2S26. Pero enseña una incoherencia del método con las empresas que crecen más del 60 % (propuesta de mejora en la sección 14).</w:t>
      </w:r>
    </w:p>
    <w:p>
      <w:pPr>
        <w:pStyle w:val="BodyText"/>
      </w:pPr>
      <w:r>
        <w:rPr>
          <w:bCs/>
          <w:b/>
        </w:rPr>
        <w:t xml:space="preserve">Riesgos de negocio:</w:t>
      </w:r>
      <w:r>
        <w:t xml:space="preserve"> </w:t>
      </w:r>
      <w:r>
        <w:t xml:space="preserve">1.</w:t>
      </w:r>
      <w:r>
        <w:t xml:space="preserve"> </w:t>
      </w:r>
      <w:r>
        <w:rPr>
          <w:bCs/>
          <w:b/>
        </w:rPr>
        <w:t xml:space="preserve">Un solo producto</w:t>
      </w:r>
      <w:r>
        <w:t xml:space="preserve">: Brinsupri es el 73 % de las ventas y casi todo el crecimiento. Las ampliaciones a otras enfermedades han fallado dos veces.</w:t>
      </w:r>
      <w:r>
        <w:t xml:space="preserve"> </w:t>
      </w:r>
      <w:r>
        <w:t xml:space="preserve">2.</w:t>
      </w:r>
      <w:r>
        <w:t xml:space="preserve"> </w:t>
      </w:r>
      <w:r>
        <w:rPr>
          <w:bCs/>
          <w:b/>
        </w:rPr>
        <w:t xml:space="preserve">Velocidad de la curva</w:t>
      </w:r>
      <w:r>
        <w:t xml:space="preserve">: ~7.000 pacientes nuevos por trimestre sostienen el 2026. 2027 necesita ampliar el diagnóstico (EPOC y asma con bronquiectasias); Wolfe duda de que llegue antes de mediados de 2027 [12].</w:t>
      </w:r>
      <w:r>
        <w:t xml:space="preserve"> </w:t>
      </w:r>
      <w:r>
        <w:t xml:space="preserve">3.</w:t>
      </w:r>
      <w:r>
        <w:t xml:space="preserve"> </w:t>
      </w:r>
      <w:r>
        <w:rPr>
          <w:bCs/>
          <w:b/>
        </w:rPr>
        <w:t xml:space="preserve">Competencia</w:t>
      </w:r>
      <w:r>
        <w:t xml:space="preserve">: verducatib (Boehringer) y HSK31858 en fase 3; precio y cuota a partir de 2028-2029.</w:t>
      </w:r>
      <w:r>
        <w:t xml:space="preserve"> </w:t>
      </w:r>
      <w:r>
        <w:t xml:space="preserve">4.</w:t>
      </w:r>
      <w:r>
        <w:t xml:space="preserve"> </w:t>
      </w:r>
      <w:r>
        <w:rPr>
          <w:bCs/>
          <w:b/>
        </w:rPr>
        <w:t xml:space="preserve">Política de precios en EE. UU.</w:t>
      </w:r>
      <w:r>
        <w:t xml:space="preserve">: la empresa «evalúa el efecto de las políticas de EE. UU.» (nación más favorecida) antes de los lanzamientos internacionales [1]. Un precio en Europa o Japón puede limitar el de EE. UU.</w:t>
      </w:r>
      <w:r>
        <w:t xml:space="preserve"> </w:t>
      </w:r>
      <w:r>
        <w:t xml:space="preserve">5.</w:t>
      </w:r>
      <w:r>
        <w:t xml:space="preserve"> </w:t>
      </w:r>
      <w:r>
        <w:rPr>
          <w:bCs/>
          <w:b/>
        </w:rPr>
        <w:t xml:space="preserve">Gobernanza y caja</w:t>
      </w:r>
      <w:r>
        <w:t xml:space="preserve">: salida de la directora financiera, ventas de directivos, deuda al 9,6 % que se amortiza desde 2028 y un historial de ampliaciones (+22 % de acciones en dos años).</w:t>
      </w:r>
      <w:r>
        <w:t xml:space="preserve"> </w:t>
      </w:r>
      <w:r>
        <w:t xml:space="preserve">6.</w:t>
      </w:r>
      <w:r>
        <w:t xml:space="preserve"> </w:t>
      </w:r>
      <w:r>
        <w:rPr>
          <w:bCs/>
          <w:b/>
        </w:rPr>
        <w:t xml:space="preserve">TPIP</w:t>
      </w:r>
      <w:r>
        <w:t xml:space="preserve">: ventas máximas de más de 6.000 M según la empresa; cuatro fases 3 con lecturas de 2027 en adelante. Si falla, el mercado le quitaría valor de cartera que hoy pesa poco en la regla.</w:t>
      </w:r>
    </w:p>
    <w:p>
      <w:pPr>
        <w:pStyle w:val="BodyText"/>
      </w:pPr>
      <w:r>
        <w:rPr>
          <w:bCs/>
          <w:b/>
        </w:rPr>
        <w:t xml:space="preserve">Señales de venta / de no entrar</w:t>
      </w:r>
      <w:r>
        <w:t xml:space="preserve">: un trimestre de Brinsupri por debajo de ~6.000 pacientes nuevos o una rebaja de la guía de 2026; un bruto-neto peor de un 30 %; datos de fase 3 de verducatib comparables y con mejor perfil; una ampliación de capital antes de 2027 (rompería la promesa de no diluir).</w:t>
      </w:r>
    </w:p>
    <w:p>
      <w:pPr>
        <w:pStyle w:val="BodyText"/>
      </w:pPr>
      <w:r>
        <w:rPr>
          <w:bCs/>
          <w:b/>
        </w:rPr>
        <w:t xml:space="preserve">Qué la llevaría a Comprar</w:t>
      </w:r>
      <w:r>
        <w:t xml:space="preserve">: precio ≤ 58 USD (con la regla), o datos nuevos que eleven las ventas de 12 meses y reduzcan la quema (con el 3T y el 4T, la mecánica partirá de unas ventas de 12 meses de ~1.700-2.000 M). Revisión obligatoria con los resultados del 29-oct y del 4T.</w:t>
      </w:r>
    </w:p>
    <w:bookmarkEnd w:id="30"/>
    <w:bookmarkStart w:id="31" w:name="catalizadores-con-fecha"/>
    <w:p>
      <w:pPr>
        <w:pStyle w:val="Heading2"/>
      </w:pPr>
      <w:r>
        <w:t xml:space="preserve">12. Catalizadores con fecha</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Fecha</w:t>
            </w:r>
          </w:p>
        </w:tc>
        <w:tc>
          <w:tcPr/>
          <w:p>
            <w:pPr>
              <w:pStyle w:val="Compact"/>
              <w:jc w:val="left"/>
            </w:pPr>
            <w:r>
              <w:t xml:space="preserve">Hecho</w:t>
            </w:r>
          </w:p>
        </w:tc>
        <w:tc>
          <w:tcPr/>
          <w:p>
            <w:pPr>
              <w:pStyle w:val="Compact"/>
              <w:jc w:val="left"/>
            </w:pPr>
            <w:r>
              <w:t xml:space="preserve">Sentido</w:t>
            </w:r>
          </w:p>
        </w:tc>
      </w:tr>
      <w:tr>
        <w:tc>
          <w:tcPr/>
          <w:p>
            <w:pPr>
              <w:pStyle w:val="Compact"/>
              <w:jc w:val="left"/>
            </w:pPr>
            <w:r>
              <w:t xml:space="preserve">29-oct-2026</w:t>
            </w:r>
          </w:p>
        </w:tc>
        <w:tc>
          <w:tcPr/>
          <w:p>
            <w:pPr>
              <w:pStyle w:val="Compact"/>
              <w:jc w:val="left"/>
            </w:pPr>
            <w:r>
              <w:t xml:space="preserve">Resultados del 3T (consenso de ventas totales 497,5 M), pacientes nuevos y primera visión de 2027; última conferencia de la directora financiera</w:t>
            </w:r>
          </w:p>
        </w:tc>
        <w:tc>
          <w:tcPr/>
          <w:p>
            <w:pPr>
              <w:pStyle w:val="Compact"/>
              <w:jc w:val="left"/>
            </w:pPr>
            <w:r>
              <w:t xml:space="preserve">+/−</w:t>
            </w:r>
          </w:p>
        </w:tc>
      </w:tr>
      <w:tr>
        <w:tc>
          <w:tcPr/>
          <w:p>
            <w:pPr>
              <w:pStyle w:val="Compact"/>
              <w:jc w:val="left"/>
            </w:pPr>
            <w:r>
              <w:t xml:space="preserve">30-oct-2026</w:t>
            </w:r>
          </w:p>
        </w:tc>
        <w:tc>
          <w:tcPr/>
          <w:p>
            <w:pPr>
              <w:pStyle w:val="Compact"/>
              <w:jc w:val="left"/>
            </w:pPr>
            <w:r>
              <w:t xml:space="preserve">Salida de la directora financiera; nombramiento del sucesor</w:t>
            </w:r>
          </w:p>
        </w:tc>
        <w:tc>
          <w:tcPr/>
          <w:p>
            <w:pPr>
              <w:pStyle w:val="Compact"/>
              <w:jc w:val="left"/>
            </w:pPr>
            <w:r>
              <w:t xml:space="preserve">+/−</w:t>
            </w:r>
          </w:p>
        </w:tc>
      </w:tr>
      <w:tr>
        <w:tc>
          <w:tcPr/>
          <w:p>
            <w:pPr>
              <w:pStyle w:val="Compact"/>
              <w:jc w:val="left"/>
            </w:pPr>
            <w:r>
              <w:t xml:space="preserve">4T 2026</w:t>
            </w:r>
          </w:p>
        </w:tc>
        <w:tc>
          <w:tcPr/>
          <w:p>
            <w:pPr>
              <w:pStyle w:val="Compact"/>
              <w:jc w:val="left"/>
            </w:pPr>
            <w:r>
              <w:t xml:space="preserve">Lanzamiento de Brinsupri en Japón (aprobado el 24-ago) y avance del de la UE</w:t>
            </w:r>
          </w:p>
        </w:tc>
        <w:tc>
          <w:tcPr/>
          <w:p>
            <w:pPr>
              <w:pStyle w:val="Compact"/>
              <w:jc w:val="left"/>
            </w:pPr>
            <w:r>
              <w:t xml:space="preserve">+</w:t>
            </w:r>
          </w:p>
        </w:tc>
      </w:tr>
      <w:tr>
        <w:tc>
          <w:tcPr/>
          <w:p>
            <w:pPr>
              <w:pStyle w:val="Compact"/>
              <w:jc w:val="left"/>
            </w:pPr>
            <w:r>
              <w:t xml:space="preserve">2S 2026</w:t>
            </w:r>
          </w:p>
        </w:tc>
        <w:tc>
          <w:tcPr/>
          <w:p>
            <w:pPr>
              <w:pStyle w:val="Compact"/>
              <w:jc w:val="left"/>
            </w:pPr>
            <w:r>
              <w:t xml:space="preserve">Inicio del fase 3 de TPIP en fibrosis pulmonar progresiva; fase 1 de INS1033</w:t>
            </w:r>
          </w:p>
        </w:tc>
        <w:tc>
          <w:tcPr/>
          <w:p>
            <w:pPr>
              <w:pStyle w:val="Compact"/>
              <w:jc w:val="left"/>
            </w:pPr>
            <w:r>
              <w:t xml:space="preserve">+</w:t>
            </w:r>
          </w:p>
        </w:tc>
      </w:tr>
      <w:tr>
        <w:tc>
          <w:tcPr/>
          <w:p>
            <w:pPr>
              <w:pStyle w:val="Compact"/>
              <w:jc w:val="left"/>
            </w:pPr>
            <w:r>
              <w:t xml:space="preserve">28-ene-2027</w:t>
            </w:r>
          </w:p>
        </w:tc>
        <w:tc>
          <w:tcPr/>
          <w:p>
            <w:pPr>
              <w:pStyle w:val="Compact"/>
              <w:jc w:val="left"/>
            </w:pPr>
            <w:r>
              <w:t xml:space="preserve">Decisión de la FDA sobre Arikayce en MAC recién diagnosticada (revisión prioritaria)</w:t>
            </w:r>
          </w:p>
        </w:tc>
        <w:tc>
          <w:tcPr/>
          <w:p>
            <w:pPr>
              <w:pStyle w:val="Compact"/>
              <w:jc w:val="left"/>
            </w:pPr>
            <w:r>
              <w:t xml:space="preserve">+</w:t>
            </w:r>
          </w:p>
        </w:tc>
      </w:tr>
      <w:tr>
        <w:tc>
          <w:tcPr/>
          <w:p>
            <w:pPr>
              <w:pStyle w:val="Compact"/>
              <w:jc w:val="left"/>
            </w:pPr>
            <w:r>
              <w:t xml:space="preserve">Feb-2027</w:t>
            </w:r>
          </w:p>
        </w:tc>
        <w:tc>
          <w:tcPr/>
          <w:p>
            <w:pPr>
              <w:pStyle w:val="Compact"/>
              <w:jc w:val="left"/>
            </w:pPr>
            <w:r>
              <w:t xml:space="preserve">Resultados del 4T y guía de 2027 (clave: ¿flujo de caja positivo y ventas por encima de 2.900 M?)</w:t>
            </w:r>
          </w:p>
        </w:tc>
        <w:tc>
          <w:tcPr/>
          <w:p>
            <w:pPr>
              <w:pStyle w:val="Compact"/>
              <w:jc w:val="left"/>
            </w:pPr>
            <w:r>
              <w:t xml:space="preserve">+/−</w:t>
            </w:r>
          </w:p>
        </w:tc>
      </w:tr>
      <w:tr>
        <w:tc>
          <w:tcPr/>
          <w:p>
            <w:pPr>
              <w:pStyle w:val="Compact"/>
              <w:jc w:val="left"/>
            </w:pPr>
            <w:r>
              <w:t xml:space="preserve">2027-2028</w:t>
            </w:r>
          </w:p>
        </w:tc>
        <w:tc>
          <w:tcPr/>
          <w:p>
            <w:pPr>
              <w:pStyle w:val="Compact"/>
              <w:jc w:val="left"/>
            </w:pPr>
            <w:r>
              <w:t xml:space="preserve">Lecturas del fase 3 de TPIP (PALM-ILD, PALM-PAH); fase 3 de verducatib (Boehringer)</w:t>
            </w:r>
          </w:p>
        </w:tc>
        <w:tc>
          <w:tcPr/>
          <w:p>
            <w:pPr>
              <w:pStyle w:val="Compact"/>
              <w:jc w:val="left"/>
            </w:pPr>
            <w:r>
              <w:t xml:space="preserve">+/−</w:t>
            </w:r>
          </w:p>
        </w:tc>
      </w:tr>
    </w:tbl>
    <w:bookmarkEnd w:id="31"/>
    <w:bookmarkStart w:id="32" w:name="encaje-en-cartera"/>
    <w:p>
      <w:pPr>
        <w:pStyle w:val="Heading2"/>
      </w:pPr>
      <w:r>
        <w:t xml:space="preserve">13. Encaje en cartera</w:t>
      </w:r>
    </w:p>
    <w:p>
      <w:pPr>
        <w:numPr>
          <w:ilvl w:val="0"/>
          <w:numId w:val="1011"/>
        </w:numPr>
        <w:pStyle w:val="Compact"/>
      </w:pPr>
      <w:r>
        <w:rPr>
          <w:bCs/>
          <w:b/>
        </w:rPr>
        <w:t xml:space="preserve">Bolsillo growth lleno</w:t>
      </w:r>
      <w:r>
        <w:t xml:space="preserve"> </w:t>
      </w:r>
      <w:r>
        <w:t xml:space="preserve">(~20 %): Nu (+19 %), Axon (+36 %), Shopify (+18 %), Snowflake (+13 %) y Samsara (+15 %), al precio actual con v11 [</w:t>
      </w:r>
      <w:r>
        <w:rPr>
          <w:rStyle w:val="VerbatimChar"/>
        </w:rPr>
        <w:t xml:space="preserve">informes-growth/cartera-growth.md</w:t>
      </w:r>
      <w:r>
        <w:t xml:space="preserve">]. Liquidez libre casi nula: solo cabe sustituir. Alphabet se vende mañana y no cuenta como exposición a IA. Insmed tampoco la aporta (sección 4).</w:t>
      </w:r>
    </w:p>
    <w:p>
      <w:pPr>
        <w:numPr>
          <w:ilvl w:val="0"/>
          <w:numId w:val="1011"/>
        </w:numPr>
        <w:pStyle w:val="Compact"/>
      </w:pPr>
      <w:r>
        <w:rPr>
          <w:bCs/>
          <w:b/>
        </w:rPr>
        <w:t xml:space="preserve">Insmed no sustituye a ninguna</w:t>
      </w:r>
      <w:r>
        <w:t xml:space="preserve">: da Vender / no comprar con una ponderada de −30,2 % (−30,5 % al precio actual con el objetivo fijo), frente a +13-36 % de las cinco en cartera.</w:t>
      </w:r>
    </w:p>
    <w:p>
      <w:pPr>
        <w:numPr>
          <w:ilvl w:val="0"/>
          <w:numId w:val="1011"/>
        </w:numPr>
        <w:pStyle w:val="Compact"/>
      </w:pPr>
      <w:r>
        <w:rPr>
          <w:bCs/>
          <w:b/>
        </w:rPr>
        <w:t xml:space="preserve">Suplentes</w:t>
      </w:r>
      <w:r>
        <w:t xml:space="preserve"> </w:t>
      </w:r>
      <w:r>
        <w:t xml:space="preserve">(por orden: MongoDB, Toast, Zscaler, Dexcom, Datadog, argenx, Natera, Saab):</w:t>
      </w:r>
      <w:r>
        <w:t xml:space="preserve"> </w:t>
      </w:r>
      <w:r>
        <w:rPr>
          <w:bCs/>
          <w:b/>
        </w:rPr>
        <w:t xml:space="preserve">no entra en la lista</w:t>
      </w:r>
      <w:r>
        <w:t xml:space="preserve">, porque todas dan Comprar e Insmed no.</w:t>
      </w:r>
      <w:r>
        <w:t xml:space="preserve"> </w:t>
      </w:r>
      <w:r>
        <w:rPr>
          <w:bCs/>
          <w:b/>
        </w:rPr>
        <w:t xml:space="preserve">Frente a argenx</w:t>
      </w:r>
      <w:r>
        <w:t xml:space="preserve"> </w:t>
      </w:r>
      <w:r>
        <w:t xml:space="preserve">(sexta suplente, la otra biotecnológica de crecimiento): argenx ya gana dinero (margen operativo del 32 %, FCF positivo), crece un 60 % a 6,9x ventas NTM y da +11 % con v11. Insmed crece más, pero quema caja, depende de un producto y cotiza más cara (9,4x). Si el usuario quiere biotecnología respiratoria en el bolsillo, la vía con el método es esperar: a ≤ 58 USD, o con unas ventas de 12 meses mucho más altas tras el 3T y el 4T.</w:t>
      </w:r>
    </w:p>
    <w:p>
      <w:pPr>
        <w:numPr>
          <w:ilvl w:val="0"/>
          <w:numId w:val="1011"/>
        </w:numPr>
        <w:pStyle w:val="Compact"/>
      </w:pPr>
      <w:r>
        <w:rPr>
          <w:bCs/>
          <w:b/>
        </w:rPr>
        <w:t xml:space="preserve">Encaje en la cartera value</w:t>
      </w:r>
      <w:r>
        <w:t xml:space="preserve">: no aplica (sin beneficio estable ni ROIC). Cartera value vigente:</w:t>
      </w:r>
      <w:r>
        <w:t xml:space="preserve"> </w:t>
      </w:r>
      <w:r>
        <w:rPr>
          <w:rStyle w:val="VerbatimChar"/>
        </w:rPr>
        <w:t xml:space="preserve">informes/ordenes-2026-10-15.md</w:t>
      </w:r>
      <w:r>
        <w:t xml:space="preserve">. No se propone.</w:t>
      </w:r>
    </w:p>
    <w:p>
      <w:pPr>
        <w:numPr>
          <w:ilvl w:val="0"/>
          <w:numId w:val="1011"/>
        </w:numPr>
        <w:pStyle w:val="Compact"/>
      </w:pPr>
      <w:r>
        <w:rPr>
          <w:bCs/>
          <w:b/>
        </w:rPr>
        <w:t xml:space="preserve">Preferencias de</w:t>
      </w:r>
      <w:r>
        <w:rPr>
          <w:bCs/>
          <w:b/>
        </w:rPr>
        <w:t xml:space="preserve"> </w:t>
      </w:r>
      <w:r>
        <w:rPr>
          <w:rStyle w:val="VerbatimChar"/>
          <w:bCs/>
          <w:b/>
        </w:rPr>
        <w:t xml:space="preserve">MEMORIA.md</w:t>
      </w:r>
      <w:r>
        <w:t xml:space="preserve">: no es juego ni comercio minorista; no hay conflicto. Daiichi Sankyo es la única farmacéutica de la cartera value, con un perfil distinto (oncología, conjugados anticuerpo-fármaco).</w:t>
      </w:r>
    </w:p>
    <w:bookmarkEnd w:id="32"/>
    <w:bookmarkStart w:id="33" w:name="puntuación"/>
    <w:p>
      <w:pPr>
        <w:pStyle w:val="Heading2"/>
      </w:pPr>
      <w:r>
        <w:t xml:space="preserve">14. Puntuación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Bloque</w:t>
            </w:r>
          </w:p>
        </w:tc>
        <w:tc>
          <w:tcPr/>
          <w:p>
            <w:pPr>
              <w:pStyle w:val="Compact"/>
              <w:jc w:val="left"/>
            </w:pPr>
            <w:r>
              <w:t xml:space="preserve">Puntos</w:t>
            </w:r>
          </w:p>
        </w:tc>
        <w:tc>
          <w:tcPr/>
          <w:p>
            <w:pPr>
              <w:pStyle w:val="Compact"/>
              <w:jc w:val="left"/>
            </w:pPr>
            <w:r>
              <w:t xml:space="preserve">Máx.</w:t>
            </w:r>
          </w:p>
        </w:tc>
        <w:tc>
          <w:tcPr/>
          <w:p>
            <w:pPr>
              <w:pStyle w:val="Compact"/>
              <w:jc w:val="left"/>
            </w:pPr>
            <w:r>
              <w:t xml:space="preserve">Detalle</w:t>
            </w:r>
          </w:p>
        </w:tc>
      </w:tr>
      <w:tr>
        <w:tc>
          <w:tcPr/>
          <w:p>
            <w:pPr>
              <w:pStyle w:val="Compact"/>
              <w:jc w:val="left"/>
            </w:pPr>
            <w:r>
              <w:t xml:space="preserve">A. Crecimiento</w:t>
            </w:r>
          </w:p>
        </w:tc>
        <w:tc>
          <w:tcPr/>
          <w:p>
            <w:pPr>
              <w:pStyle w:val="Compact"/>
              <w:jc w:val="left"/>
            </w:pPr>
            <w:r>
              <w:t xml:space="preserve">25,0</w:t>
            </w:r>
          </w:p>
        </w:tc>
        <w:tc>
          <w:tcPr/>
          <w:p>
            <w:pPr>
              <w:pStyle w:val="Compact"/>
              <w:jc w:val="left"/>
            </w:pPr>
            <w:r>
              <w:t xml:space="preserve">25</w:t>
            </w:r>
          </w:p>
        </w:tc>
        <w:tc>
          <w:tcPr/>
          <w:p>
            <w:pPr>
              <w:pStyle w:val="Compact"/>
              <w:jc w:val="left"/>
            </w:pPr>
            <w:r>
              <w:t xml:space="preserve">Ventas 12 m +185,8 % (5), CAGR 2 años +86,1 % (5), aceleración +182,7 pp (5)</w:t>
            </w:r>
          </w:p>
        </w:tc>
      </w:tr>
      <w:tr>
        <w:tc>
          <w:tcPr/>
          <w:p>
            <w:pPr>
              <w:pStyle w:val="Compact"/>
              <w:jc w:val="left"/>
            </w:pPr>
            <w:r>
              <w:t xml:space="preserve">B. Mercado y tecnología</w:t>
            </w:r>
          </w:p>
        </w:tc>
        <w:tc>
          <w:tcPr/>
          <w:p>
            <w:pPr>
              <w:pStyle w:val="Compact"/>
              <w:jc w:val="left"/>
            </w:pPr>
            <w:r>
              <w:t xml:space="preserve">16,0</w:t>
            </w:r>
          </w:p>
        </w:tc>
        <w:tc>
          <w:tcPr/>
          <w:p>
            <w:pPr>
              <w:pStyle w:val="Compact"/>
              <w:jc w:val="left"/>
            </w:pPr>
            <w:r>
              <w:t xml:space="preserve">20</w:t>
            </w:r>
          </w:p>
        </w:tc>
        <w:tc>
          <w:tcPr/>
          <w:p>
            <w:pPr>
              <w:pStyle w:val="Compact"/>
              <w:jc w:val="left"/>
            </w:pPr>
            <w:r>
              <w:t xml:space="preserve">Penetración 7,6 % (3), tecnología 4, posición 5</w:t>
            </w:r>
          </w:p>
        </w:tc>
      </w:tr>
      <w:tr>
        <w:tc>
          <w:tcPr/>
          <w:p>
            <w:pPr>
              <w:pStyle w:val="Compact"/>
              <w:jc w:val="left"/>
            </w:pPr>
            <w:r>
              <w:t xml:space="preserve">C. Cambio de tendencia</w:t>
            </w:r>
          </w:p>
        </w:tc>
        <w:tc>
          <w:tcPr/>
          <w:p>
            <w:pPr>
              <w:pStyle w:val="Compact"/>
              <w:jc w:val="left"/>
            </w:pPr>
            <w:r>
              <w:t xml:space="preserve">7,5</w:t>
            </w:r>
          </w:p>
        </w:tc>
        <w:tc>
          <w:tcPr/>
          <w:p>
            <w:pPr>
              <w:pStyle w:val="Compact"/>
              <w:jc w:val="left"/>
            </w:pPr>
            <w:r>
              <w:t xml:space="preserve">20</w:t>
            </w:r>
          </w:p>
        </w:tc>
        <w:tc>
          <w:tcPr/>
          <w:p>
            <w:pPr>
              <w:pStyle w:val="Compact"/>
              <w:jc w:val="left"/>
            </w:pPr>
            <w:r>
              <w:t xml:space="preserve">3/8 señales (revisiones, inflexión operativa, catalizadores), sin euforia</w:t>
            </w:r>
          </w:p>
        </w:tc>
      </w:tr>
      <w:tr>
        <w:tc>
          <w:tcPr/>
          <w:p>
            <w:pPr>
              <w:pStyle w:val="Compact"/>
              <w:jc w:val="left"/>
            </w:pPr>
            <w:r>
              <w:t xml:space="preserve">D. Economía unitaria</w:t>
            </w:r>
          </w:p>
        </w:tc>
        <w:tc>
          <w:tcPr/>
          <w:p>
            <w:pPr>
              <w:pStyle w:val="Compact"/>
              <w:jc w:val="left"/>
            </w:pPr>
            <w:r>
              <w:t xml:space="preserve">12,0</w:t>
            </w:r>
          </w:p>
        </w:tc>
        <w:tc>
          <w:tcPr/>
          <w:p>
            <w:pPr>
              <w:pStyle w:val="Compact"/>
              <w:jc w:val="left"/>
            </w:pPr>
            <w:r>
              <w:t xml:space="preserve">15</w:t>
            </w:r>
          </w:p>
        </w:tc>
        <w:tc>
          <w:tcPr/>
          <w:p>
            <w:pPr>
              <w:pStyle w:val="Compact"/>
              <w:jc w:val="left"/>
            </w:pPr>
            <w:r>
              <w:t xml:space="preserve">Margen bruto 84,2 % (5), regla del 40 = 114,8 (5), equilibrio en ≤ 24 meses (2)</w:t>
            </w:r>
          </w:p>
        </w:tc>
      </w:tr>
      <w:tr>
        <w:tc>
          <w:tcPr/>
          <w:p>
            <w:pPr>
              <w:pStyle w:val="Compact"/>
              <w:jc w:val="left"/>
            </w:pPr>
            <w:r>
              <w:t xml:space="preserve">E. Caja y dilución</w:t>
            </w:r>
          </w:p>
        </w:tc>
        <w:tc>
          <w:tcPr/>
          <w:p>
            <w:pPr>
              <w:pStyle w:val="Compact"/>
              <w:jc w:val="left"/>
            </w:pPr>
            <w:r>
              <w:t xml:space="preserve">4,0</w:t>
            </w:r>
          </w:p>
        </w:tc>
        <w:tc>
          <w:tcPr/>
          <w:p>
            <w:pPr>
              <w:pStyle w:val="Compact"/>
              <w:jc w:val="left"/>
            </w:pPr>
            <w:r>
              <w:t xml:space="preserve">10</w:t>
            </w:r>
          </w:p>
        </w:tc>
        <w:tc>
          <w:tcPr/>
          <w:p>
            <w:pPr>
              <w:pStyle w:val="Compact"/>
              <w:jc w:val="left"/>
            </w:pPr>
            <w:r>
              <w:t xml:space="preserve">Pista de 17,2 meses (1), dilución del 3,3 % (3)</w:t>
            </w:r>
          </w:p>
        </w:tc>
      </w:tr>
      <w:tr>
        <w:tc>
          <w:tcPr/>
          <w:p>
            <w:pPr>
              <w:pStyle w:val="Compact"/>
              <w:jc w:val="left"/>
            </w:pPr>
            <w:r>
              <w:t xml:space="preserve">F. Ejecución y dirección</w:t>
            </w:r>
          </w:p>
        </w:tc>
        <w:tc>
          <w:tcPr/>
          <w:p>
            <w:pPr>
              <w:pStyle w:val="Compact"/>
              <w:jc w:val="left"/>
            </w:pPr>
            <w:r>
              <w:t xml:space="preserve">7,0</w:t>
            </w:r>
          </w:p>
        </w:tc>
        <w:tc>
          <w:tcPr/>
          <w:p>
            <w:pPr>
              <w:pStyle w:val="Compact"/>
              <w:jc w:val="left"/>
            </w:pPr>
            <w:r>
              <w:t xml:space="preserve">10</w:t>
            </w:r>
          </w:p>
        </w:tc>
        <w:tc>
          <w:tcPr/>
          <w:p>
            <w:pPr>
              <w:pStyle w:val="Compact"/>
              <w:jc w:val="left"/>
            </w:pPr>
            <w:r>
              <w:t xml:space="preserve">Historial 4, dirección 3</w:t>
            </w:r>
          </w:p>
        </w:tc>
      </w:tr>
      <w:tr>
        <w:tc>
          <w:tcPr/>
          <w:p>
            <w:pPr>
              <w:pStyle w:val="Compact"/>
              <w:jc w:val="left"/>
            </w:pPr>
            <w:r>
              <w:rPr>
                <w:bCs/>
                <w:b/>
              </w:rPr>
              <w:t xml:space="preserve">Total</w:t>
            </w:r>
          </w:p>
        </w:tc>
        <w:tc>
          <w:tcPr/>
          <w:p>
            <w:pPr>
              <w:pStyle w:val="Compact"/>
              <w:jc w:val="left"/>
            </w:pPr>
            <w:r>
              <w:rPr>
                <w:bCs/>
                <w:b/>
              </w:rPr>
              <w:t xml:space="preserve">71,5</w:t>
            </w:r>
          </w:p>
        </w:tc>
        <w:tc>
          <w:tcPr/>
          <w:p>
            <w:pPr>
              <w:pStyle w:val="Compact"/>
              <w:jc w:val="left"/>
            </w:pPr>
            <w:r>
              <w:rPr>
                <w:bCs/>
                <w:b/>
              </w:rPr>
              <w:t xml:space="preserve">100</w:t>
            </w:r>
          </w:p>
        </w:tc>
        <w:tc>
          <w:tcPr/>
          <w:p>
            <w:pPr>
              <w:pStyle w:val="Compact"/>
              <w:jc w:val="left"/>
            </w:pPr>
            <w:r>
              <w:rPr>
                <w:bCs/>
                <w:b/>
              </w:rPr>
              <w:t xml:space="preserve">Vender / no comprar</w:t>
            </w:r>
            <w:r>
              <w:t xml:space="preserve"> </w:t>
            </w:r>
            <w:r>
              <w:t xml:space="preserve">(v11 = v9): ponderada ≤ −10 %</w:t>
            </w:r>
          </w:p>
        </w:tc>
      </w:tr>
    </w:tbl>
    <w:p>
      <w:pPr>
        <w:pStyle w:val="BodyText"/>
      </w:pPr>
      <w:r>
        <w:rPr>
          <w:bCs/>
          <w:b/>
        </w:rPr>
        <w:t xml:space="preserve">Mejoras de método que propone este informe</w:t>
      </w:r>
      <w:r>
        <w:t xml:space="preserve"> </w:t>
      </w:r>
      <w:r>
        <w:t xml:space="preserve">(sin tocar el código; pendientes del backtest):</w:t>
      </w:r>
      <w:r>
        <w:t xml:space="preserve"> </w:t>
      </w:r>
      <w:r>
        <w:t xml:space="preserve">1.</w:t>
      </w:r>
      <w:r>
        <w:t xml:space="preserve"> </w:t>
      </w:r>
      <w:r>
        <w:rPr>
          <w:bCs/>
          <w:b/>
        </w:rPr>
        <w:t xml:space="preserve">Coherencia del crecimiento NTM con el tope del 60 %.</w:t>
      </w:r>
      <w:r>
        <w:t xml:space="preserve"> </w:t>
      </w:r>
      <w:r>
        <w:t xml:space="preserve">Cuando la empresa crece más del 60 % y</w:t>
      </w:r>
      <w:r>
        <w:t xml:space="preserve"> </w:t>
      </w:r>
      <w:r>
        <w:rPr>
          <w:rStyle w:val="VerbatimChar"/>
        </w:rPr>
        <w:t xml:space="preserve">crecimiento_actual_pct</w:t>
      </w:r>
      <w:r>
        <w:t xml:space="preserve"> </w:t>
      </w:r>
      <w:r>
        <w:t xml:space="preserve">lleva el dato real (aquí el 107 %), el motor divide el EV por las ventas NTM reales (múltiplo bajo, 9,4x). Luego aplica ese múltiplo, rebajado un 30 % por la desaceleración, a unas ventas objetivo que ya parten del tope del 60 % (2.748 M, por debajo del consenso y casi al ritmo anual de hoy). Es una doble penalización. Si se deja vacío, pasa lo contrario: el múltiplo sube a 12,1x y la señal salta a Mantener (+5,7 %). Propuesta: con crecimientos de más del 60 %, que las ventas mecánicas no queden por debajo de las ventas NTM más un año de crecimiento del 60 % decayendo, y que la rebaja del múltiplo se mida desde el crecimiento de partida usado en la proyección (g1), no desde el NTM real. Alerta sugerida: «ventas base mecánicas &lt; 0,85 × consenso con crecimiento &gt; 60 %». El backtest tiene pocos casos de lanzamiento (Moderna o Tesla 2019 servirían de prueba).</w:t>
      </w:r>
      <w:r>
        <w:t xml:space="preserve"> </w:t>
      </w:r>
      <w:r>
        <w:t xml:space="preserve">2.</w:t>
      </w:r>
      <w:r>
        <w:t xml:space="preserve"> </w:t>
      </w:r>
      <w:r>
        <w:rPr>
          <w:bCs/>
          <w:b/>
        </w:rPr>
        <w:t xml:space="preserve">Pista con la quema que viene, cuando hay inflexión.</w:t>
      </w:r>
      <w:r>
        <w:t xml:space="preserve"> </w:t>
      </w:r>
      <w:r>
        <w:t xml:space="preserve">El método resta la quema de 12 meses (−808 M), que incluye trimestres de antes del lanzamiento, cuando la del 2T26 ya es de −95 M y la empresa promete flujo positivo en 2027. Propuesta: si la señal 5 está en «sí» y la empresa da una guía de flujo, que la pista use el mínimo entre la quema de 12 meses y la del último trimestre × 4 (aquí 380 M → pista de 37 meses). Aquí no cambia la señal (ponderada −28 %), pero en otros casos podría cerrar o abrir un Comprar por la regla de los 24 meses.</w:t>
      </w:r>
    </w:p>
    <w:bookmarkEnd w:id="33"/>
    <w:bookmarkStart w:id="34" w:name="fuentes"/>
    <w:p>
      <w:pPr>
        <w:pStyle w:val="Heading2"/>
      </w:pPr>
      <w:r>
        <w:t xml:space="preserve">Fuentes</w:t>
      </w:r>
    </w:p>
    <w:p>
      <w:pPr>
        <w:pStyle w:val="FirstParagraph"/>
      </w:pPr>
      <w:r>
        <w:t xml:space="preserve">[1] Insmed, 8-K del 6-ago-2026, anexo 99.1, resultados del 2T26 y guía 2026 (SEC).</w:t>
      </w:r>
      <w:r>
        <w:t xml:space="preserve"> </w:t>
      </w:r>
      <w:r>
        <w:t xml:space="preserve">[2] Insmed, 10-Q del 2T26 (6-ago-2026, SEC): balance, deuda, financiación de regalías, contraprestación contingente, flujos, pagos en acciones, clientes y opciones.</w:t>
      </w:r>
      <w:r>
        <w:t xml:space="preserve"> </w:t>
      </w:r>
      <w:r>
        <w:t xml:space="preserve">[3] SEC, XBRL companyfacts de Insmed (CIK 1104506): ventas trimestrales 2023-2026, coste de ventas, flujo de operaciones, inversiones, pagos en acciones y acciones en circulación.</w:t>
      </w:r>
      <w:r>
        <w:t xml:space="preserve"> </w:t>
      </w:r>
      <w:r>
        <w:t xml:space="preserve">[4] Insmed, 8-K del 5-oct-2026 (SEC): salida de la directora financiera, guía reafirmada, resultados del 3T el 29-oct, «flujo de caja positivo el año que viene».</w:t>
      </w:r>
      <w:r>
        <w:t xml:space="preserve"> </w:t>
      </w:r>
      <w:r>
        <w:t xml:space="preserve">[5] Insmed, 8-K del 16-jul-2026 (SEC): datos a 12 meses de TPIP en HAP.</w:t>
      </w:r>
      <w:r>
        <w:t xml:space="preserve"> </w:t>
      </w:r>
      <w:r>
        <w:t xml:space="preserve">[6] Insmed, 10-K de 2025 (19-feb-2026, SEC): opciones y patentes de brensocatib.</w:t>
      </w:r>
      <w:r>
        <w:t xml:space="preserve"> </w:t>
      </w:r>
      <w:r>
        <w:t xml:space="preserve">[7] Yahoo Finance chart API (INSM, ^NDX, XBI) y Nasdaq.com (histórico): cierre del 13-oct de 96,79 USD en las dos; intradía de 97,29 USD a las 17:44 UTC del 14-oct.</w:t>
      </w:r>
      <w:r>
        <w:t xml:space="preserve"> </w:t>
      </w:r>
      <w:r>
        <w:t xml:space="preserve">[8] Conferencia del 2T26 (Yahoo Finance, Motley Fool, Investing.com, StockAnalysis): pacientes nuevos, prescriptores, bruto-neto, pagadores, flujo de caja en 2027.</w:t>
      </w:r>
      <w:r>
        <w:t xml:space="preserve"> </w:t>
      </w:r>
      <w:r>
        <w:t xml:space="preserve">[9] MarketScreener: consenso de ventas, EBITDA, FCF y caja 2026-2028; objetivo medio; rebaja de Wolfe (12-oct).</w:t>
      </w:r>
      <w:r>
        <w:t xml:space="preserve"> </w:t>
      </w:r>
      <w:r>
        <w:t xml:space="preserve">[10] Yahoo Finance (estimaciones y tendencia del BPA) y StockAnalysis (objetivos y recomendaciones, 24 analistas).</w:t>
      </w:r>
      <w:r>
        <w:t xml:space="preserve"> </w:t>
      </w:r>
      <w:r>
        <w:t xml:space="preserve">[11] Investing.com (5 y 8-oct-2026): caída por la directora financiera; UBS, Mizuho, BMO y Goldman; revisión prioritaria de Arikayce.</w:t>
      </w:r>
      <w:r>
        <w:t xml:space="preserve"> </w:t>
      </w:r>
      <w:r>
        <w:t xml:space="preserve">[12] Goldesel.de y Tickeron: rebaja de Wolfe Research y reiteraciones de Morgan Stanley, RBC, H.C. Wainwright, BofA y BMO.</w:t>
      </w:r>
      <w:r>
        <w:t xml:space="preserve"> </w:t>
      </w:r>
      <w:r>
        <w:t xml:space="preserve">[13] Investing.com, Tickeron, GuruFocus y Yahoo Finance: caída del 1T26 (7-may), rumor del 5-jun, Truist (13-may) y Mizuho (15-jun).</w:t>
      </w:r>
      <w:r>
        <w:t xml:space="preserve"> </w:t>
      </w:r>
      <w:r>
        <w:t xml:space="preserve">[14] Clinical Trials Arena y Yahoo Finance (7-abr-2026): fracaso de CEDAR en hidradenitis; Fierce Pharma y BioCentury: fracaso de BiRCh (dic-2025).</w:t>
      </w:r>
      <w:r>
        <w:t xml:space="preserve"> </w:t>
      </w:r>
      <w:r>
        <w:t xml:space="preserve">[15] Clinical Trials Arena (ATS 2026), pharmaphorum y DelveInsight: verducatib, HSK31858 y otros DPP1.</w:t>
      </w:r>
      <w:r>
        <w:t xml:space="preserve"> </w:t>
      </w:r>
      <w:r>
        <w:t xml:space="preserve">[16] BioPharma Dive y Fierce Pharma (ago-2025): precio de lista, bruto-neto, ~500.000 pacientes en EE. UU.; ficha de precios de Vermont de Insmed.</w:t>
      </w:r>
      <w:r>
        <w:t xml:space="preserve"> </w:t>
      </w:r>
      <w:r>
        <w:t xml:space="preserve">[17] Barchart y Finviz (24-ago-2026): aprobación en Japón.</w:t>
      </w:r>
      <w:r>
        <w:t xml:space="preserve"> </w:t>
      </w:r>
      <w:r>
        <w:t xml:space="preserve">[18] MarketBeat (13-oct-2026): medias de 50 y 200 sesiones, rango de 12 meses, ventas de directivos y opciones.</w:t>
      </w:r>
      <w:r>
        <w:t xml:space="preserve"> </w:t>
      </w:r>
      <w:r>
        <w:t xml:space="preserve">[19] StockTwits (API pública, 14-oct); Reddit bloqueado (403); Seeking Alpha y foros en castellano sin hilos recientes.</w:t>
      </w:r>
      <w:r>
        <w:t xml:space="preserve"> </w:t>
      </w:r>
      <w:r>
        <w:t xml:space="preserve">[20] Estimación propia: mercado alcanzable, múltiplos históricos al cierre de cada trimestre y comparables (Alnylam, United Therapeutics y Madrigal, DE MEMORIA).</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2026-10-14T21:41:45Z</dcterms:created>
  <dcterms:modified xsi:type="dcterms:W3CDTF">2026-10-14T21:41:45Z</dcterms:modified>
</cp:coreProperties>
</file>

<file path=docProps/custom.xml><?xml version="1.0" encoding="utf-8"?>
<Properties xmlns="http://schemas.openxmlformats.org/officeDocument/2006/custom-properties" xmlns:vt="http://schemas.openxmlformats.org/officeDocument/2006/docPropsVTypes"/>
</file>