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cf5e0a33c1837a96af8a1fb9f5252b8d5af6b18"/>
    <w:p>
      <w:pPr>
        <w:pStyle w:val="Heading1"/>
      </w:pPr>
      <w:r>
        <w:t xml:space="preserve">Kratos Defense &amp; Security Solutions (KTOS): análisis growth, 14-oct-2026</w:t>
      </w:r>
    </w:p>
    <w:p>
      <w:pPr>
        <w:pStyle w:val="FirstParagraph"/>
      </w:pPr>
      <w:r>
        <w:rPr>
          <w:bCs/>
          <w:b/>
        </w:rPr>
        <w:t xml:space="preserve">Señal (método v11, vigente): Vender / no comprar</w:t>
      </w:r>
      <w:r>
        <w:t xml:space="preserve"> </w:t>
      </w:r>
      <w:r>
        <w:t xml:space="preserve">· Puntuación 40,8 sobre 100 · Señales de cambio de tendencia: 1 de 8 · EV/beneficio bruto 14,2x · EV/EBITDA de los 12 meses siguientes 32,0x</w:t>
      </w:r>
    </w:p>
    <w:p>
      <w:pPr>
        <w:numPr>
          <w:ilvl w:val="0"/>
          <w:numId w:val="1001"/>
        </w:numPr>
        <w:pStyle w:val="Compact"/>
      </w:pPr>
      <w:r>
        <w:t xml:space="preserve">Precio: 40,35 USD (cierre del 13-oct).</w:t>
      </w:r>
    </w:p>
    <w:p>
      <w:pPr>
        <w:numPr>
          <w:ilvl w:val="0"/>
          <w:numId w:val="1001"/>
        </w:numPr>
        <w:pStyle w:val="Compact"/>
      </w:pPr>
      <w:r>
        <w:t xml:space="preserve">Objetivo a 12 meses: 33,6 USD.</w:t>
      </w:r>
    </w:p>
    <w:p>
      <w:pPr>
        <w:numPr>
          <w:ilvl w:val="0"/>
          <w:numId w:val="1001"/>
        </w:numPr>
        <w:pStyle w:val="Compact"/>
      </w:pPr>
      <w:r>
        <w:t xml:space="preserve">Rentabilidad ponderada: −16,9 %.</w:t>
      </w:r>
    </w:p>
    <w:p>
      <w:pPr>
        <w:numPr>
          <w:ilvl w:val="0"/>
          <w:numId w:val="1001"/>
        </w:numPr>
        <w:pStyle w:val="Compact"/>
      </w:pPr>
      <w:r>
        <w:t xml:space="preserve">Escenario base: −14,9 %.</w:t>
      </w:r>
    </w:p>
    <w:p>
      <w:pPr>
        <w:numPr>
          <w:ilvl w:val="0"/>
          <w:numId w:val="1001"/>
        </w:numPr>
        <w:pStyle w:val="Compact"/>
      </w:pPr>
      <w:r>
        <w:t xml:space="preserve">Escenario bajista: −48,8 %.</w:t>
      </w:r>
    </w:p>
    <w:p>
      <w:pPr>
        <w:numPr>
          <w:ilvl w:val="0"/>
          <w:numId w:val="1001"/>
        </w:numPr>
        <w:pStyle w:val="Compact"/>
      </w:pPr>
      <w:r>
        <w:t xml:space="preserve">Escenario alcista: +11,3 %.</w:t>
      </w:r>
    </w:p>
    <w:p>
      <w:pPr>
        <w:numPr>
          <w:ilvl w:val="0"/>
          <w:numId w:val="1001"/>
        </w:numPr>
        <w:pStyle w:val="Compact"/>
      </w:pPr>
      <w:r>
        <w:t xml:space="preserve">Compra hasta: 32,0 USD (no aplica: la puntuación no llega al mínimo).</w:t>
      </w:r>
    </w:p>
    <w:p>
      <w:pPr>
        <w:numPr>
          <w:ilvl w:val="0"/>
          <w:numId w:val="1001"/>
        </w:numPr>
        <w:pStyle w:val="Compact"/>
      </w:pPr>
      <w:r>
        <w:t xml:space="preserve">Peso orientativo: no entra.</w:t>
      </w:r>
    </w:p>
    <w:p>
      <w:pPr>
        <w:numPr>
          <w:ilvl w:val="0"/>
          <w:numId w:val="1001"/>
        </w:numPr>
        <w:pStyle w:val="Compact"/>
      </w:pPr>
      <w:r>
        <w:t xml:space="preserve">Método v9 como referencia: da lo mismo, Vender con −16,9 % de ponderada. Las ventas del propio informe son más altas que las de la regla, así que v11 usa las de la regla, igual que v9.</w:t>
      </w:r>
    </w:p>
    <w:p>
      <w:pPr>
        <w:numPr>
          <w:ilvl w:val="0"/>
          <w:numId w:val="1001"/>
        </w:numPr>
        <w:pStyle w:val="Compact"/>
      </w:pPr>
      <w:r>
        <w:t xml:space="preserve">Método v12 (candidata, con el crecimiento orgánico): también lo mismo, −16,9 %, porque las ventas de partida ya incluyen el año entero de las compras.</w:t>
      </w:r>
    </w:p>
    <w:p>
      <w:pPr>
        <w:numPr>
          <w:ilvl w:val="0"/>
          <w:numId w:val="1001"/>
        </w:numPr>
        <w:pStyle w:val="Compact"/>
      </w:pPr>
      <w:r>
        <w:t xml:space="preserve">Al precio actual (39,25 USD a las 18:34 UTC del 14-oct, con el objetivo del informe fijo): ponderada −14,4 %. Sigue siendo Vender.</w:t>
      </w:r>
    </w:p>
    <w:p>
      <w:pPr>
        <w:numPr>
          <w:ilvl w:val="0"/>
          <w:numId w:val="1001"/>
        </w:numPr>
        <w:pStyle w:val="Compact"/>
      </w:pPr>
      <w:r>
        <w:t xml:space="preserve">Alertas de robustez del motor: una (exceso sobre la guía de 10,6 puntos). Prueba</w:t>
      </w:r>
      <w:r>
        <w:t xml:space="preserve"> </w:t>
      </w:r>
      <w:r>
        <w:rPr>
          <w:rStyle w:val="VerbatimChar"/>
        </w:rPr>
        <w:t xml:space="preserve">robustez-growth</w:t>
      </w:r>
      <w:r>
        <w:t xml:space="preserve">:</w:t>
      </w:r>
      <w:r>
        <w:t xml:space="preserve"> </w:t>
      </w:r>
      <w:r>
        <w:rPr>
          <w:bCs/>
          <w:b/>
        </w:rPr>
        <w:t xml:space="preserve">FRÁGIL</w:t>
      </w:r>
      <w:r>
        <w:t xml:space="preserve"> </w:t>
      </w:r>
      <w:r>
        <w:t xml:space="preserve">en la cifra, pero la señal robusta es</w:t>
      </w:r>
      <w:r>
        <w:t xml:space="preserve"> </w:t>
      </w:r>
      <w:r>
        <w:rPr>
          <w:bCs/>
          <w:b/>
        </w:rPr>
        <w:t xml:space="preserve">no comprar</w:t>
      </w:r>
      <w:r>
        <w:t xml:space="preserve"> </w:t>
      </w:r>
      <w:r>
        <w:t xml:space="preserve">en todas las variantes (sección 11).</w:t>
      </w:r>
    </w:p>
    <w:p>
      <w:pPr>
        <w:numPr>
          <w:ilvl w:val="0"/>
          <w:numId w:val="1001"/>
        </w:numPr>
        <w:pStyle w:val="Compact"/>
      </w:pPr>
      <w:r>
        <w:t xml:space="preserve">Subida en 12 meses: −58 %. No hay euforia: es lo contrario.</w:t>
      </w:r>
    </w:p>
    <w:bookmarkStart w:id="20" w:name="la-tesis-en-cinco-líneas"/>
    <w:p>
      <w:pPr>
        <w:pStyle w:val="Heading2"/>
      </w:pPr>
      <w:r>
        <w:t xml:space="preserve">1. La tesis en cinco líneas</w:t>
      </w:r>
    </w:p>
    <w:p>
      <w:pPr>
        <w:numPr>
          <w:ilvl w:val="0"/>
          <w:numId w:val="1002"/>
        </w:numPr>
        <w:pStyle w:val="Compact"/>
      </w:pPr>
      <w:r>
        <w:t xml:space="preserve">Kratos fabrica drones a reacción (el Valkyrie, el XQ-58, y drones diana), motores pequeños de reacción para misiles de crucero, cohetes y vehículos hipersónicos de prueba, electrónica de microondas, sistemas de tierra para satélites y equipos de defensa aérea [1].</w:t>
      </w:r>
    </w:p>
    <w:p>
      <w:pPr>
        <w:numPr>
          <w:ilvl w:val="0"/>
          <w:numId w:val="1002"/>
        </w:numPr>
        <w:pStyle w:val="Compact"/>
      </w:pPr>
      <w:r>
        <w:rPr>
          <w:bCs/>
          <w:b/>
        </w:rPr>
        <w:t xml:space="preserve">El crecimiento es real, pero menos del que se publica.</w:t>
      </w:r>
      <w:r>
        <w:t xml:space="preserve"> </w:t>
      </w:r>
      <w:r>
        <w:t xml:space="preserve">Las ventas de los 12 meses suben un 25,5 %, pero unos 6 puntos vienen de dos compras de 2026 (Nomad y Orbit). Sin compras, el crecimiento es de un 19,5 % en 12 meses y de un 19,1 % en el último trimestre: bueno y estable, sin aceleración [1][5].</w:t>
      </w:r>
    </w:p>
    <w:p>
      <w:pPr>
        <w:numPr>
          <w:ilvl w:val="0"/>
          <w:numId w:val="1002"/>
        </w:numPr>
        <w:pStyle w:val="Compact"/>
      </w:pPr>
      <w:r>
        <w:rPr>
          <w:bCs/>
          <w:b/>
        </w:rPr>
        <w:t xml:space="preserve">La dilución es la mayor de las tres empresas comparadas.</w:t>
      </w:r>
      <w:r>
        <w:t xml:space="preserve"> </w:t>
      </w:r>
      <w:r>
        <w:t xml:space="preserve">En 12 meses hay un 11,5 % más de acciones, y en dos años, un 25 % más: dos ampliaciones de capital (575 M USD a 38,50 USD en junio de 2025 y 1.380 M USD a 84 USD en febrero de 2026). Las ventas por acción solo crecen un 9 % en dos años [5].</w:t>
      </w:r>
    </w:p>
    <w:p>
      <w:pPr>
        <w:numPr>
          <w:ilvl w:val="0"/>
          <w:numId w:val="1002"/>
        </w:numPr>
        <w:pStyle w:val="Compact"/>
      </w:pPr>
      <w:r>
        <w:rPr>
          <w:bCs/>
          <w:b/>
        </w:rPr>
        <w:t xml:space="preserve">El margen es bajo y el dinero sale.</w:t>
      </w:r>
      <w:r>
        <w:t xml:space="preserve"> </w:t>
      </w:r>
      <w:r>
        <w:t xml:space="preserve">Margen bruto del 23 %, margen EBITDA ajustado del 8-10 %, pérdida operativa contable en el último trimestre y caja libre negativa (−103 M en 12 meses), porque invierte en fábricas antes de tener los contratos [1].</w:t>
      </w:r>
    </w:p>
    <w:p>
      <w:pPr>
        <w:numPr>
          <w:ilvl w:val="0"/>
          <w:numId w:val="1002"/>
        </w:numPr>
        <w:pStyle w:val="Compact"/>
      </w:pPr>
      <w:r>
        <w:t xml:space="preserve">La acción ha caído un 70 % desde el máximo de enero (134 USD) y aun así cotiza a 32 veces el EBITDA, su mediana de 3 años. El método da</w:t>
      </w:r>
      <w:r>
        <w:t xml:space="preserve"> </w:t>
      </w:r>
      <w:r>
        <w:rPr>
          <w:bCs/>
          <w:b/>
        </w:rPr>
        <w:t xml:space="preserve">Vender / no comprar</w:t>
      </w:r>
      <w:r>
        <w:t xml:space="preserve">: puntuación de 40,8 (el mínimo para comprar es 60) y, aunque el múltiplo aguante, la dilución y el frenazo previsto dejan el escenario base por debajo del precio de hoy.</w:t>
      </w:r>
    </w:p>
    <w:bookmarkEnd w:id="20"/>
    <w:bookmarkStart w:id="21" w:name="negocio-y-tecnología"/>
    <w:p>
      <w:pPr>
        <w:pStyle w:val="Heading2"/>
      </w:pPr>
      <w:r>
        <w:t xml:space="preserve">2. Negocio y tecnología</w:t>
      </w:r>
    </w:p>
    <w:p>
      <w:pPr>
        <w:pStyle w:val="FirstParagraph"/>
      </w:pPr>
      <w:r>
        <w:t xml:space="preserve">Dos segmentos [1][5]:</w:t>
      </w:r>
      <w:r>
        <w:t xml:space="preserve"> </w:t>
      </w:r>
      <w:r>
        <w:t xml:space="preserve">-</w:t>
      </w:r>
      <w:r>
        <w:t xml:space="preserve"> </w:t>
      </w:r>
      <w:r>
        <w:rPr>
          <w:bCs/>
          <w:b/>
        </w:rPr>
        <w:t xml:space="preserve">KGS, soluciones de gobierno (83 % de las ventas del 2T26)</w:t>
      </w:r>
      <w:r>
        <w:t xml:space="preserve">: cohetes y vehículos hipersónicos de prueba (el programa MACH-TB, con orgánico del +50 % en el 2T26), motores de turbina pequeños (+43 %; el GEK800 es segunda fuente del misil JASSM y la empresa planea 3.000 motores en 2027), electrónica de microondas en EE. UU. e Israel (+30 %), satélites (software OpenSpace para estaciones de tierra), formación y ciberseguridad. Desde 2026 incluye Nomad (centros de mando móviles) y Orbit (antenas de comunicación por satélite, Israel).</w:t>
      </w:r>
      <w:r>
        <w:t xml:space="preserve"> </w:t>
      </w:r>
      <w:r>
        <w:t xml:space="preserve">-</w:t>
      </w:r>
      <w:r>
        <w:t xml:space="preserve"> </w:t>
      </w:r>
      <w:r>
        <w:rPr>
          <w:bCs/>
          <w:b/>
        </w:rPr>
        <w:t xml:space="preserve">KUS, sistemas no tripulados (17 %)</w:t>
      </w:r>
      <w:r>
        <w:t xml:space="preserve">: drones diana para pruebas de misiles y el</w:t>
      </w:r>
      <w:r>
        <w:t xml:space="preserve"> </w:t>
      </w:r>
      <w:r>
        <w:rPr>
          <w:bCs/>
          <w:b/>
        </w:rPr>
        <w:t xml:space="preserve">Valkyrie</w:t>
      </w:r>
      <w:r>
        <w:t xml:space="preserve">, un dron de combate barato que vuela junto a cazas. Los Marines lo han elegido para su programa MUX TACAIR con Northrop Grumman (contrato de 231,5 M) y Airbus lo adapta para Alemania. La empresa planea fabricar ~40 al año desde 2028 [1][19].</w:t>
      </w:r>
    </w:p>
    <w:p>
      <w:pPr>
        <w:pStyle w:val="BodyText"/>
      </w:pPr>
      <w:r>
        <w:t xml:space="preserve">Qué tiene de nuevo: invierte su propio dinero antes que el cliente («la asequibilidad es una tecnología»), y por eso llega primero con productos baratos que se pueden fabricar en serie: drones de combate, motores pequeños y vuelos hipersónicos de prueba.</w:t>
      </w:r>
      <w:r>
        <w:t xml:space="preserve"> </w:t>
      </w:r>
      <w:r>
        <w:rPr>
          <w:bCs/>
          <w:b/>
        </w:rPr>
        <w:t xml:space="preserve">Tecnología 4/5</w:t>
      </w:r>
      <w:r>
        <w:t xml:space="preserve">: propia y probada (el Valkyrie vuela desde 2019; es de los pocos con capacidad de pruebas hipersónicas frecuentes), pero en drones de combate Anduril y General Atomics se quedaron el programa grande de la Fuerza Aérea (CCA) [14].</w:t>
      </w:r>
    </w:p>
    <w:bookmarkEnd w:id="21"/>
    <w:bookmarkStart w:id="22" w:name="X634791f1281be792a1e8e71ad74f373cc83acba"/>
    <w:p>
      <w:pPr>
        <w:pStyle w:val="Heading2"/>
      </w:pPr>
      <w:r>
        <w:t xml:space="preserve">3. Crecimiento (separando el orgánico de las compras)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Periodo</w:t>
            </w:r>
          </w:p>
        </w:tc>
        <w:tc>
          <w:tcPr/>
          <w:p>
            <w:pPr>
              <w:pStyle w:val="Compact"/>
              <w:jc w:val="left"/>
            </w:pPr>
            <w:r>
              <w:t xml:space="preserve">Ventas publicadas (M USD)</w:t>
            </w:r>
          </w:p>
        </w:tc>
        <w:tc>
          <w:tcPr/>
          <w:p>
            <w:pPr>
              <w:pStyle w:val="Compact"/>
              <w:jc w:val="left"/>
            </w:pPr>
            <w:r>
              <w:t xml:space="preserve">Crecimiento publicado</w:t>
            </w:r>
          </w:p>
        </w:tc>
        <w:tc>
          <w:tcPr/>
          <w:p>
            <w:pPr>
              <w:pStyle w:val="Compact"/>
              <w:jc w:val="left"/>
            </w:pPr>
            <w:r>
              <w:t xml:space="preserve">Crecimiento orgánico (sin compras)</w:t>
            </w:r>
          </w:p>
        </w:tc>
        <w:tc>
          <w:tcPr/>
          <w:p>
            <w:pPr>
              <w:pStyle w:val="Compact"/>
              <w:jc w:val="left"/>
            </w:pPr>
            <w:r>
              <w:t xml:space="preserve">Fuente</w:t>
            </w:r>
          </w:p>
        </w:tc>
      </w:tr>
      <w:tr>
        <w:tc>
          <w:tcPr/>
          <w:p>
            <w:pPr>
              <w:pStyle w:val="Compact"/>
              <w:jc w:val="left"/>
            </w:pPr>
            <w:r>
              <w:t xml:space="preserve">2024</w:t>
            </w:r>
          </w:p>
        </w:tc>
        <w:tc>
          <w:tcPr/>
          <w:p>
            <w:pPr>
              <w:pStyle w:val="Compact"/>
              <w:jc w:val="left"/>
            </w:pPr>
            <w:r>
              <w:t xml:space="preserve">1.136,3</w:t>
            </w:r>
          </w:p>
        </w:tc>
        <w:tc>
          <w:tcPr/>
          <w:p>
            <w:pPr>
              <w:pStyle w:val="Compact"/>
              <w:jc w:val="left"/>
            </w:pPr>
            <w:r>
              <w:t xml:space="preserve">+9,6 %</w:t>
            </w:r>
          </w:p>
        </w:tc>
        <w:tc>
          <w:tcPr/>
          <w:p>
            <w:pPr>
              <w:pStyle w:val="Compact"/>
              <w:jc w:val="left"/>
            </w:pPr>
            <w:r>
              <w:t xml:space="preserve">~+9 %</w:t>
            </w:r>
          </w:p>
        </w:tc>
        <w:tc>
          <w:tcPr/>
          <w:p>
            <w:pPr>
              <w:pStyle w:val="Compact"/>
              <w:jc w:val="left"/>
            </w:pPr>
            <w:r>
              <w:t xml:space="preserve">[4][5]</w:t>
            </w:r>
          </w:p>
        </w:tc>
      </w:tr>
      <w:tr>
        <w:tc>
          <w:tcPr/>
          <w:p>
            <w:pPr>
              <w:pStyle w:val="Compact"/>
              <w:jc w:val="left"/>
            </w:pPr>
            <w:r>
              <w:t xml:space="preserve">2025</w:t>
            </w:r>
          </w:p>
        </w:tc>
        <w:tc>
          <w:tcPr/>
          <w:p>
            <w:pPr>
              <w:pStyle w:val="Compact"/>
              <w:jc w:val="left"/>
            </w:pPr>
            <w:r>
              <w:t xml:space="preserve">1.346,8</w:t>
            </w:r>
          </w:p>
        </w:tc>
        <w:tc>
          <w:tcPr/>
          <w:p>
            <w:pPr>
              <w:pStyle w:val="Compact"/>
              <w:jc w:val="left"/>
            </w:pPr>
            <w:r>
              <w:t xml:space="preserve">+18,5 %</w:t>
            </w:r>
          </w:p>
        </w:tc>
        <w:tc>
          <w:tcPr/>
          <w:p>
            <w:pPr>
              <w:pStyle w:val="Compact"/>
              <w:jc w:val="left"/>
            </w:pPr>
            <w:r>
              <w:t xml:space="preserve">+16,6 %</w:t>
            </w:r>
          </w:p>
        </w:tc>
        <w:tc>
          <w:tcPr/>
          <w:p>
            <w:pPr>
              <w:pStyle w:val="Compact"/>
              <w:jc w:val="left"/>
            </w:pPr>
            <w:r>
              <w:t xml:space="preserve">[4]</w:t>
            </w:r>
          </w:p>
        </w:tc>
      </w:tr>
      <w:tr>
        <w:tc>
          <w:tcPr/>
          <w:p>
            <w:pPr>
              <w:pStyle w:val="Compact"/>
              <w:jc w:val="left"/>
            </w:pPr>
            <w:r>
              <w:t xml:space="preserve">2T25</w:t>
            </w:r>
          </w:p>
        </w:tc>
        <w:tc>
          <w:tcPr/>
          <w:p>
            <w:pPr>
              <w:pStyle w:val="Compact"/>
              <w:jc w:val="left"/>
            </w:pPr>
            <w:r>
              <w:t xml:space="preserve">351,5</w:t>
            </w:r>
          </w:p>
        </w:tc>
        <w:tc>
          <w:tcPr/>
          <w:p>
            <w:pPr>
              <w:pStyle w:val="Compact"/>
              <w:jc w:val="left"/>
            </w:pPr>
            <w:r>
              <w:t xml:space="preserve">+17,1 %</w:t>
            </w:r>
          </w:p>
        </w:tc>
        <w:tc>
          <w:tcPr/>
          <w:p>
            <w:pPr>
              <w:pStyle w:val="Compact"/>
              <w:jc w:val="left"/>
            </w:pPr>
            <w:r>
              <w:t xml:space="preserve">+15,2 %</w:t>
            </w:r>
          </w:p>
        </w:tc>
        <w:tc>
          <w:tcPr/>
          <w:p>
            <w:pPr>
              <w:pStyle w:val="Compact"/>
              <w:jc w:val="left"/>
            </w:pPr>
            <w:r>
              <w:t xml:space="preserve">[2]</w:t>
            </w:r>
          </w:p>
        </w:tc>
      </w:tr>
      <w:tr>
        <w:tc>
          <w:tcPr/>
          <w:p>
            <w:pPr>
              <w:pStyle w:val="Compact"/>
              <w:jc w:val="left"/>
            </w:pPr>
            <w:r>
              <w:t xml:space="preserve">3T25</w:t>
            </w:r>
          </w:p>
        </w:tc>
        <w:tc>
          <w:tcPr/>
          <w:p>
            <w:pPr>
              <w:pStyle w:val="Compact"/>
              <w:jc w:val="left"/>
            </w:pPr>
            <w:r>
              <w:t xml:space="preserve">347,6</w:t>
            </w:r>
          </w:p>
        </w:tc>
        <w:tc>
          <w:tcPr/>
          <w:p>
            <w:pPr>
              <w:pStyle w:val="Compact"/>
              <w:jc w:val="left"/>
            </w:pPr>
            <w:r>
              <w:t xml:space="preserve">+26,0 %</w:t>
            </w:r>
          </w:p>
        </w:tc>
        <w:tc>
          <w:tcPr/>
          <w:p>
            <w:pPr>
              <w:pStyle w:val="Compact"/>
              <w:jc w:val="left"/>
            </w:pPr>
            <w:r>
              <w:t xml:space="preserve">+23,7 %</w:t>
            </w:r>
          </w:p>
        </w:tc>
        <w:tc>
          <w:tcPr/>
          <w:p>
            <w:pPr>
              <w:pStyle w:val="Compact"/>
              <w:jc w:val="left"/>
            </w:pPr>
            <w:r>
              <w:t xml:space="preserve">[3]</w:t>
            </w:r>
          </w:p>
        </w:tc>
      </w:tr>
      <w:tr>
        <w:tc>
          <w:tcPr/>
          <w:p>
            <w:pPr>
              <w:pStyle w:val="Compact"/>
              <w:jc w:val="left"/>
            </w:pPr>
            <w:r>
              <w:t xml:space="preserve">4T25</w:t>
            </w:r>
          </w:p>
        </w:tc>
        <w:tc>
          <w:tcPr/>
          <w:p>
            <w:pPr>
              <w:pStyle w:val="Compact"/>
              <w:jc w:val="left"/>
            </w:pPr>
            <w:r>
              <w:t xml:space="preserve">345,1</w:t>
            </w:r>
          </w:p>
        </w:tc>
        <w:tc>
          <w:tcPr/>
          <w:p>
            <w:pPr>
              <w:pStyle w:val="Compact"/>
              <w:jc w:val="left"/>
            </w:pPr>
            <w:r>
              <w:t xml:space="preserve">+21,9 %</w:t>
            </w:r>
          </w:p>
        </w:tc>
        <w:tc>
          <w:tcPr/>
          <w:p>
            <w:pPr>
              <w:pStyle w:val="Compact"/>
              <w:jc w:val="left"/>
            </w:pPr>
            <w:r>
              <w:t xml:space="preserve">+20,0 %</w:t>
            </w:r>
          </w:p>
        </w:tc>
        <w:tc>
          <w:tcPr/>
          <w:p>
            <w:pPr>
              <w:pStyle w:val="Compact"/>
              <w:jc w:val="left"/>
            </w:pPr>
            <w:r>
              <w:t xml:space="preserve">[4]</w:t>
            </w:r>
          </w:p>
        </w:tc>
      </w:tr>
      <w:tr>
        <w:tc>
          <w:tcPr/>
          <w:p>
            <w:pPr>
              <w:pStyle w:val="Compact"/>
              <w:jc w:val="left"/>
            </w:pPr>
            <w:r>
              <w:t xml:space="preserve">1T26</w:t>
            </w:r>
          </w:p>
        </w:tc>
        <w:tc>
          <w:tcPr/>
          <w:p>
            <w:pPr>
              <w:pStyle w:val="Compact"/>
              <w:jc w:val="left"/>
            </w:pPr>
            <w:r>
              <w:t xml:space="preserve">371,0</w:t>
            </w:r>
          </w:p>
        </w:tc>
        <w:tc>
          <w:tcPr/>
          <w:p>
            <w:pPr>
              <w:pStyle w:val="Compact"/>
              <w:jc w:val="left"/>
            </w:pPr>
            <w:r>
              <w:t xml:space="preserve">+22,6 %</w:t>
            </w:r>
          </w:p>
        </w:tc>
        <w:tc>
          <w:tcPr/>
          <w:p>
            <w:pPr>
              <w:pStyle w:val="Compact"/>
              <w:jc w:val="left"/>
            </w:pPr>
            <w:r>
              <w:t xml:space="preserve">+15,8 %</w:t>
            </w:r>
          </w:p>
        </w:tc>
        <w:tc>
          <w:tcPr/>
          <w:p>
            <w:pPr>
              <w:pStyle w:val="Compact"/>
              <w:jc w:val="left"/>
            </w:pPr>
            <w:r>
              <w:t xml:space="preserve">[4]</w:t>
            </w:r>
          </w:p>
        </w:tc>
      </w:tr>
      <w:tr>
        <w:tc>
          <w:tcPr/>
          <w:p>
            <w:pPr>
              <w:pStyle w:val="Compact"/>
              <w:jc w:val="left"/>
            </w:pPr>
            <w:r>
              <w:rPr>
                <w:bCs/>
                <w:b/>
              </w:rPr>
              <w:t xml:space="preserve">2T26</w:t>
            </w:r>
          </w:p>
        </w:tc>
        <w:tc>
          <w:tcPr/>
          <w:p>
            <w:pPr>
              <w:pStyle w:val="Compact"/>
              <w:jc w:val="left"/>
            </w:pPr>
            <w:r>
              <w:rPr>
                <w:bCs/>
                <w:b/>
              </w:rPr>
              <w:t xml:space="preserve">458,8</w:t>
            </w:r>
          </w:p>
        </w:tc>
        <w:tc>
          <w:tcPr/>
          <w:p>
            <w:pPr>
              <w:pStyle w:val="Compact"/>
              <w:jc w:val="left"/>
            </w:pPr>
            <w:r>
              <w:rPr>
                <w:bCs/>
                <w:b/>
              </w:rPr>
              <w:t xml:space="preserve">+30,5 %</w:t>
            </w:r>
          </w:p>
        </w:tc>
        <w:tc>
          <w:tcPr/>
          <w:p>
            <w:pPr>
              <w:pStyle w:val="Compact"/>
              <w:jc w:val="left"/>
            </w:pPr>
            <w:r>
              <w:rPr>
                <w:bCs/>
                <w:b/>
              </w:rPr>
              <w:t xml:space="preserve">+19,1 %</w:t>
            </w:r>
            <w:r>
              <w:t xml:space="preserve"> </w:t>
            </w:r>
            <w:r>
              <w:t xml:space="preserve">(las compras aportan 40,2 M)</w:t>
            </w:r>
          </w:p>
        </w:tc>
        <w:tc>
          <w:tcPr/>
          <w:p>
            <w:pPr>
              <w:pStyle w:val="Compact"/>
              <w:jc w:val="left"/>
            </w:pPr>
            <w:r>
              <w:t xml:space="preserve">[1][5]</w:t>
            </w:r>
          </w:p>
        </w:tc>
      </w:tr>
      <w:tr>
        <w:tc>
          <w:tcPr/>
          <w:p>
            <w:pPr>
              <w:pStyle w:val="Compact"/>
              <w:jc w:val="left"/>
            </w:pPr>
            <w:r>
              <w:t xml:space="preserve">Últimos 12 meses (jul-25 a jun-26)</w:t>
            </w:r>
          </w:p>
        </w:tc>
        <w:tc>
          <w:tcPr/>
          <w:p>
            <w:pPr>
              <w:pStyle w:val="Compact"/>
              <w:jc w:val="left"/>
            </w:pPr>
            <w:r>
              <w:t xml:space="preserve">1.522,6</w:t>
            </w:r>
          </w:p>
        </w:tc>
        <w:tc>
          <w:tcPr/>
          <w:p>
            <w:pPr>
              <w:pStyle w:val="Compact"/>
              <w:jc w:val="left"/>
            </w:pPr>
            <w:r>
              <w:t xml:space="preserve">+25,5 %</w:t>
            </w:r>
          </w:p>
        </w:tc>
        <w:tc>
          <w:tcPr/>
          <w:p>
            <w:pPr>
              <w:pStyle w:val="Compact"/>
              <w:jc w:val="left"/>
            </w:pPr>
            <w:r>
              <w:rPr>
                <w:bCs/>
                <w:b/>
              </w:rPr>
              <w:t xml:space="preserve">+19,5 %</w:t>
            </w:r>
            <w:r>
              <w:t xml:space="preserve"> </w:t>
            </w:r>
            <w:r>
              <w:t xml:space="preserve">(cálculo)</w:t>
            </w:r>
          </w:p>
        </w:tc>
        <w:tc>
          <w:tcPr/>
          <w:p>
            <w:pPr>
              <w:pStyle w:val="Compact"/>
              <w:jc w:val="left"/>
            </w:pPr>
            <w:r>
              <w:t xml:space="preserve">[5]</w:t>
            </w:r>
          </w:p>
        </w:tc>
      </w:tr>
      <w:tr>
        <w:tc>
          <w:tcPr/>
          <w:p>
            <w:pPr>
              <w:pStyle w:val="Compact"/>
              <w:jc w:val="left"/>
            </w:pPr>
            <w:r>
              <w:t xml:space="preserve">Guía 2026</w:t>
            </w:r>
          </w:p>
        </w:tc>
        <w:tc>
          <w:tcPr/>
          <w:p>
            <w:pPr>
              <w:pStyle w:val="Compact"/>
              <w:jc w:val="left"/>
            </w:pPr>
            <w:r>
              <w:t xml:space="preserve">1.780 (punto medio)</w:t>
            </w:r>
          </w:p>
        </w:tc>
        <w:tc>
          <w:tcPr/>
          <w:p>
            <w:pPr>
              <w:pStyle w:val="Compact"/>
              <w:jc w:val="left"/>
            </w:pPr>
            <w:r>
              <w:t xml:space="preserve">+32 %</w:t>
            </w:r>
          </w:p>
        </w:tc>
        <w:tc>
          <w:tcPr/>
          <w:p>
            <w:pPr>
              <w:pStyle w:val="Compact"/>
              <w:jc w:val="left"/>
            </w:pPr>
            <w:r>
              <w:t xml:space="preserve">+18-23 %</w:t>
            </w:r>
          </w:p>
        </w:tc>
        <w:tc>
          <w:tcPr/>
          <w:p>
            <w:pPr>
              <w:pStyle w:val="Compact"/>
              <w:jc w:val="left"/>
            </w:pPr>
            <w:r>
              <w:t xml:space="preserve">[1]</w:t>
            </w:r>
          </w:p>
        </w:tc>
      </w:tr>
      <w:tr>
        <w:tc>
          <w:tcPr/>
          <w:p>
            <w:pPr>
              <w:pStyle w:val="Compact"/>
              <w:jc w:val="left"/>
            </w:pPr>
            <w:r>
              <w:t xml:space="preserve">Objetivo preliminar 2027</w:t>
            </w:r>
          </w:p>
        </w:tc>
        <w:tc>
          <w:tcPr/>
          <w:p>
            <w:pPr>
              <w:pStyle w:val="Compact"/>
              <w:jc w:val="left"/>
            </w:pPr>
            <w:r>
              <w:t xml:space="preserve">—</w:t>
            </w:r>
          </w:p>
        </w:tc>
        <w:tc>
          <w:tcPr/>
          <w:p>
            <w:pPr>
              <w:pStyle w:val="Compact"/>
              <w:jc w:val="left"/>
            </w:pPr>
            <w:r>
              <w:t xml:space="preserve">—</w:t>
            </w:r>
          </w:p>
        </w:tc>
        <w:tc>
          <w:tcPr/>
          <w:p>
            <w:pPr>
              <w:pStyle w:val="Compact"/>
              <w:jc w:val="left"/>
            </w:pPr>
            <w:r>
              <w:t xml:space="preserve">+18-23 %</w:t>
            </w:r>
          </w:p>
        </w:tc>
        <w:tc>
          <w:tcPr/>
          <w:p>
            <w:pPr>
              <w:pStyle w:val="Compact"/>
              <w:jc w:val="left"/>
            </w:pPr>
            <w:r>
              <w:t xml:space="preserve">[1][3]</w:t>
            </w:r>
          </w:p>
        </w:tc>
      </w:tr>
      <w:tr>
        <w:tc>
          <w:tcPr/>
          <w:p>
            <w:pPr>
              <w:pStyle w:val="Compact"/>
              <w:jc w:val="left"/>
            </w:pPr>
            <w:r>
              <w:t xml:space="preserve">Consenso 2027</w:t>
            </w:r>
          </w:p>
        </w:tc>
        <w:tc>
          <w:tcPr/>
          <w:p>
            <w:pPr>
              <w:pStyle w:val="Compact"/>
              <w:jc w:val="left"/>
            </w:pPr>
            <w:r>
              <w:t xml:space="preserve">2.220</w:t>
            </w:r>
          </w:p>
        </w:tc>
        <w:tc>
          <w:tcPr/>
          <w:p>
            <w:pPr>
              <w:pStyle w:val="Compact"/>
              <w:jc w:val="left"/>
            </w:pPr>
            <w:r>
              <w:t xml:space="preserve">+24 %</w:t>
            </w:r>
          </w:p>
        </w:tc>
        <w:tc>
          <w:tcPr/>
          <w:p>
            <w:pPr>
              <w:pStyle w:val="Compact"/>
              <w:jc w:val="left"/>
            </w:pPr>
            <w:r>
              <w:t xml:space="preserve">—</w:t>
            </w:r>
          </w:p>
        </w:tc>
        <w:tc>
          <w:tcPr/>
          <w:p>
            <w:pPr>
              <w:pStyle w:val="Compact"/>
              <w:jc w:val="left"/>
            </w:pPr>
            <w:r>
              <w:t xml:space="preserve">[9]</w:t>
            </w:r>
          </w:p>
        </w:tc>
      </w:tr>
    </w:tbl>
    <w:p>
      <w:pPr>
        <w:pStyle w:val="BodyText"/>
      </w:pPr>
      <w:r>
        <w:t xml:space="preserve">Cómo se separa: la empresa publica cada trimestre el crecimiento orgánico, y el 10-Q da las ventas de Nomad (18,8 M) y Orbit (21,4 M) en el 2T26 y las ventas «pro forma», como si las dos compras fueran suyas desde enero de 2025 (2T25: 387,7 M) [5]. Para la valoración uso unas ventas de 12 meses</w:t>
      </w:r>
      <w:r>
        <w:t xml:space="preserve"> </w:t>
      </w:r>
      <w:r>
        <w:rPr>
          <w:bCs/>
          <w:b/>
        </w:rPr>
        <w:t xml:space="preserve">pro forma de ~1.609 M</w:t>
      </w:r>
      <w:r>
        <w:t xml:space="preserve"> </w:t>
      </w:r>
      <w:r>
        <w:t xml:space="preserve">(las publicadas más ~86 M de Nomad y Orbit antes de comprarlas, estimación) y todo el crecimiento en orgánico, igual que en el informe de AeroVironment.</w:t>
      </w:r>
    </w:p>
    <w:p>
      <w:pPr>
        <w:numPr>
          <w:ilvl w:val="0"/>
          <w:numId w:val="1003"/>
        </w:numPr>
        <w:pStyle w:val="Compact"/>
      </w:pPr>
      <w:r>
        <w:rPr>
          <w:bCs/>
          <w:b/>
        </w:rPr>
        <w:t xml:space="preserve">Aceleración: +0,4 puntos</w:t>
      </w:r>
      <w:r>
        <w:t xml:space="preserve"> </w:t>
      </w:r>
      <w:r>
        <w:t xml:space="preserve">sin compras (19,1 % frente a una media de 18,7 % en los cuatro trimestres anteriores). Con compras parece +8,6 puntos, pero eso es efecto de las compras.</w:t>
      </w:r>
    </w:p>
    <w:p>
      <w:pPr>
        <w:numPr>
          <w:ilvl w:val="0"/>
          <w:numId w:val="1003"/>
        </w:numPr>
        <w:pStyle w:val="Compact"/>
      </w:pPr>
      <w:r>
        <w:rPr>
          <w:bCs/>
          <w:b/>
        </w:rPr>
        <w:t xml:space="preserve">Crecimiento propio a 2 años: ~13 % anual</w:t>
      </w:r>
      <w:r>
        <w:t xml:space="preserve"> </w:t>
      </w:r>
      <w:r>
        <w:t xml:space="preserve">sin compras (2024 fue un año flojo, +9 %).</w:t>
      </w:r>
    </w:p>
    <w:p>
      <w:pPr>
        <w:numPr>
          <w:ilvl w:val="0"/>
          <w:numId w:val="1003"/>
        </w:numPr>
        <w:pStyle w:val="Compact"/>
      </w:pPr>
      <w:r>
        <w:rPr>
          <w:bCs/>
          <w:b/>
        </w:rPr>
        <w:t xml:space="preserve">Guía</w:t>
      </w:r>
      <w:r>
        <w:t xml:space="preserve">: trimestral y anual. Para 2026, 1.750-1.810 M (subida dos veces: empezó en 1.595-1.675 M), con un orgánico del 18-23 %; para el 3T26, orgánico del 19-25 %, y para el 4T26, del 19-31 % [1][4]. Para los 12 meses siguientes resulta un</w:t>
      </w:r>
      <w:r>
        <w:t xml:space="preserve"> </w:t>
      </w:r>
      <w:r>
        <w:rPr>
          <w:bCs/>
          <w:b/>
        </w:rPr>
        <w:t xml:space="preserve">+22 % orgánico</w:t>
      </w:r>
      <w:r>
        <w:t xml:space="preserve">. Kratos supera su guía trimestral con holgura: de media</w:t>
      </w:r>
      <w:r>
        <w:t xml:space="preserve"> </w:t>
      </w:r>
      <w:r>
        <w:rPr>
          <w:bCs/>
          <w:b/>
        </w:rPr>
        <w:t xml:space="preserve">10,6 puntos de crecimiento</w:t>
      </w:r>
      <w:r>
        <w:t xml:space="preserve"> </w:t>
      </w:r>
      <w:r>
        <w:t xml:space="preserve">en los últimos cuatro trimestres (en el 2T26, 15 puntos).</w:t>
      </w:r>
    </w:p>
    <w:p>
      <w:pPr>
        <w:numPr>
          <w:ilvl w:val="0"/>
          <w:numId w:val="1003"/>
        </w:numPr>
        <w:pStyle w:val="Compact"/>
      </w:pPr>
      <w:r>
        <w:rPr>
          <w:bCs/>
          <w:b/>
        </w:rPr>
        <w:t xml:space="preserve">Cartera de pedidos</w:t>
      </w:r>
      <w:r>
        <w:t xml:space="preserve">: 2.084 M (1,4 años de ventas), con una relación pedidos/ventas de 1,3 en 12 meses, y 15.000 M en ofertas presentadas [1].</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2028: ~30.000 M USD</w:t>
      </w:r>
      <w:r>
        <w:t xml:space="preserve">, estimación propia: drones de combate y diana, motores pequeños de reacción para misiles de crucero baratos, pruebas y vehículos hipersónicos, microondas para radares y misiles, estaciones de tierra de satélites y defensa aérea, en EE. UU. y aliados.</w:t>
      </w:r>
      <w:r>
        <w:t xml:space="preserve"> </w:t>
      </w:r>
      <w:r>
        <w:rPr>
          <w:bCs/>
          <w:b/>
        </w:rPr>
        <w:t xml:space="preserve">Penetración 5,4 %.</w:t>
      </w:r>
    </w:p>
    <w:p>
      <w:pPr>
        <w:numPr>
          <w:ilvl w:val="0"/>
          <w:numId w:val="1004"/>
        </w:numPr>
        <w:pStyle w:val="Compact"/>
      </w:pPr>
      <w:r>
        <w:rPr>
          <w:bCs/>
          <w:b/>
        </w:rPr>
        <w:t xml:space="preserve">Posición 3/5</w:t>
      </w:r>
      <w:r>
        <w:t xml:space="preserve">: líder en drones diana, en pruebas hipersónicas (MACH-TB) y en motores pequeños baratos; segunda en drones de combate (perdió la primera fase del programa CCA de la Fuerza Aérea frente a Anduril y General Atomics, pero ganó el de los Marines con Northrop) [14][15][19].</w:t>
      </w:r>
    </w:p>
    <w:p>
      <w:pPr>
        <w:numPr>
          <w:ilvl w:val="0"/>
          <w:numId w:val="1004"/>
        </w:numPr>
        <w:pStyle w:val="Compact"/>
      </w:pPr>
      <w:r>
        <w:rPr>
          <w:bCs/>
          <w:b/>
        </w:rPr>
        <w:t xml:space="preserve">Rivales</w:t>
      </w:r>
      <w:r>
        <w:t xml:space="preserve">: Anduril, General Atomics, Boeing (MQ-28) y Northrop en drones de combate; Lockheed, RTX y Northrop en hipersónicos; Williams International y empresas nuevas en motores; L3Harris y otras en microondas y satélites.</w:t>
      </w:r>
    </w:p>
    <w:p>
      <w:pPr>
        <w:numPr>
          <w:ilvl w:val="0"/>
          <w:numId w:val="1004"/>
        </w:numPr>
        <w:pStyle w:val="Compact"/>
      </w:pPr>
      <w:r>
        <w:rPr>
          <w:bCs/>
          <w:b/>
        </w:rPr>
        <w:t xml:space="preserve">Por qué podría ganar</w:t>
      </w:r>
      <w:r>
        <w:t xml:space="preserve">: llega primero con productos baratos, tiene fábricas y caja para invertir, y el Pentágono quiere armas baratas en serie.</w:t>
      </w:r>
      <w:r>
        <w:t xml:space="preserve"> </w:t>
      </w:r>
      <w:r>
        <w:rPr>
          <w:bCs/>
          <w:b/>
        </w:rPr>
        <w:t xml:space="preserve">Por qué podría perder</w:t>
      </w:r>
      <w:r>
        <w:t xml:space="preserve">: el dinero grande de drones de combate va a otros, y en hipersónicos depende de programas de prueba que los grandes contratistas pueden absorber.</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 o 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Las ventas de 2026 suben con la guía, pero los precios objetivo bajan: Goldman de 88 a 77 USD, Jefferies de 80 a 68</w:t>
            </w:r>
          </w:p>
        </w:tc>
        <w:tc>
          <w:tcPr/>
          <w:p>
            <w:pPr>
              <w:pStyle w:val="Compact"/>
              <w:jc w:val="left"/>
            </w:pPr>
            <w:r>
              <w:t xml:space="preserve">[9]</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40,35 USD frente a una media de 67,7 que baja. Mínimo de 52 semanas el 14-oct</w:t>
            </w:r>
          </w:p>
        </w:tc>
        <w:tc>
          <w:tcPr/>
          <w:p>
            <w:pPr>
              <w:pStyle w:val="Compact"/>
              <w:jc w:val="left"/>
            </w:pPr>
            <w:r>
              <w:t xml:space="preserve">[11]</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−45 % frente a +17 % del Nasdaq y −12 % del ETF de defensa ITA</w:t>
            </w:r>
          </w:p>
        </w:tc>
        <w:tc>
          <w:tcPr/>
          <w:p>
            <w:pPr>
              <w:pStyle w:val="Compact"/>
              <w:jc w:val="left"/>
            </w:pPr>
            <w:r>
              <w:t xml:space="preserve">[11]</w:t>
            </w:r>
          </w:p>
        </w:tc>
      </w:tr>
      <w:tr>
        <w:tc>
          <w:tcPr/>
          <w:p>
            <w:pPr>
              <w:pStyle w:val="Compact"/>
              <w:jc w:val="left"/>
            </w:pPr>
            <w:r>
              <w:t xml:space="preserve">4</w:t>
            </w:r>
          </w:p>
        </w:tc>
        <w:tc>
          <w:tcPr/>
          <w:p>
            <w:pPr>
              <w:pStyle w:val="Compact"/>
              <w:jc w:val="left"/>
            </w:pPr>
            <w:r>
              <w:t xml:space="preserve">Mejora del múltiplo ≥ 20 %</w:t>
            </w:r>
          </w:p>
        </w:tc>
        <w:tc>
          <w:tcPr/>
          <w:p>
            <w:pPr>
              <w:pStyle w:val="Compact"/>
              <w:jc w:val="left"/>
            </w:pPr>
            <w:r>
              <w:t xml:space="preserve">No</w:t>
            </w:r>
          </w:p>
        </w:tc>
        <w:tc>
          <w:tcPr/>
          <w:p>
            <w:pPr>
              <w:pStyle w:val="Compact"/>
              <w:jc w:val="left"/>
            </w:pPr>
            <w:r>
              <w:t xml:space="preserve">~32x EBITDA, el mínimo de los 12 meses (desde ~94x en enero)</w:t>
            </w:r>
          </w:p>
        </w:tc>
        <w:tc>
          <w:tcPr/>
          <w:p>
            <w:pPr>
              <w:pStyle w:val="Compact"/>
              <w:jc w:val="left"/>
            </w:pPr>
            <w:r>
              <w:t xml:space="preserve">[12]</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Margen EBITDA ajustado 8,3 % frente a 8,1 %; pérdida operativa contable; caja libre negativa</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ampliación, caja negativa, caída de un Valkyrie en pruebas, paz provisional con Irán</w:t>
            </w:r>
          </w:p>
        </w:tc>
        <w:tc>
          <w:tcPr/>
          <w:p>
            <w:pPr>
              <w:pStyle w:val="Compact"/>
              <w:jc w:val="left"/>
            </w:pPr>
            <w:r>
              <w:t xml:space="preserve">[13][14][15]</w:t>
            </w:r>
          </w:p>
        </w:tc>
      </w:tr>
      <w:tr>
        <w:tc>
          <w:tcPr/>
          <w:p>
            <w:pPr>
              <w:pStyle w:val="Compact"/>
              <w:jc w:val="left"/>
            </w:pPr>
            <w:r>
              <w:t xml:space="preserve">7</w:t>
            </w:r>
          </w:p>
        </w:tc>
        <w:tc>
          <w:tcPr/>
          <w:p>
            <w:pPr>
              <w:pStyle w:val="Compact"/>
              <w:jc w:val="left"/>
            </w:pPr>
            <w:r>
              <w:t xml:space="preserve">Compras de directivos o de inversores de referencia</w:t>
            </w:r>
          </w:p>
        </w:tc>
        <w:tc>
          <w:tcPr/>
          <w:p>
            <w:pPr>
              <w:pStyle w:val="Compact"/>
              <w:jc w:val="left"/>
            </w:pPr>
            <w:r>
              <w:t xml:space="preserve">No</w:t>
            </w:r>
          </w:p>
        </w:tc>
        <w:tc>
          <w:tcPr/>
          <w:p>
            <w:pPr>
              <w:pStyle w:val="Compact"/>
              <w:jc w:val="left"/>
            </w:pPr>
            <w:r>
              <w:t xml:space="preserve">Solo ventas: el consejero delegado vendió ~300.000 acciones a ~64 USD en agosto (~19 M USD); ARK salió en enero</w:t>
            </w:r>
          </w:p>
        </w:tc>
        <w:tc>
          <w:tcPr/>
          <w:p>
            <w:pPr>
              <w:pStyle w:val="Compact"/>
              <w:jc w:val="left"/>
            </w:pPr>
            <w:r>
              <w:t xml:space="preserve">[16][17]</w:t>
            </w:r>
          </w:p>
        </w:tc>
      </w:tr>
      <w:tr>
        <w:tc>
          <w:tcPr/>
          <w:p>
            <w:pPr>
              <w:pStyle w:val="Compact"/>
              <w:jc w:val="left"/>
            </w:pPr>
            <w:r>
              <w:t xml:space="preserve">8</w:t>
            </w:r>
          </w:p>
        </w:tc>
        <w:tc>
          <w:tcPr/>
          <w:p>
            <w:pPr>
              <w:pStyle w:val="Compact"/>
              <w:jc w:val="left"/>
            </w:pPr>
            <w:r>
              <w:t xml:space="preserve">Catalizador nuevo en 6 meses</w:t>
            </w:r>
          </w:p>
        </w:tc>
        <w:tc>
          <w:tcPr/>
          <w:p>
            <w:pPr>
              <w:pStyle w:val="Compact"/>
              <w:jc w:val="left"/>
            </w:pPr>
            <w:r>
              <w:rPr>
                <w:bCs/>
                <w:b/>
              </w:rPr>
              <w:t xml:space="preserve">Sí</w:t>
            </w:r>
          </w:p>
        </w:tc>
        <w:tc>
          <w:tcPr/>
          <w:p>
            <w:pPr>
              <w:pStyle w:val="Compact"/>
              <w:jc w:val="left"/>
            </w:pPr>
            <w:r>
              <w:t xml:space="preserve">Resultados y guía de 2027 en noviembre, programa hipersónico de ~1.000 M esperado antes de fin de año, motores para misiles de crucero, presupuesto de defensa</w:t>
            </w:r>
          </w:p>
        </w:tc>
        <w:tc>
          <w:tcPr/>
          <w:p>
            <w:pPr>
              <w:pStyle w:val="Compact"/>
              <w:jc w:val="left"/>
            </w:pPr>
            <w:r>
              <w:t xml:space="preserve">[1][14]</w:t>
            </w:r>
          </w:p>
        </w:tc>
      </w:tr>
    </w:tbl>
    <w:p>
      <w:pPr>
        <w:pStyle w:val="BodyText"/>
      </w:pPr>
      <w:r>
        <w:rPr>
          <w:bCs/>
          <w:b/>
        </w:rPr>
        <w:t xml:space="preserve">Euforia: no.</w:t>
      </w:r>
      <w:r>
        <w:t xml:space="preserve"> </w:t>
      </w:r>
      <w:r>
        <w:t xml:space="preserve">La acción ha caído un 58 % en 12 meses (de 96,28 a 40,35 USD) y un 70 % desde el máximo de enero. Pero sí hubo euforia antes: en enero cotizaba a ~94 veces el EBITDA de los 12 meses siguientes. Bloque C: 2,5 de 20.</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¿Es rentable de forma estable?</w:t>
      </w:r>
      <w:r>
        <w:t xml:space="preserve"> </w:t>
      </w:r>
      <w:r>
        <w:t xml:space="preserve">En EBITDA ajustado, sí: 105,7 M en 2024, 119,9 M en 2025 y una guía de 173-176 M en 2026 [1][4]. En beneficio contable, apenas (22 M en 2025; pérdida operativa en el 2T26). Por eso</w:t>
      </w:r>
      <w:r>
        <w:t xml:space="preserve"> </w:t>
      </w:r>
      <w:r>
        <w:rPr>
          <w:bCs/>
          <w:b/>
        </w:rPr>
        <w:t xml:space="preserve">valoro por EV/EBITDA</w:t>
      </w:r>
      <w:r>
        <w:t xml:space="preserve">, igual que a AeroVironment y Saab, para poder compararlas. Ojo: el EBITDA ajustado excluye los pagos en acciones, que en Kratos crecen rápido (49,5 M en 12 meses, el 3,3 % de las ventas).</w:t>
      </w:r>
    </w:p>
    <w:p>
      <w:pPr>
        <w:numPr>
          <w:ilvl w:val="0"/>
          <w:numId w:val="1005"/>
        </w:numPr>
        <w:pStyle w:val="Compact"/>
      </w:pPr>
      <w:r>
        <w:rPr>
          <w:bCs/>
          <w:b/>
        </w:rPr>
        <w:t xml:space="preserve">Margen bruto 23,0 %</w:t>
      </w:r>
      <w:r>
        <w:t xml:space="preserve"> </w:t>
      </w:r>
      <w:r>
        <w:t xml:space="preserve">en 12 meses. Es muy bajo para un análisis growth: puntúa 1 de 5. Es más bajo que el de AeroVironment (26,5 %); Saab tiene un margen operativo del ~11 %, frente al ~1 % contable de Kratos.</w:t>
      </w:r>
    </w:p>
    <w:p>
      <w:pPr>
        <w:numPr>
          <w:ilvl w:val="0"/>
          <w:numId w:val="1005"/>
        </w:numPr>
        <w:pStyle w:val="Compact"/>
      </w:pPr>
      <w:r>
        <w:rPr>
          <w:bCs/>
          <w:b/>
        </w:rPr>
        <w:t xml:space="preserve">Margen EBITDA ajustado ~10,2 %</w:t>
      </w:r>
      <w:r>
        <w:t xml:space="preserve"> </w:t>
      </w:r>
      <w:r>
        <w:t xml:space="preserve">en los 12 meses siguientes. La empresa promete +1 punto al año.</w:t>
      </w:r>
    </w:p>
    <w:p>
      <w:pPr>
        <w:numPr>
          <w:ilvl w:val="0"/>
          <w:numId w:val="1005"/>
        </w:numPr>
        <w:pStyle w:val="Compact"/>
      </w:pPr>
      <w:r>
        <w:rPr>
          <w:bCs/>
          <w:b/>
        </w:rPr>
        <w:t xml:space="preserve">Caja libre de 12 meses: −103 M</w:t>
      </w:r>
      <w:r>
        <w:t xml:space="preserve"> </w:t>
      </w:r>
      <w:r>
        <w:t xml:space="preserve">(flujo operativo −39,6 M, inversiones −89,3 M y +25,5 M por vender Valkyries propios). Guía 2026: −85 a −105 M. Invierte en fábricas (hipersónicos, motores, microondas, Valkyrie) y en inventario. Camino a la rentabilidad: equilibrio en ≤ 24 meses, si las inversiones se convierten en contratos.</w:t>
      </w:r>
    </w:p>
    <w:p>
      <w:pPr>
        <w:numPr>
          <w:ilvl w:val="0"/>
          <w:numId w:val="1005"/>
        </w:numPr>
        <w:pStyle w:val="Compact"/>
      </w:pPr>
      <w:r>
        <w:rPr>
          <w:bCs/>
          <w:b/>
        </w:rPr>
        <w:t xml:space="preserve">Regla del 40: 13</w:t>
      </w:r>
      <w:r>
        <w:t xml:space="preserve"> </w:t>
      </w:r>
      <w:r>
        <w:t xml:space="preserve">(19,5 % de crecimiento orgánico menos 6,8 % de margen de caja libre). Puntúa 0. Bloque D: 3 de 15.</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1.437,6 M</w:t>
      </w:r>
      <w:r>
        <w:t xml:space="preserve"> </w:t>
      </w:r>
      <w:r>
        <w:t xml:space="preserve">(junio de 2026); sin deuda bancaria (devolvió el préstamo en julio de 2025) y 139,9 M de arrendamientos financieros. Línea de crédito de 300 M sin usar [5]. Pista: más de 36 meses.</w:t>
      </w:r>
    </w:p>
    <w:p>
      <w:pPr>
        <w:numPr>
          <w:ilvl w:val="0"/>
          <w:numId w:val="1006"/>
        </w:numPr>
        <w:pStyle w:val="Compact"/>
      </w:pPr>
      <w:r>
        <w:rPr>
          <w:bCs/>
          <w:b/>
        </w:rPr>
        <w:t xml:space="preserve">Dilución: el punto débil.</w:t>
      </w:r>
      <w:r>
        <w:t xml:space="preserve"> </w:t>
      </w:r>
      <w:r>
        <w:t xml:space="preserve">Acciones en circulación: 151,0 M en agosto de 2024, 168,8 M en agosto de 2025 y 187,7 M en julio de 2026, más 0,55 M por la compra de Jetset (octubre) [5][8].</w:t>
      </w:r>
      <w:r>
        <w:t xml:space="preserve"> </w:t>
      </w:r>
      <w:r>
        <w:rPr>
          <w:bCs/>
          <w:b/>
        </w:rPr>
        <w:t xml:space="preserve">+11,5 % en 12 meses</w:t>
      </w:r>
      <w:r>
        <w:t xml:space="preserve"> </w:t>
      </w:r>
      <w:r>
        <w:t xml:space="preserve">(puntúa 0) y</w:t>
      </w:r>
      <w:r>
        <w:t xml:space="preserve"> </w:t>
      </w:r>
      <w:r>
        <w:rPr>
          <w:bCs/>
          <w:b/>
        </w:rPr>
        <w:t xml:space="preserve">+25 % en dos años</w:t>
      </w:r>
      <w:r>
        <w:t xml:space="preserve">. Además, entre 2023 y mediados de 2024 hubo otra subida de ~15 % (ampliación de principios de 2024, de memoria).</w:t>
      </w:r>
    </w:p>
    <w:p>
      <w:pPr>
        <w:numPr>
          <w:ilvl w:val="0"/>
          <w:numId w:val="1006"/>
        </w:numPr>
        <w:pStyle w:val="Compact"/>
      </w:pPr>
      <w:r>
        <w:rPr>
          <w:bCs/>
          <w:b/>
        </w:rPr>
        <w:t xml:space="preserve">Cuentas por acción</w:t>
      </w:r>
      <w:r>
        <w:t xml:space="preserve">: ventas por acción +9 % en dos años (de 7,33 a 8,01 USD) y EBITDA ajustado por acción de ~0,65 a 0,75 USD (+15 %). La empresa crece, pero el accionista recibe poco de ese crecimiento.</w:t>
      </w:r>
    </w:p>
    <w:p>
      <w:pPr>
        <w:numPr>
          <w:ilvl w:val="0"/>
          <w:numId w:val="1006"/>
        </w:numPr>
        <w:pStyle w:val="Compact"/>
      </w:pPr>
      <w:r>
        <w:t xml:space="preserve">A favor de la dirección: las dos ampliaciones se hicieron caras (la de febrero, a 84 USD, más del doble del precio de hoy). Ese dinero está en caja y paga las inversiones sin deuda.</w:t>
      </w:r>
    </w:p>
    <w:p>
      <w:pPr>
        <w:numPr>
          <w:ilvl w:val="0"/>
          <w:numId w:val="1006"/>
        </w:numPr>
        <w:pStyle w:val="Compact"/>
      </w:pPr>
      <w:r>
        <w:t xml:space="preserve">Pagos en acciones: 3,3 % de las ventas, casi el doble que hace un año (16,3 M en el 2T26 frente a 8,6 M). Sin dividendo ni recompras. Bloque E: 5 de 10.</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Eric DeMarco</w:t>
      </w:r>
      <w:r>
        <w:t xml:space="preserve">, consejero delegado desde 2007: convirtió una empresa de servicios en una de productos de defensa. Su estrategia es invertir antes que el cliente, sin dividendos ni recompras. Vende acciones con regularidad: ~300.000 a ~64 USD el 14-ago-2026 [17].</w:t>
      </w:r>
    </w:p>
    <w:p>
      <w:pPr>
        <w:numPr>
          <w:ilvl w:val="0"/>
          <w:numId w:val="1007"/>
        </w:numPr>
        <w:pStyle w:val="Compact"/>
      </w:pPr>
      <w:r>
        <w:rPr>
          <w:bCs/>
          <w:b/>
        </w:rPr>
        <w:t xml:space="preserve">Historial 4/5</w:t>
      </w:r>
      <w:r>
        <w:t xml:space="preserve">: bate su guía trimestral de ventas cada trimestre (de media, 10,6 puntos) y ha subido la guía anual dos veces. Pero la guía de beneficio operativo de 2026 bajó de 55-60 M a 16-22 M (más amortización de las compras y más pagos en acciones) y la de caja libre empeoró [1][4].</w:t>
      </w:r>
    </w:p>
    <w:p>
      <w:pPr>
        <w:numPr>
          <w:ilvl w:val="0"/>
          <w:numId w:val="1007"/>
        </w:numPr>
        <w:pStyle w:val="Compact"/>
      </w:pPr>
      <w:r>
        <w:rPr>
          <w:bCs/>
          <w:b/>
        </w:rPr>
        <w:t xml:space="preserve">Dirección 3/5</w:t>
      </w:r>
      <w:r>
        <w:t xml:space="preserve">: buena asignación de capital al pedir dinero cuando la acción estaba cara, pero diluye mucho, los pagos en acciones crecen y hay ventas constantes de todos los directivos.</w:t>
      </w:r>
    </w:p>
    <w:bookmarkEnd w:id="27"/>
    <w:bookmarkStart w:id="28" w:name="valoración"/>
    <w:p>
      <w:pPr>
        <w:pStyle w:val="Heading2"/>
      </w:pPr>
      <w:r>
        <w:t xml:space="preserve">9. Valoración</w:t>
      </w:r>
    </w:p>
    <w:p>
      <w:pPr>
        <w:pStyle w:val="FirstParagraph"/>
      </w:pPr>
      <w:r>
        <w:rPr>
          <w:bCs/>
          <w:b/>
        </w:rPr>
        <w:t xml:space="preserve">Métrica: EV/EBITDA ajustado de los 12 meses siguientes</w:t>
      </w:r>
      <w:r>
        <w:t xml:space="preserve"> </w:t>
      </w:r>
      <w:r>
        <w:t xml:space="preserve">(explicación en la sección 6).</w:t>
      </w:r>
    </w:p>
    <w:p>
      <w:pPr>
        <w:numPr>
          <w:ilvl w:val="0"/>
          <w:numId w:val="1008"/>
        </w:numPr>
        <w:pStyle w:val="Compact"/>
      </w:pPr>
      <w:r>
        <w:rPr>
          <w:bCs/>
          <w:b/>
        </w:rPr>
        <w:t xml:space="preserve">Hoy</w:t>
      </w:r>
      <w:r>
        <w:t xml:space="preserve">: valor de empresa ≈ 6.393 M USD (40,35 × 190,6 M de acciones + 139,9 M de deuda − 1.437,6 M de caja). EBITDA de los 12 meses siguientes ≈ 200 M (guía de 2026, menos el primer semestre real, más un primer semestre de 2027 estimado):</w:t>
      </w:r>
      <w:r>
        <w:t xml:space="preserve"> </w:t>
      </w:r>
      <w:r>
        <w:rPr>
          <w:bCs/>
          <w:b/>
        </w:rPr>
        <w:t xml:space="preserve">32,0x</w:t>
      </w:r>
      <w:r>
        <w:t xml:space="preserve">. En ventas, 3,3x. Mediana de 3 años</w:t>
      </w:r>
      <w:r>
        <w:t xml:space="preserve"> </w:t>
      </w:r>
      <w:r>
        <w:rPr>
          <w:bCs/>
          <w:b/>
        </w:rPr>
        <w:t xml:space="preserve">~32,7x</w:t>
      </w:r>
      <w:r>
        <w:t xml:space="preserve">, mínimo ~21,6x y máximo ~94x (estimación propia). Comparables: Rheinmetall 10,8x, AeroVironment 20,1x, Saab 20,3x, Kongsberg ~21x y Elbit 33x.</w:t>
      </w:r>
      <w:r>
        <w:t xml:space="preserve"> </w:t>
      </w:r>
      <w:r>
        <w:rPr>
          <w:bCs/>
          <w:b/>
        </w:rPr>
        <w:t xml:space="preserve">Mediana: 20,3x.</w:t>
      </w:r>
    </w:p>
    <w:p>
      <w:pPr>
        <w:numPr>
          <w:ilvl w:val="0"/>
          <w:numId w:val="1008"/>
        </w:numPr>
        <w:pStyle w:val="Compact"/>
      </w:pPr>
      <w:r>
        <w:rPr>
          <w:bCs/>
          <w:b/>
        </w:rPr>
        <w:t xml:space="preserve">Ventas del informe</w:t>
      </w:r>
      <w:r>
        <w:t xml:space="preserve"> </w:t>
      </w:r>
      <w:r>
        <w:t xml:space="preserve">(12 meses a junio de 2028): bajista 2.150 M, base 2.350 M y alcista 2.550 M.</w:t>
      </w:r>
      <w:r>
        <w:t xml:space="preserve"> </w:t>
      </w:r>
      <w:r>
        <w:rPr>
          <w:bCs/>
          <w:b/>
        </w:rPr>
        <w:t xml:space="preserve">Consenso: ~2.410 M</w:t>
      </w:r>
      <w:r>
        <w:t xml:space="preserve"> </w:t>
      </w:r>
      <w:r>
        <w:t xml:space="preserve">(media de 2027, 2.220 M, y 2028, ~2.600 M; estimación con agregadores) [9][10]. La regla mecánica da menos (1.861, 2.131 y 2.244 M) porque parte del crecimiento propio a 2 años (~13 %) y del orgánico, no del publicado. v11 toma la menor de las dos: la mecánica en los tres escenarios.</w:t>
      </w:r>
    </w:p>
    <w:p>
      <w:pPr>
        <w:numPr>
          <w:ilvl w:val="0"/>
          <w:numId w:val="1008"/>
        </w:numPr>
        <w:pStyle w:val="Compact"/>
      </w:pPr>
      <w:r>
        <w:rPr>
          <w:bCs/>
          <w:b/>
        </w:rPr>
        <w:t xml:space="preserve">Probabilidades 25/50/25</w:t>
      </w:r>
      <w:r>
        <w:t xml:space="preserve">: la caja es amplia, la ejecución es buena y no depende de un solo producto.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 EV/EBITDA</w:t>
            </w:r>
          </w:p>
        </w:tc>
        <w:tc>
          <w:tcPr/>
          <w:p>
            <w:pPr>
              <w:pStyle w:val="Compact"/>
              <w:jc w:val="left"/>
            </w:pPr>
            <w:r>
              <w:t xml:space="preserve">Margen EBITDA</w:t>
            </w:r>
          </w:p>
        </w:tc>
        <w:tc>
          <w:tcPr/>
          <w:p>
            <w:pPr>
              <w:pStyle w:val="Compact"/>
              <w:jc w:val="left"/>
            </w:pPr>
            <w:r>
              <w:t xml:space="preserve">Precio</w:t>
            </w:r>
          </w:p>
        </w:tc>
        <w:tc>
          <w:tcPr/>
          <w:p>
            <w:pPr>
              <w:pStyle w:val="Compact"/>
              <w:jc w:val="left"/>
            </w:pPr>
            <w:r>
              <w:t xml:space="preserve">Rentabilidad</w:t>
            </w:r>
          </w:p>
        </w:tc>
        <w:tc>
          <w:tcPr/>
          <w:p>
            <w:pPr>
              <w:pStyle w:val="Compact"/>
              <w:jc w:val="left"/>
            </w:pPr>
            <w:r>
              <w:t xml:space="preserve">Prob.</w:t>
            </w:r>
          </w:p>
        </w:tc>
      </w:tr>
      <w:tr>
        <w:tc>
          <w:tcPr/>
          <w:p>
            <w:pPr>
              <w:pStyle w:val="Compact"/>
              <w:jc w:val="left"/>
            </w:pPr>
            <w:r>
              <w:t xml:space="preserve">Bajista</w:t>
            </w:r>
          </w:p>
        </w:tc>
        <w:tc>
          <w:tcPr/>
          <w:p>
            <w:pPr>
              <w:pStyle w:val="Compact"/>
              <w:jc w:val="left"/>
            </w:pPr>
            <w:r>
              <w:t xml:space="preserve">1.861</w:t>
            </w:r>
          </w:p>
        </w:tc>
        <w:tc>
          <w:tcPr/>
          <w:p>
            <w:pPr>
              <w:pStyle w:val="Compact"/>
              <w:jc w:val="left"/>
            </w:pPr>
            <w:r>
              <w:t xml:space="preserve">16,9x</w:t>
            </w:r>
          </w:p>
        </w:tc>
        <w:tc>
          <w:tcPr/>
          <w:p>
            <w:pPr>
              <w:pStyle w:val="Compact"/>
              <w:jc w:val="left"/>
            </w:pPr>
            <w:r>
              <w:t xml:space="preserve">10,2 %</w:t>
            </w:r>
          </w:p>
        </w:tc>
        <w:tc>
          <w:tcPr/>
          <w:p>
            <w:pPr>
              <w:pStyle w:val="Compact"/>
              <w:jc w:val="left"/>
            </w:pPr>
            <w:r>
              <w:t xml:space="preserve">20,7 USD</w:t>
            </w:r>
          </w:p>
        </w:tc>
        <w:tc>
          <w:tcPr/>
          <w:p>
            <w:pPr>
              <w:pStyle w:val="Compact"/>
              <w:jc w:val="left"/>
            </w:pPr>
            <w:r>
              <w:t xml:space="preserve">−48,8 %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2.131</w:t>
            </w:r>
          </w:p>
        </w:tc>
        <w:tc>
          <w:tcPr/>
          <w:p>
            <w:pPr>
              <w:pStyle w:val="Compact"/>
              <w:jc w:val="left"/>
            </w:pPr>
            <w:r>
              <w:t xml:space="preserve">28,1x</w:t>
            </w:r>
          </w:p>
        </w:tc>
        <w:tc>
          <w:tcPr/>
          <w:p>
            <w:pPr>
              <w:pStyle w:val="Compact"/>
              <w:jc w:val="left"/>
            </w:pPr>
            <w:r>
              <w:t xml:space="preserve">10,2 %</w:t>
            </w:r>
          </w:p>
        </w:tc>
        <w:tc>
          <w:tcPr/>
          <w:p>
            <w:pPr>
              <w:pStyle w:val="Compact"/>
              <w:jc w:val="left"/>
            </w:pPr>
            <w:r>
              <w:t xml:space="preserve">34,3 USD</w:t>
            </w:r>
          </w:p>
        </w:tc>
        <w:tc>
          <w:tcPr/>
          <w:p>
            <w:pPr>
              <w:pStyle w:val="Compact"/>
              <w:jc w:val="left"/>
            </w:pPr>
            <w:r>
              <w:t xml:space="preserve">−14,9 %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2.244</w:t>
            </w:r>
          </w:p>
        </w:tc>
        <w:tc>
          <w:tcPr/>
          <w:p>
            <w:pPr>
              <w:pStyle w:val="Compact"/>
              <w:jc w:val="left"/>
            </w:pPr>
            <w:r>
              <w:t xml:space="preserve">36,6x</w:t>
            </w:r>
          </w:p>
        </w:tc>
        <w:tc>
          <w:tcPr/>
          <w:p>
            <w:pPr>
              <w:pStyle w:val="Compact"/>
              <w:jc w:val="left"/>
            </w:pPr>
            <w:r>
              <w:t xml:space="preserve">10,2 %</w:t>
            </w:r>
          </w:p>
        </w:tc>
        <w:tc>
          <w:tcPr/>
          <w:p>
            <w:pPr>
              <w:pStyle w:val="Compact"/>
              <w:jc w:val="left"/>
            </w:pPr>
            <w:r>
              <w:t xml:space="preserve">44,9 USD</w:t>
            </w:r>
          </w:p>
        </w:tc>
        <w:tc>
          <w:tcPr/>
          <w:p>
            <w:pPr>
              <w:pStyle w:val="Compact"/>
              <w:jc w:val="left"/>
            </w:pPr>
            <w:r>
              <w:t xml:space="preserve">+11,3 %</w:t>
            </w:r>
          </w:p>
        </w:tc>
        <w:tc>
          <w:tcPr/>
          <w:p>
            <w:pPr>
              <w:pStyle w:val="Compact"/>
              <w:jc w:val="left"/>
            </w:pPr>
            <w:r>
              <w:t xml:space="preserve">25 %</w:t>
            </w:r>
          </w:p>
        </w:tc>
      </w:tr>
      <w:tr>
        <w:tc>
          <w:tcPr/>
          <w:p>
            <w:pPr>
              <w:pStyle w:val="Compact"/>
              <w:jc w:val="left"/>
            </w:pPr>
            <w:r>
              <w:rPr>
                <w:bCs/>
                <w:b/>
              </w:rPr>
              <w:t xml:space="preserve">Ponderado (v11, v9 y v12)</w:t>
            </w:r>
          </w:p>
        </w:tc>
        <w:tc>
          <w:tcPr/>
          <w:p>
            <w:pPr>
              <w:pStyle w:val="Compact"/>
            </w:pPr>
          </w:p>
        </w:tc>
        <w:tc>
          <w:tcPr/>
          <w:p>
            <w:pPr>
              <w:pStyle w:val="Compact"/>
            </w:pPr>
          </w:p>
        </w:tc>
        <w:tc>
          <w:tcPr/>
          <w:p>
            <w:pPr>
              <w:pStyle w:val="Compact"/>
            </w:pPr>
          </w:p>
        </w:tc>
        <w:tc>
          <w:tcPr/>
          <w:p>
            <w:pPr>
              <w:pStyle w:val="Compact"/>
              <w:jc w:val="left"/>
            </w:pPr>
            <w:r>
              <w:rPr>
                <w:bCs/>
                <w:b/>
              </w:rPr>
              <w:t xml:space="preserve">33,6 USD</w:t>
            </w:r>
          </w:p>
        </w:tc>
        <w:tc>
          <w:tcPr/>
          <w:p>
            <w:pPr>
              <w:pStyle w:val="Compact"/>
              <w:jc w:val="left"/>
            </w:pPr>
            <w:r>
              <w:rPr>
                <w:bCs/>
                <w:b/>
              </w:rPr>
              <w:t xml:space="preserve">−16,9 %</w:t>
            </w:r>
          </w:p>
        </w:tc>
        <w:tc>
          <w:tcPr/>
          <w:p>
            <w:pPr>
              <w:pStyle w:val="Compact"/>
            </w:pPr>
          </w:p>
        </w:tc>
      </w:tr>
    </w:tbl>
    <w:p>
      <w:pPr>
        <w:numPr>
          <w:ilvl w:val="0"/>
          <w:numId w:val="1009"/>
        </w:numPr>
        <w:pStyle w:val="Compact"/>
      </w:pPr>
      <w:r>
        <w:rPr>
          <w:bCs/>
          <w:b/>
        </w:rPr>
        <w:t xml:space="preserve">Por qué el base sale negativo aunque las ventas crezcan un 32 %</w:t>
      </w:r>
      <w:r>
        <w:t xml:space="preserve">: el múltiplo base es 28,1x (el de hoy, rebajado un 12 % porque el crecimiento pasa del 22 % al 17 %) y el número de acciones sube un 11,5 % (la dilución de los últimos 12 meses, que el motor proyecta). El margen no mejora en el motor (10,2 %): la promesa de +1 punto al año no entra porque es una guía de margen, no un objetivo publicado en cifra.</w:t>
      </w:r>
    </w:p>
    <w:p>
      <w:pPr>
        <w:numPr>
          <w:ilvl w:val="0"/>
          <w:numId w:val="1009"/>
        </w:numPr>
        <w:pStyle w:val="Compact"/>
      </w:pPr>
      <w:r>
        <w:rPr>
          <w:bCs/>
          <w:b/>
        </w:rPr>
        <w:t xml:space="preserve">Asimetría 0,2.</w:t>
      </w:r>
      <w:r>
        <w:t xml:space="preserve"> </w:t>
      </w:r>
      <w:r>
        <w:rPr>
          <w:bCs/>
          <w:b/>
        </w:rPr>
        <w:t xml:space="preserve">Compra hasta 32,0 USD</w:t>
      </w:r>
      <w:r>
        <w:t xml:space="preserve">, pero solo si la puntuación pasara de 60, y está en 40,8.</w:t>
      </w:r>
    </w:p>
    <w:p>
      <w:pPr>
        <w:numPr>
          <w:ilvl w:val="0"/>
          <w:numId w:val="1009"/>
        </w:numPr>
        <w:pStyle w:val="Compact"/>
      </w:pPr>
      <w:r>
        <w:rPr>
          <w:bCs/>
          <w:b/>
        </w:rPr>
        <w:t xml:space="preserve">Contraste con el consenso</w:t>
      </w:r>
      <w:r>
        <w:t xml:space="preserve">: los analistas ponen un objetivo medio de 99,6 USD (+147 %), con 22 de 23 en Comprar. Están muy por encima del precio y van bajando: el mercado de analistas va por detrás.</w:t>
      </w:r>
    </w:p>
    <w:p>
      <w:pPr>
        <w:numPr>
          <w:ilvl w:val="0"/>
          <w:numId w:val="1009"/>
        </w:numPr>
        <w:pStyle w:val="Compact"/>
      </w:pPr>
      <w:r>
        <w:rPr>
          <w:bCs/>
          <w:b/>
        </w:rPr>
        <w:t xml:space="preserve">DCF inverso</w:t>
      </w:r>
      <w:r>
        <w:t xml:space="preserve">: el precio descuenta un crecimiento de ventas del ~16 % anual durante 10 años (coste de capital 9,5 %, margen de caja libre a largo plazo del 10 %, crecimiento final del 2,5 %; mismos supuestos que AeroVironment). Es algo menos de lo que crece hoy sin compras (+19,5 %), pero exige que el margen pase de negativo a un 10 % de caja libre y que la dilución pare.</w:t>
      </w:r>
    </w:p>
    <w:p>
      <w:pPr>
        <w:numPr>
          <w:ilvl w:val="0"/>
          <w:numId w:val="1009"/>
        </w:numPr>
        <w:pStyle w:val="Compact"/>
      </w:pPr>
      <w:r>
        <w:rPr>
          <w:bCs/>
          <w:b/>
        </w:rPr>
        <w:t xml:space="preserve">Frente a AeroVironment y Saab</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Kratos</w:t>
            </w:r>
          </w:p>
        </w:tc>
        <w:tc>
          <w:tcPr/>
          <w:p>
            <w:pPr>
              <w:pStyle w:val="Compact"/>
              <w:jc w:val="left"/>
            </w:pPr>
            <w:r>
              <w:t xml:space="preserve">AeroVironment</w:t>
            </w:r>
          </w:p>
        </w:tc>
        <w:tc>
          <w:tcPr/>
          <w:p>
            <w:pPr>
              <w:pStyle w:val="Compact"/>
              <w:jc w:val="left"/>
            </w:pPr>
            <w:r>
              <w:t xml:space="preserve">Saab</w:t>
            </w:r>
          </w:p>
        </w:tc>
      </w:tr>
      <w:tr>
        <w:tc>
          <w:tcPr/>
          <w:p>
            <w:pPr>
              <w:pStyle w:val="Compact"/>
              <w:jc w:val="left"/>
            </w:pPr>
            <w:r>
              <w:t xml:space="preserve">Señal (v11)</w:t>
            </w:r>
          </w:p>
        </w:tc>
        <w:tc>
          <w:tcPr/>
          <w:p>
            <w:pPr>
              <w:pStyle w:val="Compact"/>
              <w:jc w:val="left"/>
            </w:pPr>
            <w:r>
              <w:t xml:space="preserve">Vender</w:t>
            </w:r>
          </w:p>
        </w:tc>
        <w:tc>
          <w:tcPr/>
          <w:p>
            <w:pPr>
              <w:pStyle w:val="Compact"/>
              <w:jc w:val="left"/>
            </w:pPr>
            <w:r>
              <w:t xml:space="preserve">Vender</w:t>
            </w:r>
          </w:p>
        </w:tc>
        <w:tc>
          <w:tcPr/>
          <w:p>
            <w:pPr>
              <w:pStyle w:val="Compact"/>
              <w:jc w:val="left"/>
            </w:pPr>
            <w:r>
              <w:t xml:space="preserve">Comprar (baja)</w:t>
            </w:r>
          </w:p>
        </w:tc>
      </w:tr>
      <w:tr>
        <w:tc>
          <w:tcPr/>
          <w:p>
            <w:pPr>
              <w:pStyle w:val="Compact"/>
              <w:jc w:val="left"/>
            </w:pPr>
            <w:r>
              <w:t xml:space="preserve">Puntuación</w:t>
            </w:r>
          </w:p>
        </w:tc>
        <w:tc>
          <w:tcPr/>
          <w:p>
            <w:pPr>
              <w:pStyle w:val="Compact"/>
              <w:jc w:val="left"/>
            </w:pPr>
            <w:r>
              <w:t xml:space="preserve">40,8</w:t>
            </w:r>
          </w:p>
        </w:tc>
        <w:tc>
          <w:tcPr/>
          <w:p>
            <w:pPr>
              <w:pStyle w:val="Compact"/>
              <w:jc w:val="left"/>
            </w:pPr>
            <w:r>
              <w:t xml:space="preserve">37,8</w:t>
            </w:r>
          </w:p>
        </w:tc>
        <w:tc>
          <w:tcPr/>
          <w:p>
            <w:pPr>
              <w:pStyle w:val="Compact"/>
              <w:jc w:val="left"/>
            </w:pPr>
            <w:r>
              <w:t xml:space="preserve">63,3</w:t>
            </w:r>
          </w:p>
        </w:tc>
      </w:tr>
      <w:tr>
        <w:tc>
          <w:tcPr/>
          <w:p>
            <w:pPr>
              <w:pStyle w:val="Compact"/>
              <w:jc w:val="left"/>
            </w:pPr>
            <w:r>
              <w:t xml:space="preserve">Crecimiento orgánico (último trimestre)</w:t>
            </w:r>
          </w:p>
        </w:tc>
        <w:tc>
          <w:tcPr/>
          <w:p>
            <w:pPr>
              <w:pStyle w:val="Compact"/>
              <w:jc w:val="left"/>
            </w:pPr>
            <w:r>
              <w:t xml:space="preserve">+19 %</w:t>
            </w:r>
          </w:p>
        </w:tc>
        <w:tc>
          <w:tcPr/>
          <w:p>
            <w:pPr>
              <w:pStyle w:val="Compact"/>
              <w:jc w:val="left"/>
            </w:pPr>
            <w:r>
              <w:t xml:space="preserve">+1 %</w:t>
            </w:r>
          </w:p>
        </w:tc>
        <w:tc>
          <w:tcPr/>
          <w:p>
            <w:pPr>
              <w:pStyle w:val="Compact"/>
              <w:jc w:val="left"/>
            </w:pPr>
            <w:r>
              <w:t xml:space="preserve">+30 %</w:t>
            </w:r>
          </w:p>
        </w:tc>
      </w:tr>
      <w:tr>
        <w:tc>
          <w:tcPr/>
          <w:p>
            <w:pPr>
              <w:pStyle w:val="Compact"/>
              <w:jc w:val="left"/>
            </w:pPr>
            <w:r>
              <w:t xml:space="preserve">EV/EBITDA de los 12 meses siguientes</w:t>
            </w:r>
          </w:p>
        </w:tc>
        <w:tc>
          <w:tcPr/>
          <w:p>
            <w:pPr>
              <w:pStyle w:val="Compact"/>
              <w:jc w:val="left"/>
            </w:pPr>
            <w:r>
              <w:t xml:space="preserve">32,0x</w:t>
            </w:r>
          </w:p>
        </w:tc>
        <w:tc>
          <w:tcPr/>
          <w:p>
            <w:pPr>
              <w:pStyle w:val="Compact"/>
              <w:jc w:val="left"/>
            </w:pPr>
            <w:r>
              <w:t xml:space="preserve">20,1x</w:t>
            </w:r>
          </w:p>
        </w:tc>
        <w:tc>
          <w:tcPr/>
          <w:p>
            <w:pPr>
              <w:pStyle w:val="Compact"/>
              <w:jc w:val="left"/>
            </w:pPr>
            <w:r>
              <w:t xml:space="preserve">20,3x</w:t>
            </w:r>
          </w:p>
        </w:tc>
      </w:tr>
      <w:tr>
        <w:tc>
          <w:tcPr/>
          <w:p>
            <w:pPr>
              <w:pStyle w:val="Compact"/>
              <w:jc w:val="left"/>
            </w:pPr>
            <w:r>
              <w:t xml:space="preserve">Múltiplo por punto de crecimiento</w:t>
            </w:r>
          </w:p>
        </w:tc>
        <w:tc>
          <w:tcPr/>
          <w:p>
            <w:pPr>
              <w:pStyle w:val="Compact"/>
              <w:jc w:val="left"/>
            </w:pPr>
            <w:r>
              <w:t xml:space="preserve">1,5x</w:t>
            </w:r>
          </w:p>
        </w:tc>
        <w:tc>
          <w:tcPr/>
          <w:p>
            <w:pPr>
              <w:pStyle w:val="Compact"/>
              <w:jc w:val="left"/>
            </w:pPr>
            <w:r>
              <w:t xml:space="preserve">2,5x</w:t>
            </w:r>
          </w:p>
        </w:tc>
        <w:tc>
          <w:tcPr/>
          <w:p>
            <w:pPr>
              <w:pStyle w:val="Compact"/>
              <w:jc w:val="left"/>
            </w:pPr>
            <w:r>
              <w:t xml:space="preserve">0,9x</w:t>
            </w:r>
          </w:p>
        </w:tc>
      </w:tr>
      <w:tr>
        <w:tc>
          <w:tcPr/>
          <w:p>
            <w:pPr>
              <w:pStyle w:val="Compact"/>
              <w:jc w:val="left"/>
            </w:pPr>
            <w:r>
              <w:t xml:space="preserve">Margen EBITDA</w:t>
            </w:r>
          </w:p>
        </w:tc>
        <w:tc>
          <w:tcPr/>
          <w:p>
            <w:pPr>
              <w:pStyle w:val="Compact"/>
              <w:jc w:val="left"/>
            </w:pPr>
            <w:r>
              <w:t xml:space="preserve">~10 %</w:t>
            </w:r>
          </w:p>
        </w:tc>
        <w:tc>
          <w:tcPr/>
          <w:p>
            <w:pPr>
              <w:pStyle w:val="Compact"/>
              <w:jc w:val="left"/>
            </w:pPr>
            <w:r>
              <w:t xml:space="preserve">~15 %</w:t>
            </w:r>
          </w:p>
        </w:tc>
        <w:tc>
          <w:tcPr/>
          <w:p>
            <w:pPr>
              <w:pStyle w:val="Compact"/>
              <w:jc w:val="left"/>
            </w:pPr>
            <w:r>
              <w:t xml:space="preserve">n.d. (margen operativo ~11 %)</w:t>
            </w:r>
          </w:p>
        </w:tc>
      </w:tr>
      <w:tr>
        <w:tc>
          <w:tcPr/>
          <w:p>
            <w:pPr>
              <w:pStyle w:val="Compact"/>
              <w:jc w:val="left"/>
            </w:pPr>
            <w:r>
              <w:t xml:space="preserve">Más acciones en dos años</w:t>
            </w:r>
          </w:p>
        </w:tc>
        <w:tc>
          <w:tcPr/>
          <w:p>
            <w:pPr>
              <w:pStyle w:val="Compact"/>
              <w:jc w:val="left"/>
            </w:pPr>
            <w:r>
              <w:t xml:space="preserve">+25 %</w:t>
            </w:r>
          </w:p>
        </w:tc>
        <w:tc>
          <w:tcPr/>
          <w:p>
            <w:pPr>
              <w:pStyle w:val="Compact"/>
              <w:jc w:val="left"/>
            </w:pPr>
            <w:r>
              <w:t xml:space="preserve">+80 %</w:t>
            </w:r>
          </w:p>
        </w:tc>
        <w:tc>
          <w:tcPr/>
          <w:p>
            <w:pPr>
              <w:pStyle w:val="Compact"/>
              <w:jc w:val="left"/>
            </w:pPr>
            <w:r>
              <w:t xml:space="preserve">casi nada (de memoria)</w:t>
            </w:r>
          </w:p>
        </w:tc>
      </w:tr>
      <w:tr>
        <w:tc>
          <w:tcPr/>
          <w:p>
            <w:pPr>
              <w:pStyle w:val="Compact"/>
              <w:jc w:val="left"/>
            </w:pPr>
            <w:r>
              <w:t xml:space="preserve">Rentabilidad ponderada</w:t>
            </w:r>
          </w:p>
        </w:tc>
        <w:tc>
          <w:tcPr/>
          <w:p>
            <w:pPr>
              <w:pStyle w:val="Compact"/>
              <w:jc w:val="left"/>
            </w:pPr>
            <w:r>
              <w:t xml:space="preserve">−16,9 %</w:t>
            </w:r>
          </w:p>
        </w:tc>
        <w:tc>
          <w:tcPr/>
          <w:p>
            <w:pPr>
              <w:pStyle w:val="Compact"/>
              <w:jc w:val="left"/>
            </w:pPr>
            <w:r>
              <w:t xml:space="preserve">−2,7 %</w:t>
            </w:r>
          </w:p>
        </w:tc>
        <w:tc>
          <w:tcPr/>
          <w:p>
            <w:pPr>
              <w:pStyle w:val="Compact"/>
              <w:jc w:val="left"/>
            </w:pPr>
            <w:r>
              <w:t xml:space="preserve">+8,2 %</w:t>
            </w:r>
          </w:p>
        </w:tc>
      </w:tr>
      <w:tr>
        <w:tc>
          <w:tcPr/>
          <w:p>
            <w:pPr>
              <w:pStyle w:val="Compact"/>
              <w:jc w:val="left"/>
            </w:pPr>
            <w:r>
              <w:t xml:space="preserve">Caída o subida en 12 meses</w:t>
            </w:r>
          </w:p>
        </w:tc>
        <w:tc>
          <w:tcPr/>
          <w:p>
            <w:pPr>
              <w:pStyle w:val="Compact"/>
              <w:jc w:val="left"/>
            </w:pPr>
            <w:r>
              <w:t xml:space="preserve">−58 %</w:t>
            </w:r>
          </w:p>
        </w:tc>
        <w:tc>
          <w:tcPr/>
          <w:p>
            <w:pPr>
              <w:pStyle w:val="Compact"/>
              <w:jc w:val="left"/>
            </w:pPr>
            <w:r>
              <w:t xml:space="preserve">−69 %</w:t>
            </w:r>
          </w:p>
        </w:tc>
        <w:tc>
          <w:tcPr/>
          <w:p>
            <w:pPr>
              <w:pStyle w:val="Compact"/>
              <w:jc w:val="left"/>
            </w:pPr>
            <w:r>
              <w:t xml:space="preserve">+16 %</w:t>
            </w:r>
          </w:p>
        </w:tc>
      </w:tr>
      <w:tr>
        <w:tc>
          <w:tcPr/>
          <w:p>
            <w:pPr>
              <w:pStyle w:val="Compact"/>
              <w:jc w:val="left"/>
            </w:pPr>
            <w:r>
              <w:t xml:space="preserve">Cartera de pedidos / ventas</w:t>
            </w:r>
          </w:p>
        </w:tc>
        <w:tc>
          <w:tcPr/>
          <w:p>
            <w:pPr>
              <w:pStyle w:val="Compact"/>
              <w:jc w:val="left"/>
            </w:pPr>
            <w:r>
              <w:t xml:space="preserve">1,4 años</w:t>
            </w:r>
          </w:p>
        </w:tc>
        <w:tc>
          <w:tcPr/>
          <w:p>
            <w:pPr>
              <w:pStyle w:val="Compact"/>
              <w:jc w:val="left"/>
            </w:pPr>
            <w:r>
              <w:t xml:space="preserve">1,4 años</w:t>
            </w:r>
          </w:p>
        </w:tc>
        <w:tc>
          <w:tcPr/>
          <w:p>
            <w:pPr>
              <w:pStyle w:val="Compact"/>
              <w:jc w:val="left"/>
            </w:pPr>
            <w:r>
              <w:t xml:space="preserve">3,6 años</w:t>
            </w:r>
          </w:p>
        </w:tc>
      </w:tr>
    </w:tbl>
    <w:p>
      <w:pPr>
        <w:pStyle w:val="BodyText"/>
      </w:pPr>
      <w:r>
        <w:t xml:space="preserve">Lectura: Kratos crece mucho más que AeroVironment y sin problemas contables, pero cuesta un 60 % más en EBITDA, con un margen menor y caja libre negativa. Saab crece más, cuesta menos, gana más por cada venta y apenas diluye.</w:t>
      </w:r>
      <w:r>
        <w:t xml:space="preserve"> </w:t>
      </w:r>
      <w:r>
        <w:rPr>
          <w:bCs/>
          <w:b/>
        </w:rPr>
        <w:t xml:space="preserve">De las tres, Saab es la única que el método compraría; Kratos es la más cara.</w:t>
      </w:r>
      <w:r>
        <w:t xml:space="preserve"> </w:t>
      </w:r>
      <w:r>
        <w:t xml:space="preserve">La caída del 58 % es sobre todo el fin de la euforia (de ~94x a 32x EBITDA), no un problema del negocio, que sigue creciendo.</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de bolsa en EE. UU.</w:t>
      </w:r>
      <w:r>
        <w:t xml:space="preserve"> </w:t>
      </w:r>
      <w:r>
        <w:t xml:space="preserve">(Motley Fool, TIKR, Zacks, StockStory, Trefis): el tono pasó de «escasez de valor» y «el próximo gran contratista» en enero a explicar caídas: valoración, ampliación de capital, caja negativa, el programa CCA perdido, la caída de un Valkyrie en pruebas (agosto) y hasta la paz provisional con Irán (junio) [13][14][15][18].</w:t>
      </w:r>
    </w:p>
    <w:p>
      <w:pPr>
        <w:numPr>
          <w:ilvl w:val="0"/>
          <w:numId w:val="1010"/>
        </w:numPr>
        <w:pStyle w:val="Compact"/>
      </w:pPr>
      <w:r>
        <w:rPr>
          <w:bCs/>
          <w:b/>
        </w:rPr>
        <w:t xml:space="preserve">Reddit y Seeking Alpha</w:t>
      </w:r>
      <w:r>
        <w:t xml:space="preserve">: no he localizado hilos recientes con las búsquedas. El interés del pequeño inversor se ha enfriado tras el pico de enero (cuando la acción hizo 39 movimientos de más del 5 % en un año) [16].</w:t>
      </w:r>
    </w:p>
    <w:p>
      <w:pPr>
        <w:numPr>
          <w:ilvl w:val="0"/>
          <w:numId w:val="1010"/>
        </w:numPr>
        <w:pStyle w:val="Compact"/>
      </w:pPr>
      <w:r>
        <w:rPr>
          <w:bCs/>
          <w:b/>
        </w:rPr>
        <w:t xml:space="preserve">Posiciones</w:t>
      </w:r>
      <w:r>
        <w:t xml:space="preserve">: los fondos de ARK vendieron en enero; los directivos venden cada mes [16][17].</w:t>
      </w:r>
    </w:p>
    <w:p>
      <w:pPr>
        <w:numPr>
          <w:ilvl w:val="0"/>
          <w:numId w:val="1010"/>
        </w:numPr>
        <w:pStyle w:val="Compact"/>
      </w:pPr>
      <w:r>
        <w:rPr>
          <w:bCs/>
          <w:b/>
        </w:rPr>
        <w:t xml:space="preserve">Foros en castellano</w:t>
      </w:r>
      <w:r>
        <w:t xml:space="preserve"> </w:t>
      </w:r>
      <w:r>
        <w:t xml:space="preserve">(Rankia, Investing.com ES): solo fichas de cotización y la traducción del artículo de TIKR; sin hilos activos [14][20].</w:t>
      </w:r>
    </w:p>
    <w:p>
      <w:pPr>
        <w:numPr>
          <w:ilvl w:val="0"/>
          <w:numId w:val="1010"/>
        </w:numPr>
        <w:pStyle w:val="Compact"/>
      </w:pPr>
      <w:r>
        <w:rPr>
          <w:bCs/>
          <w:b/>
        </w:rPr>
        <w:t xml:space="preserve">Contraste con los datos</w:t>
      </w:r>
      <w:r>
        <w:t xml:space="preserve">: el pesimismo de precio no se ve en los analistas (22 de 23 en Comprar, objetivo medio +147 %). No hay capitulación. La señal 6 no se marca.</w:t>
      </w:r>
    </w:p>
    <w:bookmarkEnd w:id="29"/>
    <w:bookmarkStart w:id="30" w:name="riesgos-robustez-y-qué-rompería-la-tesis"/>
    <w:p>
      <w:pPr>
        <w:pStyle w:val="Heading2"/>
      </w:pPr>
      <w:r>
        <w:t xml:space="preserve">11. Riesgos, robustez y qué rompería la tesis</w:t>
      </w:r>
    </w:p>
    <w:p>
      <w:pPr>
        <w:pStyle w:val="FirstParagraph"/>
      </w:pPr>
      <w:r>
        <w:rPr>
          <w:bCs/>
          <w:b/>
        </w:rPr>
        <w:t xml:space="preserve">Alertas del motor (</w:t>
      </w:r>
      <w:r>
        <w:rPr>
          <w:rStyle w:val="VerbatimChar"/>
          <w:bCs/>
          <w:b/>
        </w:rPr>
        <w:t xml:space="preserve">calc.alertas</w:t>
      </w:r>
      <w:r>
        <w:rPr>
          <w:bCs/>
          <w:b/>
        </w:rPr>
        <w:t xml:space="preserve">): una.</w:t>
      </w:r>
      <w:r>
        <w:t xml:space="preserve"> </w:t>
      </w:r>
      <w:r>
        <w:t xml:space="preserve">-</w:t>
      </w:r>
      <w:r>
        <w:t xml:space="preserve"> </w:t>
      </w:r>
      <w:r>
        <w:rPr>
          <w:bCs/>
          <w:b/>
        </w:rPr>
        <w:t xml:space="preserve">Exceso sobre la guía de 10,6 puntos (&gt; 10)</w:t>
      </w:r>
      <w:r>
        <w:t xml:space="preserve">: Kratos bate su guía trimestral de ventas por mucho, así que el recorte por la guía de v9 no actúa.</w:t>
      </w:r>
      <w:r>
        <w:t xml:space="preserve"> </w:t>
      </w:r>
      <w:r>
        <w:rPr>
          <w:bCs/>
          <w:b/>
        </w:rPr>
        <w:t xml:space="preserve">No debilita la señal</w:t>
      </w:r>
      <w:r>
        <w:t xml:space="preserve">: aquí la guía no limita nada porque la proyección mecánica (16,3 %) ya está muy por debajo de la guía orgánica (22 %). Si se usara la guía sin el exceso, el resultado sería el mismo. Lo que sí indica es que la regla mecánica es prudente: proyecta menos que la empresa y que el consenso (sección 9).</w:t>
      </w:r>
    </w:p>
    <w:p>
      <w:pPr>
        <w:pStyle w:val="BodyText"/>
      </w:pPr>
      <w:r>
        <w:rPr>
          <w:bCs/>
          <w:b/>
        </w:rPr>
        <w:t xml:space="preserve">Prueba de robustez</w:t>
      </w:r>
      <w:r>
        <w:t xml:space="preserve"> </w:t>
      </w:r>
      <w:r>
        <w:t xml:space="preserve">(</w:t>
      </w:r>
      <w:r>
        <w:rPr>
          <w:rStyle w:val="VerbatimChar"/>
        </w:rPr>
        <w:t xml:space="preserve">node herramientas/robustez-growth.mjs … --precios</w:t>
      </w:r>
      <w:r>
        <w:t xml:space="preserve">):</w:t>
      </w:r>
      <w:r>
        <w:t xml:space="preserve"> </w:t>
      </w:r>
      <w:r>
        <w:rPr>
          <w:bCs/>
          <w:b/>
        </w:rPr>
        <w:t xml:space="preserve">FRÁGIL</w:t>
      </w:r>
      <w:r>
        <w:t xml:space="preserve">. La señal robusta es</w:t>
      </w:r>
      <w:r>
        <w:t xml:space="preserve"> </w:t>
      </w:r>
      <w:r>
        <w:rPr>
          <w:bCs/>
          <w:b/>
        </w:rPr>
        <w:t xml:space="preserve">Vender</w:t>
      </w:r>
      <w:r>
        <w:t xml:space="preserve">.</w:t>
      </w:r>
      <w:r>
        <w:t xml:space="preserve"> </w:t>
      </w:r>
      <w:r>
        <w:t xml:space="preserve">- Lo frágil es la cifra, no la decisión. Con las ventas del informe la ponderada sube a −6,7 % y la herramienta pasa a «Mantener», porque solo mira la rentabilidad. Pero la puntuación sigue en 40,8 en todas las variantes, y con menos de 50 el método dice Vender. Ninguna variante llega a Comprar.</w:t>
      </w:r>
      <w:r>
        <w:t xml:space="preserve"> </w:t>
      </w:r>
      <w:r>
        <w:t xml:space="preserve">-</w:t>
      </w:r>
      <w:r>
        <w:t xml:space="preserve"> </w:t>
      </w:r>
      <w:r>
        <w:rPr>
          <w:bCs/>
          <w:b/>
        </w:rPr>
        <w:t xml:space="preserve">G2 (el objetivo se mueve con el precio)</w:t>
      </w:r>
      <w:r>
        <w:t xml:space="preserve">: al revisar el precio se deja fijo el objetivo de 33,6 USD. A 39,25 USD la ponderada es −14,4 %.</w:t>
      </w:r>
      <w:r>
        <w:t xml:space="preserve"> </w:t>
      </w:r>
      <w:r>
        <w:t xml:space="preserve">-</w:t>
      </w:r>
      <w:r>
        <w:t xml:space="preserve"> </w:t>
      </w:r>
      <w:r>
        <w:rPr>
          <w:bCs/>
          <w:b/>
        </w:rPr>
        <w:t xml:space="preserve">G6 (bajista del −49 %)</w:t>
      </w:r>
      <w:r>
        <w:t xml:space="preserve">: si algún día entrara, sería con poco peso y en tramos.</w:t>
      </w:r>
    </w:p>
    <w:p>
      <w:pPr>
        <w:pStyle w:val="BodyText"/>
      </w:pPr>
      <w:r>
        <w:rPr>
          <w:bCs/>
          <w:b/>
        </w:rPr>
        <w:t xml:space="preserve">Pruebas propias de sensibilidad</w:t>
      </w:r>
      <w:r>
        <w:t xml:space="preserve"> </w:t>
      </w:r>
      <w:r>
        <w:t xml:space="preserve">(motor, cambiando un dato cada vez):</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Variante</w:t>
            </w:r>
          </w:p>
        </w:tc>
        <w:tc>
          <w:tcPr/>
          <w:p>
            <w:pPr>
              <w:pStyle w:val="Compact"/>
              <w:jc w:val="left"/>
            </w:pPr>
            <w:r>
              <w:t xml:space="preserve">Puntuación</w:t>
            </w:r>
          </w:p>
        </w:tc>
        <w:tc>
          <w:tcPr/>
          <w:p>
            <w:pPr>
              <w:pStyle w:val="Compact"/>
              <w:jc w:val="left"/>
            </w:pPr>
            <w:r>
              <w:t xml:space="preserve">Ponderada</w:t>
            </w:r>
          </w:p>
        </w:tc>
        <w:tc>
          <w:tcPr/>
          <w:p>
            <w:pPr>
              <w:pStyle w:val="Compact"/>
              <w:jc w:val="left"/>
            </w:pPr>
            <w:r>
              <w:t xml:space="preserve">Señal</w:t>
            </w:r>
          </w:p>
        </w:tc>
      </w:tr>
      <w:tr>
        <w:tc>
          <w:tcPr/>
          <w:p>
            <w:pPr>
              <w:pStyle w:val="Compact"/>
              <w:jc w:val="left"/>
            </w:pPr>
            <w:r>
              <w:t xml:space="preserve">Vigente (orgánico, ventas pro forma)</w:t>
            </w:r>
          </w:p>
        </w:tc>
        <w:tc>
          <w:tcPr/>
          <w:p>
            <w:pPr>
              <w:pStyle w:val="Compact"/>
              <w:jc w:val="left"/>
            </w:pPr>
            <w:r>
              <w:t xml:space="preserve">40,8</w:t>
            </w:r>
          </w:p>
        </w:tc>
        <w:tc>
          <w:tcPr/>
          <w:p>
            <w:pPr>
              <w:pStyle w:val="Compact"/>
              <w:jc w:val="left"/>
            </w:pPr>
            <w:r>
              <w:t xml:space="preserve">−16,9 %</w:t>
            </w:r>
          </w:p>
        </w:tc>
        <w:tc>
          <w:tcPr/>
          <w:p>
            <w:pPr>
              <w:pStyle w:val="Compact"/>
              <w:jc w:val="left"/>
            </w:pPr>
            <w:r>
              <w:t xml:space="preserve">Vender</w:t>
            </w:r>
          </w:p>
        </w:tc>
      </w:tr>
      <w:tr>
        <w:tc>
          <w:tcPr/>
          <w:p>
            <w:pPr>
              <w:pStyle w:val="Compact"/>
              <w:jc w:val="left"/>
            </w:pPr>
            <w:r>
              <w:t xml:space="preserve">Crecimiento publicado, con compras (v11)</w:t>
            </w:r>
          </w:p>
        </w:tc>
        <w:tc>
          <w:tcPr/>
          <w:p>
            <w:pPr>
              <w:pStyle w:val="Compact"/>
              <w:jc w:val="left"/>
            </w:pPr>
            <w:r>
              <w:t xml:space="preserve">47,5</w:t>
            </w:r>
          </w:p>
        </w:tc>
        <w:tc>
          <w:tcPr/>
          <w:p>
            <w:pPr>
              <w:pStyle w:val="Compact"/>
              <w:jc w:val="left"/>
            </w:pPr>
            <w:r>
              <w:t xml:space="preserve">−23,0 %</w:t>
            </w:r>
          </w:p>
        </w:tc>
        <w:tc>
          <w:tcPr/>
          <w:p>
            <w:pPr>
              <w:pStyle w:val="Compact"/>
              <w:jc w:val="left"/>
            </w:pPr>
            <w:r>
              <w:t xml:space="preserve">Vender</w:t>
            </w:r>
          </w:p>
        </w:tc>
      </w:tr>
      <w:tr>
        <w:tc>
          <w:tcPr/>
          <w:p>
            <w:pPr>
              <w:pStyle w:val="Compact"/>
              <w:jc w:val="left"/>
            </w:pPr>
            <w:r>
              <w:t xml:space="preserve">Crecimiento publicado, con compras (v12)</w:t>
            </w:r>
          </w:p>
        </w:tc>
        <w:tc>
          <w:tcPr/>
          <w:p>
            <w:pPr>
              <w:pStyle w:val="Compact"/>
              <w:jc w:val="left"/>
            </w:pPr>
            <w:r>
              <w:t xml:space="preserve">47,5</w:t>
            </w:r>
          </w:p>
        </w:tc>
        <w:tc>
          <w:tcPr/>
          <w:p>
            <w:pPr>
              <w:pStyle w:val="Compact"/>
              <w:jc w:val="left"/>
            </w:pPr>
            <w:r>
              <w:t xml:space="preserve">−14,3 %</w:t>
            </w:r>
          </w:p>
        </w:tc>
        <w:tc>
          <w:tcPr/>
          <w:p>
            <w:pPr>
              <w:pStyle w:val="Compact"/>
              <w:jc w:val="left"/>
            </w:pPr>
            <w:r>
              <w:t xml:space="preserve">Vender</w:t>
            </w:r>
          </w:p>
        </w:tc>
      </w:tr>
      <w:tr>
        <w:tc>
          <w:tcPr/>
          <w:p>
            <w:pPr>
              <w:pStyle w:val="Compact"/>
              <w:jc w:val="left"/>
            </w:pPr>
            <w:r>
              <w:t xml:space="preserve">Probabilidades 35/50/15</w:t>
            </w:r>
          </w:p>
        </w:tc>
        <w:tc>
          <w:tcPr/>
          <w:p>
            <w:pPr>
              <w:pStyle w:val="Compact"/>
              <w:jc w:val="left"/>
            </w:pPr>
            <w:r>
              <w:t xml:space="preserve">40,8</w:t>
            </w:r>
          </w:p>
        </w:tc>
        <w:tc>
          <w:tcPr/>
          <w:p>
            <w:pPr>
              <w:pStyle w:val="Compact"/>
              <w:jc w:val="left"/>
            </w:pPr>
            <w:r>
              <w:t xml:space="preserve">−22,9 %</w:t>
            </w:r>
          </w:p>
        </w:tc>
        <w:tc>
          <w:tcPr/>
          <w:p>
            <w:pPr>
              <w:pStyle w:val="Compact"/>
              <w:jc w:val="left"/>
            </w:pPr>
            <w:r>
              <w:t xml:space="preserve">Vender</w:t>
            </w:r>
          </w:p>
        </w:tc>
      </w:tr>
      <w:tr>
        <w:tc>
          <w:tcPr/>
          <w:p>
            <w:pPr>
              <w:pStyle w:val="Compact"/>
              <w:jc w:val="left"/>
            </w:pPr>
            <w:r>
              <w:t xml:space="preserve">Dilución futura del 2 % (sin más ampliaciones)</w:t>
            </w:r>
          </w:p>
        </w:tc>
        <w:tc>
          <w:tcPr/>
          <w:p>
            <w:pPr>
              <w:pStyle w:val="Compact"/>
              <w:jc w:val="left"/>
            </w:pPr>
            <w:r>
              <w:t xml:space="preserve">45,8</w:t>
            </w:r>
          </w:p>
        </w:tc>
        <w:tc>
          <w:tcPr/>
          <w:p>
            <w:pPr>
              <w:pStyle w:val="Compact"/>
              <w:jc w:val="left"/>
            </w:pPr>
            <w:r>
              <w:t xml:space="preserve">−9,1 %</w:t>
            </w:r>
          </w:p>
        </w:tc>
        <w:tc>
          <w:tcPr/>
          <w:p>
            <w:pPr>
              <w:pStyle w:val="Compact"/>
              <w:jc w:val="left"/>
            </w:pPr>
            <w:r>
              <w:t xml:space="preserve">Vender</w:t>
            </w:r>
          </w:p>
        </w:tc>
      </w:tr>
      <w:tr>
        <w:tc>
          <w:tcPr/>
          <w:p>
            <w:pPr>
              <w:pStyle w:val="Compact"/>
              <w:jc w:val="left"/>
            </w:pPr>
            <w:r>
              <w:t xml:space="preserve">Dilución del 2 % y crecimiento a 2 años del 30 % (ventas como el informe)</w:t>
            </w:r>
          </w:p>
        </w:tc>
        <w:tc>
          <w:tcPr/>
          <w:p>
            <w:pPr>
              <w:pStyle w:val="Compact"/>
              <w:jc w:val="left"/>
            </w:pPr>
            <w:r>
              <w:t xml:space="preserve">50,8</w:t>
            </w:r>
          </w:p>
        </w:tc>
        <w:tc>
          <w:tcPr/>
          <w:p>
            <w:pPr>
              <w:pStyle w:val="Compact"/>
              <w:jc w:val="left"/>
            </w:pPr>
            <w:r>
              <w:t xml:space="preserve">−0,6 %</w:t>
            </w:r>
          </w:p>
        </w:tc>
        <w:tc>
          <w:tcPr/>
          <w:p>
            <w:pPr>
              <w:pStyle w:val="Compact"/>
              <w:jc w:val="left"/>
            </w:pPr>
            <w:r>
              <w:t xml:space="preserve">Mantener</w:t>
            </w:r>
          </w:p>
        </w:tc>
      </w:tr>
      <w:tr>
        <w:tc>
          <w:tcPr/>
          <w:p>
            <w:pPr>
              <w:pStyle w:val="Compact"/>
              <w:jc w:val="left"/>
            </w:pPr>
            <w:r>
              <w:t xml:space="preserve">Todo a favor (publicado, posición 4, ejecución 5 y 4, dos señales más, mercado de 50.000 M)</w:t>
            </w:r>
          </w:p>
        </w:tc>
        <w:tc>
          <w:tcPr/>
          <w:p>
            <w:pPr>
              <w:pStyle w:val="Compact"/>
              <w:jc w:val="left"/>
            </w:pPr>
            <w:r>
              <w:t xml:space="preserve">58,2</w:t>
            </w:r>
          </w:p>
        </w:tc>
        <w:tc>
          <w:tcPr/>
          <w:p>
            <w:pPr>
              <w:pStyle w:val="Compact"/>
              <w:jc w:val="left"/>
            </w:pPr>
            <w:r>
              <w:t xml:space="preserve">−23,0 %</w:t>
            </w:r>
          </w:p>
        </w:tc>
        <w:tc>
          <w:tcPr/>
          <w:p>
            <w:pPr>
              <w:pStyle w:val="Compact"/>
              <w:jc w:val="left"/>
            </w:pPr>
            <w:r>
              <w:t xml:space="preserve">Vender</w:t>
            </w:r>
          </w:p>
        </w:tc>
      </w:tr>
    </w:tbl>
    <w:p>
      <w:pPr>
        <w:pStyle w:val="BodyText"/>
      </w:pPr>
      <w:r>
        <w:rPr>
          <w:bCs/>
          <w:b/>
        </w:rPr>
        <w:t xml:space="preserve">Lectura honesta</w:t>
      </w:r>
      <w:r>
        <w:t xml:space="preserve">: la decisión de no comprar es sólida. Aunque se le dé todo a favor, la puntuación no llega a 60. La rentabilidad depende mucho de la dilución: si Kratos no vuelve a ampliar capital, el base mejora unos 8 puntos, pero sigue negativo. Con el crecimiento publicado, v11 castiga dos veces el frenazo (por eso da −23 %); la candidata v12 lo corrige (−14,3 %), y las dos dicen lo mismo: no comprar.</w:t>
      </w:r>
    </w:p>
    <w:p>
      <w:pPr>
        <w:pStyle w:val="BodyText"/>
      </w:pPr>
      <w:r>
        <w:rPr>
          <w:bCs/>
          <w:b/>
        </w:rPr>
        <w:t xml:space="preserve">Riesgos del negocio:</w:t>
      </w:r>
      <w:r>
        <w:t xml:space="preserve"> </w:t>
      </w:r>
      <w:r>
        <w:t xml:space="preserve">-</w:t>
      </w:r>
      <w:r>
        <w:t xml:space="preserve"> </w:t>
      </w:r>
      <w:r>
        <w:rPr>
          <w:bCs/>
          <w:b/>
        </w:rPr>
        <w:t xml:space="preserve">Dilución y caja libre negativa</w:t>
      </w:r>
      <w:r>
        <w:t xml:space="preserve">: tres ampliaciones en dos años y medio; si la inversión se alarga, habrá otra.</w:t>
      </w:r>
      <w:r>
        <w:t xml:space="preserve"> </w:t>
      </w:r>
      <w:r>
        <w:t xml:space="preserve">-</w:t>
      </w:r>
      <w:r>
        <w:t xml:space="preserve"> </w:t>
      </w:r>
      <w:r>
        <w:rPr>
          <w:bCs/>
          <w:b/>
        </w:rPr>
        <w:t xml:space="preserve">Margen bajo</w:t>
      </w:r>
      <w:r>
        <w:t xml:space="preserve">: contratos de precio fijo, costes de materiales y la fuerza del séquel israelí (más de 700 empleados en Israel).</w:t>
      </w:r>
      <w:r>
        <w:t xml:space="preserve"> </w:t>
      </w:r>
      <w:r>
        <w:t xml:space="preserve">-</w:t>
      </w:r>
      <w:r>
        <w:t xml:space="preserve"> </w:t>
      </w:r>
      <w:r>
        <w:rPr>
          <w:bCs/>
          <w:b/>
        </w:rPr>
        <w:t xml:space="preserve">Valkyrie</w:t>
      </w:r>
      <w:r>
        <w:t xml:space="preserve">: perdió la primera fase del CCA; una caída en pruebas paró los vuelos en agosto; la producción en serie depende de contratos que aún no están cerrados.</w:t>
      </w:r>
      <w:r>
        <w:t xml:space="preserve"> </w:t>
      </w:r>
      <w:r>
        <w:t xml:space="preserve">-</w:t>
      </w:r>
      <w:r>
        <w:t xml:space="preserve"> </w:t>
      </w:r>
      <w:r>
        <w:rPr>
          <w:bCs/>
          <w:b/>
        </w:rPr>
        <w:t xml:space="preserve">Concentración</w:t>
      </w:r>
      <w:r>
        <w:t xml:space="preserve">: el Gobierno de EE. UU. es el 69 % de las ventas. Hay riesgo de presupuestos prorrogados y de cierres del Gobierno (ya retrasó contratos a finales de 2025).</w:t>
      </w:r>
      <w:r>
        <w:t xml:space="preserve"> </w:t>
      </w:r>
      <w:r>
        <w:t xml:space="preserve">-</w:t>
      </w:r>
      <w:r>
        <w:t xml:space="preserve"> </w:t>
      </w:r>
      <w:r>
        <w:rPr>
          <w:bCs/>
          <w:b/>
        </w:rPr>
        <w:t xml:space="preserve">Israel</w:t>
      </w:r>
      <w:r>
        <w:t xml:space="preserve">: Orbit y la división de microondas tienen el riesgo geopolítico del país.</w:t>
      </w:r>
      <w:r>
        <w:t xml:space="preserve"> </w:t>
      </w:r>
      <w:r>
        <w:t xml:space="preserve">-</w:t>
      </w:r>
      <w:r>
        <w:t xml:space="preserve"> </w:t>
      </w:r>
      <w:r>
        <w:rPr>
          <w:bCs/>
          <w:b/>
        </w:rPr>
        <w:t xml:space="preserve">Riesgo de IA: medio.</w:t>
      </w:r>
      <w:r>
        <w:t xml:space="preserve"> </w:t>
      </w:r>
      <w:r>
        <w:t xml:space="preserve">La IA no sustituye un motor, un cohete ni un dron, y Kratos la usa (autonomía del Valkyrie). Pero desplaza el valor hacia el software de autonomía y de misión, donde Anduril, Shield AI y los grandes contratistas (Northrop pone el sistema de misión del Valkyrie) se quedan una parte creciente. Kratos corre el riesgo de ser el fabricante barato del avión, con poco margen. Es menor que en AeroVironment porque los motores, los hipersónicos y la microondas son hardware difícil de copiar.</w:t>
      </w:r>
    </w:p>
    <w:p>
      <w:pPr>
        <w:pStyle w:val="BodyText"/>
      </w:pPr>
      <w:r>
        <w:rPr>
          <w:bCs/>
          <w:b/>
        </w:rPr>
        <w:t xml:space="preserve">Señales que romperían la tesis aún más</w:t>
      </w:r>
      <w:r>
        <w:t xml:space="preserve"> </w:t>
      </w:r>
      <w:r>
        <w:t xml:space="preserve">(para no volver a mirarla): otra ampliación de capital, orgánico por debajo del 15 % dos trimestres seguidos, que no llegue el programa hipersónico de ~1.000 M o un recorte de la guía de 2027.</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Evento</w:t>
            </w:r>
          </w:p>
        </w:tc>
      </w:tr>
      <w:tr>
        <w:tc>
          <w:tcPr/>
          <w:p>
            <w:pPr>
              <w:pStyle w:val="Compact"/>
              <w:jc w:val="left"/>
            </w:pPr>
            <w:r>
              <w:t xml:space="preserve">Primeros de nov-2026</w:t>
            </w:r>
          </w:p>
        </w:tc>
        <w:tc>
          <w:tcPr/>
          <w:p>
            <w:pPr>
              <w:pStyle w:val="Compact"/>
              <w:jc w:val="left"/>
            </w:pPr>
            <w:r>
              <w:t xml:space="preserve">Resultados del 3T26 y primera guía de 2027 (objetivo +18-23 % orgánico, +100 pb de margen EBITDA) [1]</w:t>
            </w:r>
          </w:p>
        </w:tc>
      </w:tr>
      <w:tr>
        <w:tc>
          <w:tcPr/>
          <w:p>
            <w:pPr>
              <w:pStyle w:val="Compact"/>
              <w:jc w:val="left"/>
            </w:pPr>
            <w:r>
              <w:t xml:space="preserve">Antes de fin de 2026</w:t>
            </w:r>
          </w:p>
        </w:tc>
        <w:tc>
          <w:tcPr/>
          <w:p>
            <w:pPr>
              <w:pStyle w:val="Compact"/>
              <w:jc w:val="left"/>
            </w:pPr>
            <w:r>
              <w:t xml:space="preserve">Programa hipersónico de ~1.000 M que la empresa espera como contratista único [4][14]</w:t>
            </w:r>
          </w:p>
        </w:tc>
      </w:tr>
      <w:tr>
        <w:tc>
          <w:tcPr/>
          <w:p>
            <w:pPr>
              <w:pStyle w:val="Compact"/>
              <w:jc w:val="left"/>
            </w:pPr>
            <w:r>
              <w:t xml:space="preserve">Oct-dic 2026</w:t>
            </w:r>
          </w:p>
        </w:tc>
        <w:tc>
          <w:tcPr/>
          <w:p>
            <w:pPr>
              <w:pStyle w:val="Compact"/>
              <w:jc w:val="left"/>
            </w:pPr>
            <w:r>
              <w:t xml:space="preserve">Presupuesto de defensa FY27 de EE. UU.</w:t>
            </w:r>
          </w:p>
        </w:tc>
      </w:tr>
      <w:tr>
        <w:tc>
          <w:tcPr/>
          <w:p>
            <w:pPr>
              <w:pStyle w:val="Compact"/>
              <w:jc w:val="left"/>
            </w:pPr>
            <w:r>
              <w:t xml:space="preserve">2027</w:t>
            </w:r>
          </w:p>
        </w:tc>
        <w:tc>
          <w:tcPr/>
          <w:p>
            <w:pPr>
              <w:pStyle w:val="Compact"/>
              <w:jc w:val="left"/>
            </w:pPr>
            <w:r>
              <w:t xml:space="preserve">Producción de 3.000 motores pequeños, llegada de motores de cohete Zeus/Oriole (MACH-TB), objetivo de ≥ 700 M en hipersónicos [1][14]</w:t>
            </w:r>
          </w:p>
        </w:tc>
      </w:tr>
      <w:tr>
        <w:tc>
          <w:tcPr/>
          <w:p>
            <w:pPr>
              <w:pStyle w:val="Compact"/>
              <w:jc w:val="left"/>
            </w:pPr>
            <w:r>
              <w:t xml:space="preserve">2028-2029</w:t>
            </w:r>
          </w:p>
        </w:tc>
        <w:tc>
          <w:tcPr/>
          <w:p>
            <w:pPr>
              <w:pStyle w:val="Compact"/>
              <w:jc w:val="left"/>
            </w:pPr>
            <w:r>
              <w:t xml:space="preserve">Producción de ~40 Valkyrie al año; primera entrega del MQ-58 a los Marines (2029) [1][15]</w:t>
            </w:r>
          </w:p>
        </w:tc>
      </w:tr>
    </w:tbl>
    <w:bookmarkEnd w:id="31"/>
    <w:bookmarkStart w:id="32" w:name="encaje-en-cartera"/>
    <w:p>
      <w:pPr>
        <w:pStyle w:val="Heading2"/>
      </w:pPr>
      <w:r>
        <w:t xml:space="preserve">13. Encaje en cartera</w:t>
      </w:r>
    </w:p>
    <w:p>
      <w:pPr>
        <w:numPr>
          <w:ilvl w:val="0"/>
          <w:numId w:val="1011"/>
        </w:numPr>
        <w:pStyle w:val="Compact"/>
      </w:pPr>
      <w:r>
        <w:rPr>
          <w:bCs/>
          <w:b/>
        </w:rPr>
        <w:t xml:space="preserve">Bolsillo growth lleno (~20 %)</w:t>
      </w:r>
      <w:r>
        <w:t xml:space="preserve">: Nu (+19 %), Axon (+36 %), Shopify (+18 %), Snowflake (+13 %) y Samsara (+15 %), a precio actual con v11. La liquidez libre es casi nula, así que solo cabe sustituir. Alphabet se vende mañana y no cuenta como exposición a IA.</w:t>
      </w:r>
    </w:p>
    <w:p>
      <w:pPr>
        <w:numPr>
          <w:ilvl w:val="0"/>
          <w:numId w:val="1011"/>
        </w:numPr>
        <w:pStyle w:val="Compact"/>
      </w:pPr>
      <w:r>
        <w:rPr>
          <w:bCs/>
          <w:b/>
        </w:rPr>
        <w:t xml:space="preserve">Kratos no sustituye a ninguna y no entra en la lista de suplentes.</w:t>
      </w:r>
      <w:r>
        <w:t xml:space="preserve"> </w:t>
      </w:r>
      <w:r>
        <w:t xml:space="preserve">La señal es Vender (no comprar), con −14,4 % al precio actual frente al +13 % de la peor del bolsillo (Snowflake). La lista de suplentes no cambia: MongoDB, Toast, Zscaler, dLocal, Dexcom, argenx, Datadog, Saab y Natera.</w:t>
      </w:r>
    </w:p>
    <w:p>
      <w:pPr>
        <w:numPr>
          <w:ilvl w:val="0"/>
          <w:numId w:val="1011"/>
        </w:numPr>
        <w:pStyle w:val="Compact"/>
      </w:pPr>
      <w:r>
        <w:rPr>
          <w:bCs/>
          <w:b/>
        </w:rPr>
        <w:t xml:space="preserve">Si se quiere defensa en el bolsillo</w:t>
      </w:r>
      <w:r>
        <w:t xml:space="preserve">, la candidata sigue siendo</w:t>
      </w:r>
      <w:r>
        <w:t xml:space="preserve"> </w:t>
      </w:r>
      <w:r>
        <w:rPr>
          <w:bCs/>
          <w:b/>
        </w:rPr>
        <w:t xml:space="preserve">Saab</w:t>
      </w:r>
      <w:r>
        <w:t xml:space="preserve"> </w:t>
      </w:r>
      <w:r>
        <w:t xml:space="preserve">(Comprar con convicción baja): crece más (+30 % orgánico), cuesta menos (20x EBITDA), gana más y apenas diluye.</w:t>
      </w:r>
    </w:p>
    <w:p>
      <w:pPr>
        <w:numPr>
          <w:ilvl w:val="0"/>
          <w:numId w:val="1011"/>
        </w:numPr>
        <w:pStyle w:val="Compact"/>
      </w:pPr>
      <w:r>
        <w:rPr>
          <w:bCs/>
          <w:b/>
        </w:rPr>
        <w:t xml:space="preserve">Qué haría falta para revisarla</w:t>
      </w:r>
      <w:r>
        <w:t xml:space="preserve">: caja libre positiva o claramente camino de serlo, dilución anual por debajo del 4 %, margen EBITDA hacia el 12 % y el programa hipersónico grande adjudicado. Con un precio de ~32 USD o menos y la puntuación por encima de 60, podría pasar a Comprar. Hoy está lejos.</w:t>
      </w:r>
    </w:p>
    <w:p>
      <w:pPr>
        <w:numPr>
          <w:ilvl w:val="0"/>
          <w:numId w:val="1011"/>
        </w:numPr>
        <w:pStyle w:val="Compact"/>
      </w:pPr>
      <w:r>
        <w:t xml:space="preserve">No hay ninguna empresa de defensa en la cartera value.</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10</w:t>
            </w:r>
          </w:p>
        </w:tc>
        <w:tc>
          <w:tcPr/>
          <w:p>
            <w:pPr>
              <w:pStyle w:val="Compact"/>
              <w:jc w:val="left"/>
            </w:pPr>
            <w:r>
              <w:t xml:space="preserve">25</w:t>
            </w:r>
          </w:p>
        </w:tc>
        <w:tc>
          <w:tcPr/>
          <w:p>
            <w:pPr>
              <w:pStyle w:val="Compact"/>
              <w:jc w:val="left"/>
            </w:pPr>
            <w:r>
              <w:t xml:space="preserve">Orgánico 12 meses +19,5 % (2), crecimiento propio a 2 años +13 % (1), aceleración +0,4 pp (3)</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5,4 % (3), tecnología 4, posición 3</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 señal (catalizador); sin euforia</w:t>
            </w:r>
          </w:p>
        </w:tc>
      </w:tr>
      <w:tr>
        <w:tc>
          <w:tcPr/>
          <w:p>
            <w:pPr>
              <w:pStyle w:val="Compact"/>
              <w:jc w:val="left"/>
            </w:pPr>
            <w:r>
              <w:t xml:space="preserve">D. Economía unitaria</w:t>
            </w:r>
          </w:p>
        </w:tc>
        <w:tc>
          <w:tcPr/>
          <w:p>
            <w:pPr>
              <w:pStyle w:val="Compact"/>
              <w:jc w:val="left"/>
            </w:pPr>
            <w:r>
              <w:t xml:space="preserve">3</w:t>
            </w:r>
          </w:p>
        </w:tc>
        <w:tc>
          <w:tcPr/>
          <w:p>
            <w:pPr>
              <w:pStyle w:val="Compact"/>
              <w:jc w:val="left"/>
            </w:pPr>
            <w:r>
              <w:t xml:space="preserve">15</w:t>
            </w:r>
          </w:p>
        </w:tc>
        <w:tc>
          <w:tcPr/>
          <w:p>
            <w:pPr>
              <w:pStyle w:val="Compact"/>
              <w:jc w:val="left"/>
            </w:pPr>
            <w:r>
              <w:t xml:space="preserve">Margen bruto 23 % (1), regla del 40 = 13 (0), equilibrio de caja libre en ≤ 24 meses (2)</w:t>
            </w:r>
          </w:p>
        </w:tc>
      </w:tr>
      <w:tr>
        <w:tc>
          <w:tcPr/>
          <w:p>
            <w:pPr>
              <w:pStyle w:val="Compact"/>
              <w:jc w:val="left"/>
            </w:pPr>
            <w:r>
              <w:t xml:space="preserve">E. Caja y dilución</w:t>
            </w:r>
          </w:p>
        </w:tc>
        <w:tc>
          <w:tcPr/>
          <w:p>
            <w:pPr>
              <w:pStyle w:val="Compact"/>
              <w:jc w:val="left"/>
            </w:pPr>
            <w:r>
              <w:t xml:space="preserve">5</w:t>
            </w:r>
          </w:p>
        </w:tc>
        <w:tc>
          <w:tcPr/>
          <w:p>
            <w:pPr>
              <w:pStyle w:val="Compact"/>
              <w:jc w:val="left"/>
            </w:pPr>
            <w:r>
              <w:t xml:space="preserve">10</w:t>
            </w:r>
          </w:p>
        </w:tc>
        <w:tc>
          <w:tcPr/>
          <w:p>
            <w:pPr>
              <w:pStyle w:val="Compact"/>
              <w:jc w:val="left"/>
            </w:pPr>
            <w:r>
              <w:t xml:space="preserve">Pista amplia (5); dilución de 12 meses 11,5 % (0)</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c>
          <w:tcPr/>
          <w:p>
            <w:pPr>
              <w:pStyle w:val="Compact"/>
              <w:jc w:val="left"/>
            </w:pPr>
            <w:r>
              <w:t xml:space="preserve">Historial 4, dirección 3</w:t>
            </w:r>
          </w:p>
        </w:tc>
      </w:tr>
      <w:tr>
        <w:tc>
          <w:tcPr/>
          <w:p>
            <w:pPr>
              <w:pStyle w:val="Compact"/>
              <w:jc w:val="left"/>
            </w:pPr>
            <w:r>
              <w:rPr>
                <w:bCs/>
                <w:b/>
              </w:rPr>
              <w:t xml:space="preserve">Total</w:t>
            </w:r>
          </w:p>
        </w:tc>
        <w:tc>
          <w:tcPr/>
          <w:p>
            <w:pPr>
              <w:pStyle w:val="Compact"/>
              <w:jc w:val="left"/>
            </w:pPr>
            <w:r>
              <w:rPr>
                <w:bCs/>
                <w:b/>
              </w:rPr>
              <w:t xml:space="preserve">40,8</w:t>
            </w:r>
          </w:p>
        </w:tc>
        <w:tc>
          <w:tcPr/>
          <w:p>
            <w:pPr>
              <w:pStyle w:val="Compact"/>
              <w:jc w:val="left"/>
            </w:pPr>
            <w:r>
              <w:rPr>
                <w:bCs/>
                <w:b/>
              </w:rPr>
              <w:t xml:space="preserve">100</w:t>
            </w:r>
          </w:p>
        </w:tc>
        <w:tc>
          <w:tcPr/>
          <w:p>
            <w:pPr>
              <w:pStyle w:val="Compact"/>
            </w:pPr>
          </w:p>
        </w:tc>
      </w:tr>
    </w:tbl>
    <w:p>
      <w:pPr>
        <w:pStyle w:val="BodyText"/>
      </w:pPr>
      <w:r>
        <w:rPr>
          <w:bCs/>
          <w:b/>
        </w:rPr>
        <w:t xml:space="preserve">Mejora de método propuesta</w:t>
      </w:r>
      <w:r>
        <w:t xml:space="preserve"> </w:t>
      </w:r>
      <w:r>
        <w:t xml:space="preserve">(no aplicada; para probar con el backtest):</w:t>
      </w:r>
      <w:r>
        <w:t xml:space="preserve"> </w:t>
      </w:r>
      <w:r>
        <w:t xml:space="preserve">1.</w:t>
      </w:r>
      <w:r>
        <w:t xml:space="preserve"> </w:t>
      </w:r>
      <w:r>
        <w:rPr>
          <w:bCs/>
          <w:b/>
        </w:rPr>
        <w:t xml:space="preserve">Dilución futura frente a pasada</w:t>
      </w:r>
      <w:r>
        <w:t xml:space="preserve">: el motor proyecta la dilución de los últimos 12 meses, que aquí es casi toda una ampliación puntual (febrero). Propongo un campo</w:t>
      </w:r>
      <w:r>
        <w:t xml:space="preserve"> </w:t>
      </w:r>
      <w:r>
        <w:rPr>
          <w:rStyle w:val="VerbatimChar"/>
        </w:rPr>
        <w:t xml:space="preserve">finanzas.dilucion_prevista_pct</w:t>
      </w:r>
      <w:r>
        <w:t xml:space="preserve"> </w:t>
      </w:r>
      <w:r>
        <w:t xml:space="preserve">(pagos en acciones + compras ya firmadas) para el precio, y dejar la pasada para la puntuación y una alerta. En Kratos cambia la ponderada de −16,9 % a −9,1 %, sin cambiar la señal.</w:t>
      </w:r>
      <w:r>
        <w:t xml:space="preserve"> </w:t>
      </w:r>
      <w:r>
        <w:t xml:space="preserve">2.</w:t>
      </w:r>
      <w:r>
        <w:t xml:space="preserve"> </w:t>
      </w:r>
      <w:r>
        <w:rPr>
          <w:bCs/>
          <w:b/>
        </w:rPr>
        <w:t xml:space="preserve">Margen guiado sin cifra objetivo</w:t>
      </w:r>
      <w:r>
        <w:t xml:space="preserve">: Kratos promete +1 punto de margen EBITDA al año, pero como no es un «objetivo a medio plazo» en cifra, v10 no lo usa. Se podría aceptar una guía de mejora anual explícita como</w:t>
      </w:r>
      <w:r>
        <w:t xml:space="preserve"> </w:t>
      </w:r>
      <w:r>
        <w:rPr>
          <w:rStyle w:val="VerbatimChar"/>
        </w:rPr>
        <w:t xml:space="preserve">margen_ebitda_obj_pct</w:t>
      </w:r>
      <w:r>
        <w:t xml:space="preserve">, solo si la empresa la ha cumplido el año anterior.</w:t>
      </w:r>
      <w:r>
        <w:t xml:space="preserve"> </w:t>
      </w:r>
      <w:r>
        <w:t xml:space="preserve">3. Se confirma la propuesta del informe de AeroVironment: con el crecimiento publicado, v11 castiga dos veces el frenazo (la rebaja del múltiplo se mide desde el crecimiento con compras); v12 lo corrige.</w:t>
      </w:r>
    </w:p>
    <w:bookmarkEnd w:id="33"/>
    <w:bookmarkStart w:id="34" w:name="fuentes"/>
    <w:p>
      <w:pPr>
        <w:pStyle w:val="Heading2"/>
      </w:pPr>
      <w:r>
        <w:t xml:space="preserve">Fuentes</w:t>
      </w:r>
    </w:p>
    <w:p>
      <w:pPr>
        <w:pStyle w:val="FirstParagraph"/>
      </w:pPr>
      <w:r>
        <w:t xml:space="preserve">[1] Kratos, nota de resultados del 2T26 (8-K del 4-ago-2026, anexo 99.1, SEC): ventas, orgánico, segmentos, EBITDA ajustado, caja libre, balance, cartera y guía del 3T26 y de 2026</w:t>
      </w:r>
      <w:r>
        <w:t xml:space="preserve"> </w:t>
      </w:r>
      <w:r>
        <w:t xml:space="preserve">[2] Kratos, nota de resultados del 2T25 (8-K del 7-ago-2025, SEC): orgánico del 2T25 y guía del 3T25</w:t>
      </w:r>
      <w:r>
        <w:t xml:space="preserve"> </w:t>
      </w:r>
      <w:r>
        <w:t xml:space="preserve">[3] Kratos, nota de resultados del 3T25 (8-K del 4-nov-2025, SEC): orgánico del 3T25, guía del 4T25 y objetivo preliminar de 2027</w:t>
      </w:r>
      <w:r>
        <w:t xml:space="preserve"> </w:t>
      </w:r>
      <w:r>
        <w:t xml:space="preserve">[4] Kratos, notas de resultados del 4T25 (8-K del 23-feb-2026) y del 1T26 (8-K del 6-may-2026) (SEC): año 2025, primera guía de 2026, guías del 1T26 y del 2T26</w:t>
      </w:r>
      <w:r>
        <w:t xml:space="preserve"> </w:t>
      </w:r>
      <w:r>
        <w:t xml:space="preserve">[5] Kratos, 10-Q del 2T26 (4-ago-2026, SEC) y XBRL de la SEC: Nomad, Orbit, pro forma, Gobierno de EE. UU., ampliaciones de capital, línea de crédito, acciones, pagos en acciones</w:t>
      </w:r>
      <w:r>
        <w:t xml:space="preserve"> </w:t>
      </w:r>
      <w:r>
        <w:t xml:space="preserve">[6] Kratos, 8-K del 7-nov-2025 y del 6-mar-2026 (SEC): compra de Orbit</w:t>
      </w:r>
      <w:r>
        <w:t xml:space="preserve"> </w:t>
      </w:r>
      <w:r>
        <w:t xml:space="preserve">[7] Kratos, 8-K del 2-mar-2026 (SEC): ampliación de capital de febrero de 2026</w:t>
      </w:r>
      <w:r>
        <w:t xml:space="preserve"> </w:t>
      </w:r>
      <w:r>
        <w:t xml:space="preserve">[8] Kratos, 424B3 y POSASR del 14-oct-2026 (SEC): compra de Jetset Airmotive</w:t>
      </w:r>
      <w:r>
        <w:t xml:space="preserve"> </w:t>
      </w:r>
      <w:r>
        <w:t xml:space="preserve">[9] StockAnalysis.com, previsiones de KTOS (14-oct-2026)</w:t>
      </w:r>
      <w:r>
        <w:t xml:space="preserve"> </w:t>
      </w:r>
      <w:r>
        <w:t xml:space="preserve">[10] Stocksguide y aktien.guide (oct-2026): estimaciones de ventas y EBITDA de 2027 y 2028</w:t>
      </w:r>
      <w:r>
        <w:t xml:space="preserve"> </w:t>
      </w:r>
      <w:r>
        <w:t xml:space="preserve">[11] Yahoo Finance chart API (KTOS, ^IXIC, ITA): cierre de 40,35 USD el 13-oct y 39,245 USD a las 18:34 UTC del 14-oct; Nasdaq.com (histórico) como segunda fuente del cierre</w:t>
      </w:r>
      <w:r>
        <w:t xml:space="preserve"> </w:t>
      </w:r>
      <w:r>
        <w:t xml:space="preserve">[12] Múltiplos históricos: estimación propia con cierres mensuales de Yahoo, acciones del XBRL de la SEC y EBITDA ajustado real o guiado</w:t>
      </w:r>
      <w:r>
        <w:t xml:space="preserve"> </w:t>
      </w:r>
      <w:r>
        <w:t xml:space="preserve">[13] Motley Fool (11-may-2026) y Yahoo Finance / Motley Fool (18-jun-2026)</w:t>
      </w:r>
      <w:r>
        <w:t xml:space="preserve"> </w:t>
      </w:r>
      <w:r>
        <w:t xml:space="preserve">[14] TIKR (8-sep-2026, en inglés y en castellano)</w:t>
      </w:r>
      <w:r>
        <w:t xml:space="preserve"> </w:t>
      </w:r>
      <w:r>
        <w:t xml:space="preserve">[15] The War Zone (5-ago-2026): caída de un Valkyrie en Dugway</w:t>
      </w:r>
      <w:r>
        <w:t xml:space="preserve"> </w:t>
      </w:r>
      <w:r>
        <w:t xml:space="preserve">[16] StockStory (21-ene-2026) y Entarabi/Zacks (8-oct-2026)</w:t>
      </w:r>
      <w:r>
        <w:t xml:space="preserve"> </w:t>
      </w:r>
      <w:r>
        <w:t xml:space="preserve">[17] SEC, formularios 4 y 144 de may-sep 2026</w:t>
      </w:r>
      <w:r>
        <w:t xml:space="preserve"> </w:t>
      </w:r>
      <w:r>
        <w:t xml:space="preserve">[18] GuruFocus (jun-2026), Trefis y ClearanceJobs (13-may-2026)</w:t>
      </w:r>
      <w:r>
        <w:t xml:space="preserve"> </w:t>
      </w:r>
      <w:r>
        <w:t xml:space="preserve">[19] StockStory (ene-2026: contrato de los Marines), MarketScreener (jul-2025: Airbus) y Entarabi (oct-2026: contratos espaciales y motor GEK800)</w:t>
      </w:r>
      <w:r>
        <w:t xml:space="preserve"> </w:t>
      </w:r>
      <w:r>
        <w:t xml:space="preserve">[20] Rankia (ficha de KTOS, 5-sep-2026)</w:t>
      </w:r>
    </w:p>
    <w:p>
      <w:pPr>
        <w:pStyle w:val="BodyText"/>
      </w:pPr>
      <w:r>
        <w:rPr>
          <w:iCs/>
          <w:i/>
        </w:rPr>
        <w:t xml:space="preserve">Limitaciones: son estimaciones propias, y así se dice en cada caso, las ventas pro forma de 12 meses (las de Nomad y Orbit antes de comprarlas en el 2S25), el crecimiento orgánico de 12 meses y a 2 años, el EBITDA del 1S27, la mediana y el mínimo del múltiplo a 3 años (el EBITDA de 2023, de memoria), el mercado alcanzable y el consenso en la ventana a junio de 2028 (de agregadores, no de FactSet). No he localizado foros en castellano ni hilos recientes de Reddit o Seeking Alpha. La ampliación de principios de 2024 es de memoria.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2026-10-14T21:41:50Z</dcterms:created>
  <dcterms:modified xsi:type="dcterms:W3CDTF">2026-10-14T21:41:50Z</dcterms:modified>
</cp:coreProperties>
</file>

<file path=docProps/custom.xml><?xml version="1.0" encoding="utf-8"?>
<Properties xmlns="http://schemas.openxmlformats.org/officeDocument/2006/custom-properties" xmlns:vt="http://schemas.openxmlformats.org/officeDocument/2006/docPropsVTypes"/>
</file>