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fb2ca06b6591aee693fb290a0f66aa121eb4f4b"/>
    <w:p>
      <w:pPr>
        <w:pStyle w:val="Heading1"/>
      </w:pPr>
      <w:r>
        <w:t xml:space="preserve">Madrigal Pharmaceuticals (MDGL): análisis growth, 14-oct-2026</w:t>
      </w:r>
    </w:p>
    <w:p>
      <w:pPr>
        <w:pStyle w:val="FirstParagraph"/>
      </w:pPr>
      <w:r>
        <w:rPr>
          <w:bCs/>
          <w:b/>
        </w:rPr>
        <w:t xml:space="preserve">Señal (método v11, vigente): Mantener, en vigilancia</w:t>
      </w:r>
      <w:r>
        <w:t xml:space="preserve"> </w:t>
      </w:r>
      <w:r>
        <w:t xml:space="preserve">· Puntuación 61,8/100 · Señales de cambio de tendencia 1/8 · EV/beneficio bruto NTM 7,9x</w:t>
      </w:r>
      <w:r>
        <w:t xml:space="preserve"> </w:t>
      </w:r>
      <w:r>
        <w:t xml:space="preserve">Precio 452,12 USD (cierre del 13-oct) · Objetivo 12 m 472,1 USD · Ponderada +4,4 % · Base +15,2 % · Bajista −43,7 % · Alcista +80,6 % · Compra hasta 449,6 USD</w:t>
      </w:r>
      <w:r>
        <w:t xml:space="preserve"> </w:t>
      </w:r>
      <w:r>
        <w:rPr>
          <w:bCs/>
          <w:b/>
        </w:rPr>
        <w:t xml:space="preserve">Al precio actual</w:t>
      </w:r>
      <w:r>
        <w:t xml:space="preserve"> </w:t>
      </w:r>
      <w:r>
        <w:t xml:space="preserve">(460,91 USD, 14-oct, 18:19 UTC; objetivo fijo): ponderada +2,4 %, base +13,0 %, bajista −44,7 %.</w:t>
      </w:r>
      <w:r>
        <w:t xml:space="preserve"> </w:t>
      </w:r>
      <w:r>
        <w:rPr>
          <w:bCs/>
          <w:b/>
        </w:rPr>
        <w:t xml:space="preserve">Referencia v9:</w:t>
      </w:r>
      <w:r>
        <w:t xml:space="preserve"> </w:t>
      </w:r>
      <w:r>
        <w:t xml:space="preserve">Comprar con convicción baja. Ponderada +24,5 %, base +42,5 %, bajista −41,1 %, compra hasta 536,1 USD. La diferencia está en las ventas: v9 proyecta 3.102 M en el escenario base y v11 se queda con las mías, 2.500 M, que coinciden con el consenso (2.496 M).</w:t>
      </w:r>
      <w:r>
        <w:t xml:space="preserve"> </w:t>
      </w:r>
      <w:r>
        <w:rPr>
          <w:bCs/>
          <w:b/>
        </w:rPr>
        <w:t xml:space="preserve">Alertas de robustez</w:t>
      </w:r>
      <w:r>
        <w:t xml:space="preserve"> </w:t>
      </w:r>
      <w:r>
        <w:t xml:space="preserve">(</w:t>
      </w:r>
      <w:r>
        <w:rPr>
          <w:rStyle w:val="VerbatimChar"/>
        </w:rPr>
        <w:t xml:space="preserve">calc.alertas</w:t>
      </w:r>
      <w:r>
        <w:t xml:space="preserve">): tres. La proyección mecánica supera en más de 1,2 veces a la mía, la empresa no da guía y dos clientes suman el 48 % de las ventas. Ninguna rompe la tesis (sección 11).</w:t>
      </w:r>
      <w:r>
        <w:t xml:space="preserve"> </w:t>
      </w:r>
      <w:r>
        <w:rPr>
          <w:bCs/>
          <w:b/>
        </w:rPr>
        <w:t xml:space="preserve">Prueba de robustez:</w:t>
      </w:r>
      <w:r>
        <w:t xml:space="preserve"> </w:t>
      </w:r>
      <w:r>
        <w:t xml:space="preserve">FRÁGIL. La acción robusta es Mantener (sección 11).</w:t>
      </w:r>
      <w:r>
        <w:t xml:space="preserve"> </w:t>
      </w:r>
      <w:r>
        <w:t xml:space="preserve">Peso orientativo:</w:t>
      </w:r>
      <w:r>
        <w:t xml:space="preserve"> </w:t>
      </w:r>
      <w:r>
        <w:rPr>
          <w:bCs/>
          <w:b/>
        </w:rPr>
        <w:t xml:space="preserve">no entra</w:t>
      </w:r>
      <w:r>
        <w:t xml:space="preserve">. No sustituye a ninguna posición y no entra en la lista de suplentes mientras no baje de 449,6 USD (sección 13).</w:t>
      </w:r>
    </w:p>
    <w:p>
      <w:pPr>
        <w:pStyle w:val="BlockText"/>
      </w:pPr>
      <w:r>
        <w:rPr>
          <w:bCs/>
          <w:b/>
        </w:rPr>
        <w:t xml:space="preserve">Valorada por EV/ventas NTM</w:t>
      </w:r>
      <w:r>
        <w:t xml:space="preserve"> </w:t>
      </w:r>
      <w:r>
        <w:t xml:space="preserve">porque Madrigal aún no es rentable de forma estable. En el 2T26 tuvo pérdida operativa (−56 M USD), el FCF de los últimos 12 meses es de −206 M y el EBITDA de consenso de 2026 es negativo (−178 M). No tiene sentido valorarla por EBITDA o beneficio hasta 2027-28.</w:t>
      </w:r>
      <w:r>
        <w:t xml:space="preserve"> </w:t>
      </w:r>
      <w:r>
        <w:rPr>
          <w:bCs/>
          <w:b/>
        </w:rPr>
        <w:t xml:space="preserve">En una línea:</w:t>
      </w:r>
      <w:r>
        <w:t xml:space="preserve"> </w:t>
      </w:r>
      <w:r>
        <w:t xml:space="preserve">Rezdiffra es el primer fármaco para el hígado graso con fibrosis y vende ya 1.284 M al año, pero al precio de hoy el mercado paga más o menos lo que esperan los analistas. Con un solo producto y los agonistas de GLP-1 al lado, el margen de seguridad no llega al 5 % que pide el método.</w:t>
      </w:r>
    </w:p>
    <w:bookmarkStart w:id="20" w:name="la-tesis-en-cinco-líneas"/>
    <w:p>
      <w:pPr>
        <w:pStyle w:val="Heading2"/>
      </w:pPr>
      <w:r>
        <w:t xml:space="preserve">1. La tesis en cinco líneas</w:t>
      </w:r>
    </w:p>
    <w:p>
      <w:pPr>
        <w:numPr>
          <w:ilvl w:val="0"/>
          <w:numId w:val="1001"/>
        </w:numPr>
        <w:pStyle w:val="Compact"/>
      </w:pPr>
      <w:r>
        <w:rPr>
          <w:bCs/>
          <w:b/>
        </w:rPr>
        <w:t xml:space="preserve">Rezdiffra (resmetirom)</w:t>
      </w:r>
      <w:r>
        <w:t xml:space="preserve"> </w:t>
      </w:r>
      <w:r>
        <w:t xml:space="preserve">fue el primer fármaco aprobado para la MASH, el hígado graso con inflamación y fibrosis moderada o avanzada (F2-F3): en EE. UU. en marzo de 2024 y en la UE en 2025. En los últimos 12 meses vendió 1.284 M USD, un 149 % más que un año antes, y ya lo toman más de 50.000 pacientes [1][9].</w:t>
      </w:r>
    </w:p>
    <w:p>
      <w:pPr>
        <w:numPr>
          <w:ilvl w:val="0"/>
          <w:numId w:val="1001"/>
        </w:numPr>
        <w:pStyle w:val="Compact"/>
      </w:pPr>
      <w:r>
        <w:rPr>
          <w:bCs/>
          <w:b/>
        </w:rPr>
        <w:t xml:space="preserve">El negocio está a punto de dejar de quemar caja.</w:t>
      </w:r>
      <w:r>
        <w:t xml:space="preserve"> </w:t>
      </w:r>
      <w:r>
        <w:t xml:space="preserve">El margen bruto es del 91,5 %, el flujo de caja operativo del 2T26 fue positivo (+23 M) y los analistas esperan FCF positivo en 2027. La caja neta es de 489 M y la pista llega a 49 meses incluso con la quema de 12 meses, inflada por 255 M de pagos únicos de licencias [1][2][6].</w:t>
      </w:r>
    </w:p>
    <w:p>
      <w:pPr>
        <w:numPr>
          <w:ilvl w:val="0"/>
          <w:numId w:val="1001"/>
        </w:numPr>
        <w:pStyle w:val="Compact"/>
      </w:pPr>
      <w:r>
        <w:rPr>
          <w:bCs/>
          <w:b/>
        </w:rPr>
        <w:t xml:space="preserve">La valoración es razonable, no barata.</w:t>
      </w:r>
      <w:r>
        <w:t xml:space="preserve"> </w:t>
      </w:r>
      <w:r>
        <w:t xml:space="preserve">El EV es de 13.436 M: 7,3 veces las ventas de los 12 meses siguientes y 7,9 veces el beneficio bruto, por debajo de su mediana de 3 años (8,7x) y en línea con los comparables (7,8x). Con las ventas de consenso de la ventana objetivo (2.500 M) y la rebaja del múltiplo por la desaceleración, el base da +15 %. El bajista (−44 %) y su peso del 35 %, por depender de un solo producto, dejan la ponderada en +4,4 %.</w:t>
      </w:r>
    </w:p>
    <w:p>
      <w:pPr>
        <w:numPr>
          <w:ilvl w:val="0"/>
          <w:numId w:val="1001"/>
        </w:numPr>
        <w:pStyle w:val="Compact"/>
      </w:pPr>
      <w:r>
        <w:rPr>
          <w:bCs/>
          <w:b/>
        </w:rPr>
        <w:t xml:space="preserve">Tendencia: 1 de 8 señales.</w:t>
      </w:r>
      <w:r>
        <w:t xml:space="preserve"> </w:t>
      </w:r>
      <w:r>
        <w:t xml:space="preserve">Solo hay inflexión operativa. La acción cae un 14 % en 6 meses, mientras el Nasdaq-100 sube un 20 %. Está muy por debajo de su media de 200 sesiones, las estimaciones de beneficio de 2027 bajan y en 6 meses no hay ningún catalizador con fecha.</w:t>
      </w:r>
    </w:p>
    <w:p>
      <w:pPr>
        <w:numPr>
          <w:ilvl w:val="0"/>
          <w:numId w:val="1001"/>
        </w:numPr>
        <w:pStyle w:val="Compact"/>
      </w:pPr>
      <w:r>
        <w:rPr>
          <w:bCs/>
          <w:b/>
        </w:rPr>
        <w:t xml:space="preserve">Conclusión: Mantener en vigilancia.</w:t>
      </w:r>
      <w:r>
        <w:t xml:space="preserve"> </w:t>
      </w:r>
      <w:r>
        <w:t xml:space="preserve">Es buen negocio con un precio justo. Pasaría a Comprar por debajo de 449,6 USD, un 2 % bajo el precio de hoy. El salto de verdad vendría de un resultado positivo en cirrosis en 2027 o de que el 3T (29-oct) bata el consenso con holgura.</w:t>
      </w:r>
    </w:p>
    <w:bookmarkEnd w:id="20"/>
    <w:bookmarkStart w:id="21" w:name="negocio-y-tecnología"/>
    <w:p>
      <w:pPr>
        <w:pStyle w:val="Heading2"/>
      </w:pPr>
      <w:r>
        <w:t xml:space="preserve">2. Negocio y tecnología</w:t>
      </w:r>
    </w:p>
    <w:p>
      <w:pPr>
        <w:pStyle w:val="FirstParagraph"/>
      </w:pPr>
      <w:r>
        <w:t xml:space="preserve">Madrigal (Conshohocken, Pensilvania) vende un solo fármaco [1][2]:</w:t>
      </w:r>
    </w:p>
    <w:p>
      <w:pPr>
        <w:numPr>
          <w:ilvl w:val="0"/>
          <w:numId w:val="1002"/>
        </w:numPr>
        <w:pStyle w:val="Compact"/>
      </w:pPr>
      <w:r>
        <w:rPr>
          <w:bCs/>
          <w:b/>
        </w:rPr>
        <w:t xml:space="preserve">Rezdiffra (resmetirom, oral, una vez al día).</w:t>
      </w:r>
      <w:r>
        <w:t xml:space="preserve"> </w:t>
      </w:r>
      <w:r>
        <w:t xml:space="preserve">Es un agonista del receptor beta de la hormona tiroidea que actúa solo en el hígado: acelera la quema de grasa hepática y reduce la inflamación y la fibrosis. En el fase 3 MAESTRO-NASH resolvió la MASH o mejoró la fibrosis en bastantes más pacientes que el placebo. En octubre publicó un análisis que muestra el mismo efecto en todos los perfiles genéticos de riesgo [10]. Tiene aprobación acelerada en F2-F3. La aprobación completa depende del ensayo de resultados clínicos: el de F2-F3 da datos en 2028 y el de cirrosis compensada (F4c), en 2027 [9].</w:t>
      </w:r>
    </w:p>
    <w:p>
      <w:pPr>
        <w:numPr>
          <w:ilvl w:val="0"/>
          <w:numId w:val="1002"/>
        </w:numPr>
        <w:pStyle w:val="Compact"/>
      </w:pPr>
      <w:r>
        <w:rPr>
          <w:bCs/>
          <w:b/>
        </w:rPr>
        <w:t xml:space="preserve">Precio</w:t>
      </w:r>
      <w:r>
        <w:t xml:space="preserve">: ~47.400 USD al año de lista. Con un descuento bruto-neto en la parte media-alta del 30 %, quedan ~30.000 USD netos [9] (lista de memoria, sin comprobar).</w:t>
      </w:r>
    </w:p>
    <w:p>
      <w:pPr>
        <w:numPr>
          <w:ilvl w:val="0"/>
          <w:numId w:val="1002"/>
        </w:numPr>
        <w:pStyle w:val="Compact"/>
      </w:pPr>
      <w:r>
        <w:rPr>
          <w:bCs/>
          <w:b/>
        </w:rPr>
        <w:t xml:space="preserve">Cartera, toda en combinación con Rezdiffra</w:t>
      </w:r>
      <w:r>
        <w:t xml:space="preserve">: MGL-2086, un GLP-1 oral licenciado de CSPC, en fase 1 desde junio; ervogastat (DGAT-2, de Pfizer); MGL-0795 (siRNA contra PNPLA3, de Arrowhead); y seis programas siRNA de Ribocure. Ha pagado 255 M USD por adelantado en licencias en 12 meses [1][2][9].</w:t>
      </w:r>
    </w:p>
    <w:p>
      <w:pPr>
        <w:numPr>
          <w:ilvl w:val="0"/>
          <w:numId w:val="1002"/>
        </w:numPr>
        <w:pStyle w:val="Compact"/>
      </w:pPr>
      <w:r>
        <w:rPr>
          <w:bCs/>
          <w:b/>
        </w:rPr>
        <w:t xml:space="preserve">Europa</w:t>
      </w:r>
      <w:r>
        <w:t xml:space="preserve">: lanzado en Alemania en septiembre de 2025, con acceso temprano en Francia y aprobación en el Reino Unido. Las ventas son «insignificantes» por la incertidumbre de precios [9].</w:t>
      </w:r>
    </w:p>
    <w:p>
      <w:pPr>
        <w:pStyle w:val="FirstParagraph"/>
      </w:pPr>
      <w:r>
        <w:rPr>
          <w:bCs/>
          <w:b/>
        </w:rPr>
        <w:t xml:space="preserve">Tecnología 4/5</w:t>
      </w:r>
      <w:r>
        <w:t xml:space="preserve">: es el primero de su clase en MASH, tiene patentes hasta 2045 en EE. UU. [1] y es una pastilla bien tolerada. No le doy el 5 porque los agonistas de GLP-1 (Wegovy) consiguen resolver la MASH en más pacientes en sus ensayos, aunque no hay comparación directa.</w:t>
      </w:r>
      <w:r>
        <w:t xml:space="preserve"> </w:t>
      </w:r>
      <w:r>
        <w:rPr>
          <w:bCs/>
          <w:b/>
        </w:rPr>
        <w:t xml:space="preserve">Posición 4/5</w:t>
      </w:r>
      <w:r>
        <w:t xml:space="preserve">: es el líder de los fármacos específicos para MASH, pero Wegovy está aprobado para lo mismo desde agosto de 2025 [11].</w:t>
      </w:r>
    </w:p>
    <w:bookmarkEnd w:id="21"/>
    <w:bookmarkStart w:id="22" w:name="crecimiento"/>
    <w:p>
      <w:pPr>
        <w:pStyle w:val="Heading2"/>
      </w:pPr>
      <w:r>
        <w:t xml:space="preserve">3. Crecimiento</w:t>
      </w:r>
    </w:p>
    <w:p>
      <w:pPr>
        <w:pStyle w:val="FirstParagraph"/>
      </w:pPr>
      <w:r>
        <w:t xml:space="preserve">Ventas netas por trimestre (M USD) [1][3][7]:</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Trimestre</w:t>
            </w:r>
          </w:p>
        </w:tc>
        <w:tc>
          <w:tcPr/>
          <w:p>
            <w:pPr>
              <w:pStyle w:val="Compact"/>
              <w:jc w:val="left"/>
            </w:pPr>
            <w:r>
              <w:t xml:space="preserve">Ventas</w:t>
            </w:r>
          </w:p>
        </w:tc>
        <w:tc>
          <w:tcPr/>
          <w:p>
            <w:pPr>
              <w:pStyle w:val="Compact"/>
              <w:jc w:val="left"/>
            </w:pPr>
            <w:r>
              <w:t xml:space="preserve">Crec. interanual</w:t>
            </w:r>
          </w:p>
        </w:tc>
      </w:tr>
      <w:tr>
        <w:tc>
          <w:tcPr/>
          <w:p>
            <w:pPr>
              <w:pStyle w:val="Compact"/>
              <w:jc w:val="left"/>
            </w:pPr>
            <w:r>
              <w:t xml:space="preserve">3T 2024</w:t>
            </w:r>
          </w:p>
        </w:tc>
        <w:tc>
          <w:tcPr/>
          <w:p>
            <w:pPr>
              <w:pStyle w:val="Compact"/>
              <w:jc w:val="left"/>
            </w:pPr>
            <w:r>
              <w:t xml:space="preserve">62,2</w:t>
            </w:r>
          </w:p>
        </w:tc>
        <w:tc>
          <w:tcPr/>
          <w:p>
            <w:pPr>
              <w:pStyle w:val="Compact"/>
              <w:jc w:val="left"/>
            </w:pPr>
            <w:r>
              <w:t xml:space="preserve">—</w:t>
            </w:r>
          </w:p>
        </w:tc>
      </w:tr>
      <w:tr>
        <w:tc>
          <w:tcPr/>
          <w:p>
            <w:pPr>
              <w:pStyle w:val="Compact"/>
              <w:jc w:val="left"/>
            </w:pPr>
            <w:r>
              <w:t xml:space="preserve">4T 2024</w:t>
            </w:r>
          </w:p>
        </w:tc>
        <w:tc>
          <w:tcPr/>
          <w:p>
            <w:pPr>
              <w:pStyle w:val="Compact"/>
              <w:jc w:val="left"/>
            </w:pPr>
            <w:r>
              <w:t xml:space="preserve">103,3</w:t>
            </w:r>
          </w:p>
        </w:tc>
        <w:tc>
          <w:tcPr/>
          <w:p>
            <w:pPr>
              <w:pStyle w:val="Compact"/>
              <w:jc w:val="left"/>
            </w:pPr>
            <w:r>
              <w:t xml:space="preserve">—</w:t>
            </w:r>
          </w:p>
        </w:tc>
      </w:tr>
      <w:tr>
        <w:tc>
          <w:tcPr/>
          <w:p>
            <w:pPr>
              <w:pStyle w:val="Compact"/>
              <w:jc w:val="left"/>
            </w:pPr>
            <w:r>
              <w:t xml:space="preserve">1T 2025</w:t>
            </w:r>
          </w:p>
        </w:tc>
        <w:tc>
          <w:tcPr/>
          <w:p>
            <w:pPr>
              <w:pStyle w:val="Compact"/>
              <w:jc w:val="left"/>
            </w:pPr>
            <w:r>
              <w:t xml:space="preserve">137,3</w:t>
            </w:r>
          </w:p>
        </w:tc>
        <w:tc>
          <w:tcPr/>
          <w:p>
            <w:pPr>
              <w:pStyle w:val="Compact"/>
              <w:jc w:val="left"/>
            </w:pPr>
            <w:r>
              <w:t xml:space="preserve">—</w:t>
            </w:r>
          </w:p>
        </w:tc>
      </w:tr>
      <w:tr>
        <w:tc>
          <w:tcPr/>
          <w:p>
            <w:pPr>
              <w:pStyle w:val="Compact"/>
              <w:jc w:val="left"/>
            </w:pPr>
            <w:r>
              <w:t xml:space="preserve">2T 2025</w:t>
            </w:r>
          </w:p>
        </w:tc>
        <w:tc>
          <w:tcPr/>
          <w:p>
            <w:pPr>
              <w:pStyle w:val="Compact"/>
              <w:jc w:val="left"/>
            </w:pPr>
            <w:r>
              <w:t xml:space="preserve">212,8</w:t>
            </w:r>
          </w:p>
        </w:tc>
        <w:tc>
          <w:tcPr/>
          <w:p>
            <w:pPr>
              <w:pStyle w:val="Compact"/>
              <w:jc w:val="left"/>
            </w:pPr>
            <w:r>
              <w:t xml:space="preserve">+1.354 %</w:t>
            </w:r>
          </w:p>
        </w:tc>
      </w:tr>
      <w:tr>
        <w:tc>
          <w:tcPr/>
          <w:p>
            <w:pPr>
              <w:pStyle w:val="Compact"/>
              <w:jc w:val="left"/>
            </w:pPr>
            <w:r>
              <w:t xml:space="preserve">3T 2025</w:t>
            </w:r>
          </w:p>
        </w:tc>
        <w:tc>
          <w:tcPr/>
          <w:p>
            <w:pPr>
              <w:pStyle w:val="Compact"/>
              <w:jc w:val="left"/>
            </w:pPr>
            <w:r>
              <w:t xml:space="preserve">287,3</w:t>
            </w:r>
          </w:p>
        </w:tc>
        <w:tc>
          <w:tcPr/>
          <w:p>
            <w:pPr>
              <w:pStyle w:val="Compact"/>
              <w:jc w:val="left"/>
            </w:pPr>
            <w:r>
              <w:t xml:space="preserve">+362 %</w:t>
            </w:r>
          </w:p>
        </w:tc>
      </w:tr>
      <w:tr>
        <w:tc>
          <w:tcPr/>
          <w:p>
            <w:pPr>
              <w:pStyle w:val="Compact"/>
              <w:jc w:val="left"/>
            </w:pPr>
            <w:r>
              <w:t xml:space="preserve">4T 2025</w:t>
            </w:r>
          </w:p>
        </w:tc>
        <w:tc>
          <w:tcPr/>
          <w:p>
            <w:pPr>
              <w:pStyle w:val="Compact"/>
              <w:jc w:val="left"/>
            </w:pPr>
            <w:r>
              <w:t xml:space="preserve">321,1</w:t>
            </w:r>
          </w:p>
        </w:tc>
        <w:tc>
          <w:tcPr/>
          <w:p>
            <w:pPr>
              <w:pStyle w:val="Compact"/>
              <w:jc w:val="left"/>
            </w:pPr>
            <w:r>
              <w:t xml:space="preserve">+211 %</w:t>
            </w:r>
          </w:p>
        </w:tc>
      </w:tr>
      <w:tr>
        <w:tc>
          <w:tcPr/>
          <w:p>
            <w:pPr>
              <w:pStyle w:val="Compact"/>
              <w:jc w:val="left"/>
            </w:pPr>
            <w:r>
              <w:t xml:space="preserve">1T 2026</w:t>
            </w:r>
          </w:p>
        </w:tc>
        <w:tc>
          <w:tcPr/>
          <w:p>
            <w:pPr>
              <w:pStyle w:val="Compact"/>
              <w:jc w:val="left"/>
            </w:pPr>
            <w:r>
              <w:t xml:space="preserve">311,3</w:t>
            </w:r>
          </w:p>
        </w:tc>
        <w:tc>
          <w:tcPr/>
          <w:p>
            <w:pPr>
              <w:pStyle w:val="Compact"/>
              <w:jc w:val="left"/>
            </w:pPr>
            <w:r>
              <w:t xml:space="preserve">+127 %</w:t>
            </w:r>
          </w:p>
        </w:tc>
      </w:tr>
      <w:tr>
        <w:tc>
          <w:tcPr/>
          <w:p>
            <w:pPr>
              <w:pStyle w:val="Compact"/>
              <w:jc w:val="left"/>
            </w:pPr>
            <w:r>
              <w:t xml:space="preserve">2T 2026</w:t>
            </w:r>
          </w:p>
        </w:tc>
        <w:tc>
          <w:tcPr/>
          <w:p>
            <w:pPr>
              <w:pStyle w:val="Compact"/>
              <w:jc w:val="left"/>
            </w:pPr>
            <w:r>
              <w:t xml:space="preserve">364,3</w:t>
            </w:r>
          </w:p>
        </w:tc>
        <w:tc>
          <w:tcPr/>
          <w:p>
            <w:pPr>
              <w:pStyle w:val="Compact"/>
              <w:jc w:val="left"/>
            </w:pPr>
            <w:r>
              <w:t xml:space="preserve">+71 %</w:t>
            </w:r>
          </w:p>
        </w:tc>
      </w:tr>
      <w:tr>
        <w:tc>
          <w:tcPr/>
          <w:p>
            <w:pPr>
              <w:pStyle w:val="Compact"/>
              <w:jc w:val="left"/>
            </w:pPr>
            <w:r>
              <w:t xml:space="preserve">3T 2026 (consenso)</w:t>
            </w:r>
          </w:p>
        </w:tc>
        <w:tc>
          <w:tcPr/>
          <w:p>
            <w:pPr>
              <w:pStyle w:val="Compact"/>
              <w:jc w:val="left"/>
            </w:pPr>
            <w:r>
              <w:t xml:space="preserve">406,3</w:t>
            </w:r>
          </w:p>
        </w:tc>
        <w:tc>
          <w:tcPr/>
          <w:p>
            <w:pPr>
              <w:pStyle w:val="Compact"/>
              <w:jc w:val="left"/>
            </w:pPr>
            <w:r>
              <w:t xml:space="preserve">+41 %</w:t>
            </w:r>
          </w:p>
        </w:tc>
      </w:tr>
      <w:tr>
        <w:tc>
          <w:tcPr/>
          <w:p>
            <w:pPr>
              <w:pStyle w:val="Compact"/>
              <w:jc w:val="left"/>
            </w:pPr>
            <w:r>
              <w:t xml:space="preserve">4T 2026 (consenso)</w:t>
            </w:r>
          </w:p>
        </w:tc>
        <w:tc>
          <w:tcPr/>
          <w:p>
            <w:pPr>
              <w:pStyle w:val="Compact"/>
              <w:jc w:val="left"/>
            </w:pPr>
            <w:r>
              <w:t xml:space="preserve">446,6</w:t>
            </w:r>
          </w:p>
        </w:tc>
        <w:tc>
          <w:tcPr/>
          <w:p>
            <w:pPr>
              <w:pStyle w:val="Compact"/>
              <w:jc w:val="left"/>
            </w:pPr>
            <w:r>
              <w:t xml:space="preserve">+39 %</w:t>
            </w:r>
          </w:p>
        </w:tc>
      </w:tr>
    </w:tbl>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Ejercicio</w:t>
            </w:r>
          </w:p>
        </w:tc>
        <w:tc>
          <w:tcPr/>
          <w:p>
            <w:pPr>
              <w:pStyle w:val="Compact"/>
              <w:jc w:val="left"/>
            </w:pPr>
            <w:r>
              <w:t xml:space="preserve">Ventas</w:t>
            </w:r>
          </w:p>
        </w:tc>
        <w:tc>
          <w:tcPr/>
          <w:p>
            <w:pPr>
              <w:pStyle w:val="Compact"/>
              <w:jc w:val="left"/>
            </w:pPr>
            <w:r>
              <w:t xml:space="preserve">Crec.</w:t>
            </w:r>
          </w:p>
        </w:tc>
      </w:tr>
      <w:tr>
        <w:tc>
          <w:tcPr/>
          <w:p>
            <w:pPr>
              <w:pStyle w:val="Compact"/>
              <w:jc w:val="left"/>
            </w:pPr>
            <w:r>
              <w:t xml:space="preserve">2024</w:t>
            </w:r>
          </w:p>
        </w:tc>
        <w:tc>
          <w:tcPr/>
          <w:p>
            <w:pPr>
              <w:pStyle w:val="Compact"/>
              <w:jc w:val="left"/>
            </w:pPr>
            <w:r>
              <w:t xml:space="preserve">180,1</w:t>
            </w:r>
          </w:p>
        </w:tc>
        <w:tc>
          <w:tcPr/>
          <w:p>
            <w:pPr>
              <w:pStyle w:val="Compact"/>
              <w:jc w:val="left"/>
            </w:pPr>
            <w:r>
              <w:t xml:space="preserve">lanzamiento</w:t>
            </w:r>
          </w:p>
        </w:tc>
      </w:tr>
      <w:tr>
        <w:tc>
          <w:tcPr/>
          <w:p>
            <w:pPr>
              <w:pStyle w:val="Compact"/>
              <w:jc w:val="left"/>
            </w:pPr>
            <w:r>
              <w:t xml:space="preserve">2025</w:t>
            </w:r>
          </w:p>
        </w:tc>
        <w:tc>
          <w:tcPr/>
          <w:p>
            <w:pPr>
              <w:pStyle w:val="Compact"/>
              <w:jc w:val="left"/>
            </w:pPr>
            <w:r>
              <w:t xml:space="preserve">958,4</w:t>
            </w:r>
          </w:p>
        </w:tc>
        <w:tc>
          <w:tcPr/>
          <w:p>
            <w:pPr>
              <w:pStyle w:val="Compact"/>
              <w:jc w:val="left"/>
            </w:pPr>
            <w:r>
              <w:t xml:space="preserve">+432 %</w:t>
            </w:r>
          </w:p>
        </w:tc>
      </w:tr>
      <w:tr>
        <w:tc>
          <w:tcPr/>
          <w:p>
            <w:pPr>
              <w:pStyle w:val="Compact"/>
              <w:jc w:val="left"/>
            </w:pPr>
            <w:r>
              <w:t xml:space="preserve">2026 consenso</w:t>
            </w:r>
          </w:p>
        </w:tc>
        <w:tc>
          <w:tcPr/>
          <w:p>
            <w:pPr>
              <w:pStyle w:val="Compact"/>
              <w:jc w:val="left"/>
            </w:pPr>
            <w:r>
              <w:t xml:space="preserve">1.529</w:t>
            </w:r>
          </w:p>
        </w:tc>
        <w:tc>
          <w:tcPr/>
          <w:p>
            <w:pPr>
              <w:pStyle w:val="Compact"/>
              <w:jc w:val="left"/>
            </w:pPr>
            <w:r>
              <w:t xml:space="preserve">+60 %</w:t>
            </w:r>
          </w:p>
        </w:tc>
      </w:tr>
      <w:tr>
        <w:tc>
          <w:tcPr/>
          <w:p>
            <w:pPr>
              <w:pStyle w:val="Compact"/>
              <w:jc w:val="left"/>
            </w:pPr>
            <w:r>
              <w:t xml:space="preserve">2027 consenso</w:t>
            </w:r>
          </w:p>
        </w:tc>
        <w:tc>
          <w:tcPr/>
          <w:p>
            <w:pPr>
              <w:pStyle w:val="Compact"/>
              <w:jc w:val="left"/>
            </w:pPr>
            <w:r>
              <w:t xml:space="preserve">2.125</w:t>
            </w:r>
          </w:p>
        </w:tc>
        <w:tc>
          <w:tcPr/>
          <w:p>
            <w:pPr>
              <w:pStyle w:val="Compact"/>
              <w:jc w:val="left"/>
            </w:pPr>
            <w:r>
              <w:t xml:space="preserve">+39 %</w:t>
            </w:r>
          </w:p>
        </w:tc>
      </w:tr>
      <w:tr>
        <w:tc>
          <w:tcPr/>
          <w:p>
            <w:pPr>
              <w:pStyle w:val="Compact"/>
              <w:jc w:val="left"/>
            </w:pPr>
            <w:r>
              <w:t xml:space="preserve">2028 consenso</w:t>
            </w:r>
          </w:p>
        </w:tc>
        <w:tc>
          <w:tcPr/>
          <w:p>
            <w:pPr>
              <w:pStyle w:val="Compact"/>
              <w:jc w:val="left"/>
            </w:pPr>
            <w:r>
              <w:t xml:space="preserve">2.866</w:t>
            </w:r>
          </w:p>
        </w:tc>
        <w:tc>
          <w:tcPr/>
          <w:p>
            <w:pPr>
              <w:pStyle w:val="Compact"/>
              <w:jc w:val="left"/>
            </w:pPr>
            <w:r>
              <w:t xml:space="preserve">+35 %</w:t>
            </w:r>
          </w:p>
        </w:tc>
      </w:tr>
    </w:tbl>
    <w:p>
      <w:pPr>
        <w:numPr>
          <w:ilvl w:val="0"/>
          <w:numId w:val="1003"/>
        </w:numPr>
        <w:pStyle w:val="Compact"/>
      </w:pPr>
      <w:r>
        <w:rPr>
          <w:bCs/>
          <w:b/>
        </w:rPr>
        <w:t xml:space="preserve">Ventas de 12 meses</w:t>
      </w:r>
      <w:r>
        <w:t xml:space="preserve"> </w:t>
      </w:r>
      <w:r>
        <w:t xml:space="preserve">(3T25-2T26):</w:t>
      </w:r>
      <w:r>
        <w:t xml:space="preserve"> </w:t>
      </w:r>
      <w:r>
        <w:rPr>
          <w:bCs/>
          <w:b/>
        </w:rPr>
        <w:t xml:space="preserve">1.284 M USD, +149 %</w:t>
      </w:r>
      <w:r>
        <w:t xml:space="preserve">. El</w:t>
      </w:r>
      <w:r>
        <w:t xml:space="preserve"> </w:t>
      </w:r>
      <w:r>
        <w:rPr>
          <w:bCs/>
          <w:b/>
        </w:rPr>
        <w:t xml:space="preserve">CAGR a 2 años</w:t>
      </w:r>
      <w:r>
        <w:t xml:space="preserve"> </w:t>
      </w:r>
      <w:r>
        <w:t xml:space="preserve">sale del 838 % y la</w:t>
      </w:r>
      <w:r>
        <w:t xml:space="preserve"> </w:t>
      </w:r>
      <w:r>
        <w:rPr>
          <w:bCs/>
          <w:b/>
        </w:rPr>
        <w:t xml:space="preserve">aceleración</w:t>
      </w:r>
      <w:r>
        <w:t xml:space="preserve"> </w:t>
      </w:r>
      <w:r>
        <w:t xml:space="preserve">de −442 puntos. Son cifras de lanzamiento sin significado económico: hace dos años las ventas eran casi cero. El crecimiento normal es el de ahora, entre el 40 % y el 70 % interanual.</w:t>
      </w:r>
    </w:p>
    <w:p>
      <w:pPr>
        <w:numPr>
          <w:ilvl w:val="0"/>
          <w:numId w:val="1003"/>
        </w:numPr>
        <w:pStyle w:val="Compact"/>
      </w:pPr>
      <w:r>
        <w:rPr>
          <w:bCs/>
          <w:b/>
        </w:rPr>
        <w:t xml:space="preserve">El 1T26 bajó frente al 4T25</w:t>
      </w:r>
      <w:r>
        <w:t xml:space="preserve"> </w:t>
      </w:r>
      <w:r>
        <w:t xml:space="preserve">(311 frente a 321 M), por los reinicios anuales de los seguros. El 2T volvió a crecer un 17 % trimestral. La dirección dice que el 3T «empezó muy bien» y que está cómoda con el crecimiento del consenso [9].</w:t>
      </w:r>
    </w:p>
    <w:p>
      <w:pPr>
        <w:numPr>
          <w:ilvl w:val="0"/>
          <w:numId w:val="1003"/>
        </w:numPr>
        <w:pStyle w:val="Compact"/>
      </w:pPr>
      <w:r>
        <w:rPr>
          <w:bCs/>
          <w:b/>
        </w:rPr>
        <w:t xml:space="preserve">Pacientes</w:t>
      </w:r>
      <w:r>
        <w:t xml:space="preserve">: más de 49.000 a 30-jun y más de 50.000 en julio, el doble que un año antes. Hay más de 10.000 prescriptores y la persistencia a un año es del 60-70 % [1][9].</w:t>
      </w:r>
    </w:p>
    <w:p>
      <w:pPr>
        <w:numPr>
          <w:ilvl w:val="0"/>
          <w:numId w:val="1003"/>
        </w:numPr>
        <w:pStyle w:val="Compact"/>
      </w:pPr>
      <w:r>
        <w:rPr>
          <w:bCs/>
          <w:b/>
        </w:rPr>
        <w:t xml:space="preserve">Guía</w:t>
      </w:r>
      <w:r>
        <w:t xml:space="preserve">: no hay. Madrigal no da guía de ventas, ni anual ni trimestral.</w:t>
      </w:r>
      <w:r>
        <w:t xml:space="preserve"> </w:t>
      </w:r>
      <w:r>
        <w:rPr>
          <w:rStyle w:val="VerbatimChar"/>
        </w:rPr>
        <w:t xml:space="preserve">guia_12m_pct</w:t>
      </w:r>
      <w:r>
        <w:t xml:space="preserve"> </w:t>
      </w:r>
      <w:r>
        <w:t xml:space="preserve">= null, así que v9 no recorta.</w:t>
      </w:r>
    </w:p>
    <w:p>
      <w:pPr>
        <w:numPr>
          <w:ilvl w:val="0"/>
          <w:numId w:val="1003"/>
        </w:numPr>
        <w:pStyle w:val="Compact"/>
      </w:pPr>
      <w:r>
        <w:rPr>
          <w:bCs/>
          <w:b/>
        </w:rPr>
        <w:t xml:space="preserve">Crecimiento orgánico</w:t>
      </w:r>
      <w:r>
        <w:t xml:space="preserve">: no aplica. Las licencias compradas no tienen ventas y no mueven el crecimiento de los 12 meses siguientes, así que no hace falta la candidata v12.</w:t>
      </w:r>
    </w:p>
    <w:bookmarkEnd w:id="22"/>
    <w:bookmarkStart w:id="23" w:name="mercado-y-competencia"/>
    <w:p>
      <w:pPr>
        <w:pStyle w:val="Heading2"/>
      </w:pPr>
      <w:r>
        <w:t xml:space="preserve">4. Mercado y competencia</w:t>
      </w:r>
    </w:p>
    <w:p>
      <w:pPr>
        <w:numPr>
          <w:ilvl w:val="0"/>
          <w:numId w:val="1004"/>
        </w:numPr>
        <w:pStyle w:val="Compact"/>
      </w:pPr>
      <w:r>
        <w:rPr>
          <w:bCs/>
          <w:b/>
        </w:rPr>
        <w:t xml:space="preserve">Mercado alcanzable en la ventana objetivo: ~15.000 M USD</w:t>
      </w:r>
      <w:r>
        <w:t xml:space="preserve"> </w:t>
      </w:r>
      <w:r>
        <w:t xml:space="preserve">(estimación propia [14]). En EE. UU. hay 460.000 pacientes F2-F3 diagnosticados y atendidos por los especialistas objetivo (315.000 a finales de 2023). Con ~30.000 USD netos, eso son ~13.800 M. El diagnóstico crece y la cirrosis compensada sería otro mercado si el ensayo de 2027 sale bien.</w:t>
      </w:r>
      <w:r>
        <w:t xml:space="preserve"> </w:t>
      </w:r>
      <w:r>
        <w:rPr>
          <w:bCs/>
          <w:b/>
        </w:rPr>
        <w:t xml:space="preserve">Penetración de hoy: 8,6 %</w:t>
      </w:r>
      <w:r>
        <w:t xml:space="preserve">. La empresa habla de ~10 % de diagnóstico y ~10 % de penetración [9].</w:t>
      </w:r>
    </w:p>
    <w:p>
      <w:pPr>
        <w:numPr>
          <w:ilvl w:val="0"/>
          <w:numId w:val="1004"/>
        </w:numPr>
        <w:pStyle w:val="Compact"/>
      </w:pPr>
      <w:r>
        <w:rPr>
          <w:bCs/>
          <w:b/>
        </w:rPr>
        <w:t xml:space="preserve">Rivales</w:t>
      </w:r>
      <w:r>
        <w:t xml:space="preserve">:</w:t>
      </w:r>
    </w:p>
    <w:p>
      <w:pPr>
        <w:numPr>
          <w:ilvl w:val="1"/>
          <w:numId w:val="1005"/>
        </w:numPr>
        <w:pStyle w:val="Compact"/>
      </w:pPr>
      <w:r>
        <w:rPr>
          <w:bCs/>
          <w:b/>
        </w:rPr>
        <w:t xml:space="preserve">Agonistas de GLP-1</w:t>
      </w:r>
      <w:r>
        <w:t xml:space="preserve">: Wegovy (Novo Nordisk) está aprobado en MASH F2-F3 desde agosto de 2025 (FDA). Además adelgaza, y muchos pacientes de MASH tienen obesidad o diabetes. Lilly prueba tirzepatida y retatrutida y Boehringer, survodutida (fase 3 con unos 3.400 pacientes) [11].</w:t>
      </w:r>
    </w:p>
    <w:p>
      <w:pPr>
        <w:numPr>
          <w:ilvl w:val="1"/>
          <w:numId w:val="1005"/>
        </w:numPr>
        <w:pStyle w:val="Compact"/>
      </w:pPr>
      <w:r>
        <w:rPr>
          <w:bCs/>
          <w:b/>
        </w:rPr>
        <w:t xml:space="preserve">FGF21</w:t>
      </w:r>
      <w:r>
        <w:t xml:space="preserve">: las grandes farmacéuticas compraron los tres más avanzados en 2025. Novo Nordisk compró Akero (efruxifermina, ~4.700 M), Roche compró 89bio (pegozafermina, ~3.500 M) y GSK, la efimosfermina (1.200 M). Sus fase 3 darán datos hacia 2027-2028. En fase 2 redujeron la fibrosis, incluso en cirrosis [11].</w:t>
      </w:r>
    </w:p>
    <w:p>
      <w:pPr>
        <w:numPr>
          <w:ilvl w:val="1"/>
          <w:numId w:val="1005"/>
        </w:numPr>
        <w:pStyle w:val="Compact"/>
      </w:pPr>
      <w:r>
        <w:rPr>
          <w:bCs/>
          <w:b/>
        </w:rPr>
        <w:t xml:space="preserve">Lanifibranor</w:t>
      </w:r>
      <w:r>
        <w:t xml:space="preserve"> </w:t>
      </w:r>
      <w:r>
        <w:t xml:space="preserve">(Inventiva, fase 3): la dirección cree que el aumento de peso que provoca lo frenará [9].</w:t>
      </w:r>
    </w:p>
    <w:p>
      <w:pPr>
        <w:numPr>
          <w:ilvl w:val="0"/>
          <w:numId w:val="1004"/>
        </w:numPr>
        <w:pStyle w:val="Compact"/>
      </w:pPr>
      <w:r>
        <w:rPr>
          <w:bCs/>
          <w:b/>
        </w:rPr>
        <w:t xml:space="preserve">Por qué gana hoy</w:t>
      </w:r>
      <w:r>
        <w:t xml:space="preserve">: es una pastilla específica para el hígado, con 2 años de ventaja comercial, cobertura de los seguros y una red de hepatólogos y gastroenterólogos. Además, en la práctica se combina con los GLP-1 en vez de competir con ellos: el ensayo mostró que adelgazar un 5 % mejora el efecto de Rezdiffra, y la estrategia de la empresa son las combinaciones [1].</w:t>
      </w:r>
      <w:r>
        <w:t xml:space="preserve"> </w:t>
      </w:r>
      <w:r>
        <w:rPr>
          <w:bCs/>
          <w:b/>
        </w:rPr>
        <w:t xml:space="preserve">El riesgo</w:t>
      </w:r>
      <w:r>
        <w:t xml:space="preserve"> </w:t>
      </w:r>
      <w:r>
        <w:t xml:space="preserve">es que, cuando lleguen los FGF21 inyectables con datos de fibrosis mejores, y los GLP-1 baratos o en pastilla, Rezdiffra quede como segunda línea.</w:t>
      </w:r>
    </w:p>
    <w:p>
      <w:pPr>
        <w:numPr>
          <w:ilvl w:val="0"/>
          <w:numId w:val="1004"/>
        </w:numPr>
        <w:pStyle w:val="Compact"/>
      </w:pPr>
      <w:r>
        <w:rPr>
          <w:bCs/>
          <w:b/>
        </w:rPr>
        <w:t xml:space="preserve">Riesgo de IA: bajo.</w:t>
      </w:r>
      <w:r>
        <w:t xml:space="preserve"> </w:t>
      </w:r>
      <w:r>
        <w:t xml:space="preserve">Es un fármaco con patente para una enfermedad crónica, y la IA no sustituye ni el producto ni la relación con el médico. Puede acelerar el descubrimiento de rivales, pero el cuello de botella son los ensayos de fase 3, de varios años. No es un valor «de IA»: no suma ni resta exposición a la IA en la cartera.</w:t>
      </w:r>
    </w:p>
    <w:bookmarkEnd w:id="23"/>
    <w:bookmarkStart w:id="24" w:name="cambio-de-tendencia"/>
    <w:p>
      <w:pPr>
        <w:pStyle w:val="Heading2"/>
      </w:pPr>
      <w:r>
        <w:t xml:space="preserve">5. Cambio de tendencia</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Señal</w:t>
            </w:r>
          </w:p>
        </w:tc>
        <w:tc>
          <w:tcPr/>
          <w:p>
            <w:pPr>
              <w:pStyle w:val="Compact"/>
              <w:jc w:val="left"/>
            </w:pPr>
            <w:r>
              <w:t xml:space="preserve">Sí/No</w:t>
            </w:r>
          </w:p>
        </w:tc>
        <w:tc>
          <w:tcPr/>
          <w:p>
            <w:pPr>
              <w:pStyle w:val="Compact"/>
              <w:jc w:val="left"/>
            </w:pPr>
            <w:r>
              <w:t xml:space="preserve">Prueba</w:t>
            </w:r>
          </w:p>
        </w:tc>
        <w:tc>
          <w:tcPr/>
          <w:p>
            <w:pPr>
              <w:pStyle w:val="Compact"/>
              <w:jc w:val="left"/>
            </w:pPr>
            <w:r>
              <w:t xml:space="preserve">Fuente</w:t>
            </w:r>
          </w:p>
        </w:tc>
      </w:tr>
      <w:tr>
        <w:tc>
          <w:tcPr/>
          <w:p>
            <w:pPr>
              <w:pStyle w:val="Compact"/>
              <w:jc w:val="left"/>
            </w:pPr>
            <w:r>
              <w:t xml:space="preserve">1</w:t>
            </w:r>
          </w:p>
        </w:tc>
        <w:tc>
          <w:tcPr/>
          <w:p>
            <w:pPr>
              <w:pStyle w:val="Compact"/>
              <w:jc w:val="left"/>
            </w:pPr>
            <w:r>
              <w:t xml:space="preserve">Revisiones al alza</w:t>
            </w:r>
          </w:p>
        </w:tc>
        <w:tc>
          <w:tcPr/>
          <w:p>
            <w:pPr>
              <w:pStyle w:val="Compact"/>
              <w:jc w:val="left"/>
            </w:pPr>
            <w:r>
              <w:t xml:space="preserve">No</w:t>
            </w:r>
          </w:p>
        </w:tc>
        <w:tc>
          <w:tcPr/>
          <w:p>
            <w:pPr>
              <w:pStyle w:val="Compact"/>
              <w:jc w:val="left"/>
            </w:pPr>
            <w:r>
              <w:t xml:space="preserve">El BPA de consenso de 2027 baja de 12,38 a 9,62 USD en 90 días, por más gasto comercial y en licencias. Las ventas de 2026 no se mueven (1.530 M). Suben precios objetivo (UBS a 735, 14-oct), pero no las estimaciones</w:t>
            </w:r>
          </w:p>
        </w:tc>
        <w:tc>
          <w:tcPr/>
          <w:p>
            <w:pPr>
              <w:pStyle w:val="Compact"/>
              <w:jc w:val="left"/>
            </w:pPr>
            <w:r>
              <w:t xml:space="preserve">[7][8]</w:t>
            </w:r>
          </w:p>
        </w:tc>
      </w:tr>
      <w:tr>
        <w:tc>
          <w:tcPr/>
          <w:p>
            <w:pPr>
              <w:pStyle w:val="Compact"/>
              <w:jc w:val="left"/>
            </w:pPr>
            <w:r>
              <w:t xml:space="preserve">2</w:t>
            </w:r>
          </w:p>
        </w:tc>
        <w:tc>
          <w:tcPr/>
          <w:p>
            <w:pPr>
              <w:pStyle w:val="Compact"/>
              <w:jc w:val="left"/>
            </w:pPr>
            <w:r>
              <w:t xml:space="preserve">Precio sobre la media de 200 sesiones</w:t>
            </w:r>
          </w:p>
        </w:tc>
        <w:tc>
          <w:tcPr/>
          <w:p>
            <w:pPr>
              <w:pStyle w:val="Compact"/>
              <w:jc w:val="left"/>
            </w:pPr>
            <w:r>
              <w:t xml:space="preserve">No</w:t>
            </w:r>
          </w:p>
        </w:tc>
        <w:tc>
          <w:tcPr/>
          <w:p>
            <w:pPr>
              <w:pStyle w:val="Compact"/>
              <w:jc w:val="left"/>
            </w:pPr>
            <w:r>
              <w:t xml:space="preserve">452,12 USD frente a una media de 507,1 que baja (514,4 hace 20 sesiones)</w:t>
            </w:r>
          </w:p>
        </w:tc>
        <w:tc>
          <w:tcPr/>
          <w:p>
            <w:pPr>
              <w:pStyle w:val="Compact"/>
              <w:jc w:val="left"/>
            </w:pPr>
            <w:r>
              <w:t xml:space="preserve">[5]</w:t>
            </w:r>
          </w:p>
        </w:tc>
      </w:tr>
      <w:tr>
        <w:tc>
          <w:tcPr/>
          <w:p>
            <w:pPr>
              <w:pStyle w:val="Compact"/>
              <w:jc w:val="left"/>
            </w:pPr>
            <w:r>
              <w:t xml:space="preserve">3</w:t>
            </w:r>
          </w:p>
        </w:tc>
        <w:tc>
          <w:tcPr/>
          <w:p>
            <w:pPr>
              <w:pStyle w:val="Compact"/>
              <w:jc w:val="left"/>
            </w:pPr>
            <w:r>
              <w:t xml:space="preserve">Fuerza relativa a 6 meses</w:t>
            </w:r>
          </w:p>
        </w:tc>
        <w:tc>
          <w:tcPr/>
          <w:p>
            <w:pPr>
              <w:pStyle w:val="Compact"/>
              <w:jc w:val="left"/>
            </w:pPr>
            <w:r>
              <w:t xml:space="preserve">No</w:t>
            </w:r>
          </w:p>
        </w:tc>
        <w:tc>
          <w:tcPr/>
          <w:p>
            <w:pPr>
              <w:pStyle w:val="Compact"/>
              <w:jc w:val="left"/>
            </w:pPr>
            <w:r>
              <w:t xml:space="preserve">−14,0 % frente a +20,4 % del Nasdaq-100 y +11,2 % del XBI</w:t>
            </w:r>
          </w:p>
        </w:tc>
        <w:tc>
          <w:tcPr/>
          <w:p>
            <w:pPr>
              <w:pStyle w:val="Compact"/>
              <w:jc w:val="left"/>
            </w:pPr>
            <w:r>
              <w:t xml:space="preserve">[5]</w:t>
            </w:r>
          </w:p>
        </w:tc>
      </w:tr>
      <w:tr>
        <w:tc>
          <w:tcPr/>
          <w:p>
            <w:pPr>
              <w:pStyle w:val="Compact"/>
              <w:jc w:val="left"/>
            </w:pPr>
            <w:r>
              <w:t xml:space="preserve">4</w:t>
            </w:r>
          </w:p>
        </w:tc>
        <w:tc>
          <w:tcPr/>
          <w:p>
            <w:pPr>
              <w:pStyle w:val="Compact"/>
              <w:jc w:val="left"/>
            </w:pPr>
            <w:r>
              <w:t xml:space="preserve">Mejora del múltiplo</w:t>
            </w:r>
          </w:p>
        </w:tc>
        <w:tc>
          <w:tcPr/>
          <w:p>
            <w:pPr>
              <w:pStyle w:val="Compact"/>
              <w:jc w:val="left"/>
            </w:pPr>
            <w:r>
              <w:t xml:space="preserve">No</w:t>
            </w:r>
          </w:p>
        </w:tc>
        <w:tc>
          <w:tcPr/>
          <w:p>
            <w:pPr>
              <w:pStyle w:val="Compact"/>
              <w:jc w:val="left"/>
            </w:pPr>
            <w:r>
              <w:t xml:space="preserve">EV/ventas NTM de 7,3x, en la zona del mínimo de 12 meses. Era de 11,1x en diciembre de 2025</w:t>
            </w:r>
          </w:p>
        </w:tc>
        <w:tc>
          <w:tcPr/>
          <w:p>
            <w:pPr>
              <w:pStyle w:val="Compact"/>
              <w:jc w:val="left"/>
            </w:pPr>
            <w:r>
              <w:t xml:space="preserve">[5][14]</w:t>
            </w:r>
          </w:p>
        </w:tc>
      </w:tr>
      <w:tr>
        <w:tc>
          <w:tcPr/>
          <w:p>
            <w:pPr>
              <w:pStyle w:val="Compact"/>
              <w:jc w:val="left"/>
            </w:pPr>
            <w:r>
              <w:t xml:space="preserve">5</w:t>
            </w:r>
          </w:p>
        </w:tc>
        <w:tc>
          <w:tcPr/>
          <w:p>
            <w:pPr>
              <w:pStyle w:val="Compact"/>
              <w:jc w:val="left"/>
            </w:pPr>
            <w:r>
              <w:t xml:space="preserve">Inflexión operativa</w:t>
            </w:r>
          </w:p>
        </w:tc>
        <w:tc>
          <w:tcPr/>
          <w:p>
            <w:pPr>
              <w:pStyle w:val="Compact"/>
              <w:jc w:val="left"/>
            </w:pPr>
            <w:r>
              <w:t xml:space="preserve">Sí</w:t>
            </w:r>
          </w:p>
        </w:tc>
        <w:tc>
          <w:tcPr/>
          <w:p>
            <w:pPr>
              <w:pStyle w:val="Compact"/>
              <w:jc w:val="left"/>
            </w:pPr>
            <w:r>
              <w:t xml:space="preserve">Flujo de caja operativo positivo en el 2T26 (+23 M). Margen operativo sin el pago único de −8,6 %, frente a −22,2 % un año antes</w:t>
            </w:r>
          </w:p>
        </w:tc>
        <w:tc>
          <w:tcPr/>
          <w:p>
            <w:pPr>
              <w:pStyle w:val="Compact"/>
              <w:jc w:val="left"/>
            </w:pPr>
            <w:r>
              <w:t xml:space="preserve">[1][2]</w:t>
            </w:r>
          </w:p>
        </w:tc>
      </w:tr>
      <w:tr>
        <w:tc>
          <w:tcPr/>
          <w:p>
            <w:pPr>
              <w:pStyle w:val="Compact"/>
              <w:jc w:val="left"/>
            </w:pPr>
            <w:r>
              <w:t xml:space="preserve">6</w:t>
            </w:r>
          </w:p>
        </w:tc>
        <w:tc>
          <w:tcPr/>
          <w:p>
            <w:pPr>
              <w:pStyle w:val="Compact"/>
              <w:jc w:val="left"/>
            </w:pPr>
            <w:r>
              <w:t xml:space="preserve">Sentimiento mejorando</w:t>
            </w:r>
          </w:p>
        </w:tc>
        <w:tc>
          <w:tcPr/>
          <w:p>
            <w:pPr>
              <w:pStyle w:val="Compact"/>
              <w:jc w:val="left"/>
            </w:pPr>
            <w:r>
              <w:t xml:space="preserve">No</w:t>
            </w:r>
          </w:p>
        </w:tc>
        <w:tc>
          <w:tcPr/>
          <w:p>
            <w:pPr>
              <w:pStyle w:val="Compact"/>
              <w:jc w:val="left"/>
            </w:pPr>
            <w:r>
              <w:t xml:space="preserve">−17 % desde el 1-sep sin noticia concreta. En StockTwits se habla de comprar en la caída y de una opa, pero también de «¿quién vende?»</w:t>
            </w:r>
          </w:p>
        </w:tc>
        <w:tc>
          <w:tcPr/>
          <w:p>
            <w:pPr>
              <w:pStyle w:val="Compact"/>
              <w:jc w:val="left"/>
            </w:pPr>
            <w:r>
              <w:t xml:space="preserve">[5][12]</w:t>
            </w:r>
          </w:p>
        </w:tc>
      </w:tr>
      <w:tr>
        <w:tc>
          <w:tcPr/>
          <w:p>
            <w:pPr>
              <w:pStyle w:val="Compact"/>
              <w:jc w:val="left"/>
            </w:pPr>
            <w:r>
              <w:t xml:space="preserve">7</w:t>
            </w:r>
          </w:p>
        </w:tc>
        <w:tc>
          <w:tcPr/>
          <w:p>
            <w:pPr>
              <w:pStyle w:val="Compact"/>
              <w:jc w:val="left"/>
            </w:pPr>
            <w:r>
              <w:t xml:space="preserve">Compras de directivos o institucionales</w:t>
            </w:r>
          </w:p>
        </w:tc>
        <w:tc>
          <w:tcPr/>
          <w:p>
            <w:pPr>
              <w:pStyle w:val="Compact"/>
              <w:jc w:val="left"/>
            </w:pPr>
            <w:r>
              <w:t xml:space="preserve">No</w:t>
            </w:r>
          </w:p>
        </w:tc>
        <w:tc>
          <w:tcPr/>
          <w:p>
            <w:pPr>
              <w:pStyle w:val="Compact"/>
              <w:jc w:val="left"/>
            </w:pPr>
            <w:r>
              <w:t xml:space="preserve">Solo ventas para pagar impuestos y por planes 10b5-1. Los fondos especializados ya estaban; no hay entrada nueva</w:t>
            </w:r>
          </w:p>
        </w:tc>
        <w:tc>
          <w:tcPr/>
          <w:p>
            <w:pPr>
              <w:pStyle w:val="Compact"/>
              <w:jc w:val="left"/>
            </w:pPr>
            <w:r>
              <w:t xml:space="preserve">[4][13]</w:t>
            </w:r>
          </w:p>
        </w:tc>
      </w:tr>
      <w:tr>
        <w:tc>
          <w:tcPr/>
          <w:p>
            <w:pPr>
              <w:pStyle w:val="Compact"/>
              <w:jc w:val="left"/>
            </w:pPr>
            <w:r>
              <w:t xml:space="preserve">8</w:t>
            </w:r>
          </w:p>
        </w:tc>
        <w:tc>
          <w:tcPr/>
          <w:p>
            <w:pPr>
              <w:pStyle w:val="Compact"/>
              <w:jc w:val="left"/>
            </w:pPr>
            <w:r>
              <w:t xml:space="preserve">Catalizador nuevo</w:t>
            </w:r>
          </w:p>
        </w:tc>
        <w:tc>
          <w:tcPr/>
          <w:p>
            <w:pPr>
              <w:pStyle w:val="Compact"/>
              <w:jc w:val="left"/>
            </w:pPr>
            <w:r>
              <w:t xml:space="preserve">No</w:t>
            </w:r>
          </w:p>
        </w:tc>
        <w:tc>
          <w:tcPr/>
          <w:p>
            <w:pPr>
              <w:pStyle w:val="Compact"/>
              <w:jc w:val="left"/>
            </w:pPr>
            <w:r>
              <w:t xml:space="preserve">En 6 meses solo hay resultados (29-oct y febrero). El ensayo en cirrosis es «de 2027», sin fecha</w:t>
            </w:r>
          </w:p>
        </w:tc>
        <w:tc>
          <w:tcPr/>
          <w:p>
            <w:pPr>
              <w:pStyle w:val="Compact"/>
              <w:jc w:val="left"/>
            </w:pPr>
            <w:r>
              <w:t xml:space="preserve">[9][10]</w:t>
            </w:r>
          </w:p>
        </w:tc>
      </w:tr>
    </w:tbl>
    <w:p>
      <w:pPr>
        <w:pStyle w:val="BodyText"/>
      </w:pPr>
      <w:r>
        <w:rPr>
          <w:bCs/>
          <w:b/>
        </w:rPr>
        <w:t xml:space="preserve">Euforia: no.</w:t>
      </w:r>
      <w:r>
        <w:t xml:space="preserve"> </w:t>
      </w:r>
      <w:r>
        <w:t xml:space="preserve">La acción sube un 5,7 % en 12 meses (de 427,73 a 452,12 USD), lejos del +150 % del veto. Cotiza un 25 % por debajo de su máximo de cierre (602,83 USD, 22-dic-2025).</w:t>
      </w:r>
    </w:p>
    <w:bookmarkEnd w:id="24"/>
    <w:bookmarkStart w:id="25" w:name="X6a3ced9ea5ed5bb9ac58f5e7c1bb09ad4718b77"/>
    <w:p>
      <w:pPr>
        <w:pStyle w:val="Heading2"/>
      </w:pPr>
      <w:r>
        <w:t xml:space="preserve">6. Economía unitaria y camino a la rentabilidad</w:t>
      </w:r>
    </w:p>
    <w:p>
      <w:pPr>
        <w:numPr>
          <w:ilvl w:val="0"/>
          <w:numId w:val="1006"/>
        </w:numPr>
        <w:pStyle w:val="Compact"/>
      </w:pPr>
      <w:r>
        <w:rPr>
          <w:bCs/>
          <w:b/>
        </w:rPr>
        <w:t xml:space="preserve">Margen bruto de 12 meses: 91,5 %</w:t>
      </w:r>
      <w:r>
        <w:t xml:space="preserve"> </w:t>
      </w:r>
      <w:r>
        <w:t xml:space="preserve">(coste de ventas de 109 M sobre 1.284 M). Incluye las regalías a Roche, de un dígito y escalonadas, y una rebaja de inventario en el 2T [1][2].</w:t>
      </w:r>
    </w:p>
    <w:p>
      <w:pPr>
        <w:numPr>
          <w:ilvl w:val="0"/>
          <w:numId w:val="1006"/>
        </w:numPr>
        <w:pStyle w:val="Compact"/>
      </w:pPr>
      <w:r>
        <w:rPr>
          <w:bCs/>
          <w:b/>
        </w:rPr>
        <w:t xml:space="preserve">Margen FCF de 12 meses: −16 %</w:t>
      </w:r>
      <w:r>
        <w:t xml:space="preserve"> </w:t>
      </w:r>
      <w:r>
        <w:t xml:space="preserve">(FCF de −206 M). Ese FCF incluye 255 M de pagos únicos por licencias: CSPC 120 M, Pfizer 50 M, Ribocure 60 M y Arrowhead 25 M. Sin ellos, el FCF del negocio sería ligeramente positivo, unos +49 M (cálculo propio) [2].</w:t>
      </w:r>
    </w:p>
    <w:p>
      <w:pPr>
        <w:numPr>
          <w:ilvl w:val="0"/>
          <w:numId w:val="1006"/>
        </w:numPr>
        <w:pStyle w:val="Compact"/>
      </w:pPr>
      <w:r>
        <w:rPr>
          <w:bCs/>
          <w:b/>
        </w:rPr>
        <w:t xml:space="preserve">Regla del 40: 133</w:t>
      </w:r>
      <w:r>
        <w:t xml:space="preserve"> </w:t>
      </w:r>
      <w:r>
        <w:t xml:space="preserve">(149 de crecimiento menos 16 de margen FCF).</w:t>
      </w:r>
    </w:p>
    <w:p>
      <w:pPr>
        <w:numPr>
          <w:ilvl w:val="0"/>
          <w:numId w:val="1006"/>
        </w:numPr>
        <w:pStyle w:val="Compact"/>
      </w:pPr>
      <w:r>
        <w:rPr>
          <w:bCs/>
          <w:b/>
        </w:rPr>
        <w:t xml:space="preserve">Camino</w:t>
      </w:r>
      <w:r>
        <w:t xml:space="preserve">: equilibrio en 12 meses o menos. El flujo operativo ya fue positivo en el 2T26 y el consenso espera EBITDA de +136 M y FCF de +272 M en 2027 [6]. El freno es el gasto comercial: el SG&amp;A creció un 47 % en el 2T por la red de ventas en endocrinología y la publicidad en televisión, y la empresa espera que siga subiendo en 2026 [9].</w:t>
      </w:r>
    </w:p>
    <w:bookmarkEnd w:id="25"/>
    <w:bookmarkStart w:id="26" w:name="caja-deuda-y-dilución"/>
    <w:p>
      <w:pPr>
        <w:pStyle w:val="Heading2"/>
      </w:pPr>
      <w:r>
        <w:t xml:space="preserve">7. Caja, deuda y dilución</w:t>
      </w:r>
    </w:p>
    <w:p>
      <w:pPr>
        <w:numPr>
          <w:ilvl w:val="0"/>
          <w:numId w:val="1007"/>
        </w:numPr>
        <w:pStyle w:val="Compact"/>
      </w:pPr>
      <w:r>
        <w:rPr>
          <w:bCs/>
          <w:b/>
        </w:rPr>
        <w:t xml:space="preserve">Caja y valores: 838,9 M USD</w:t>
      </w:r>
      <w:r>
        <w:t xml:space="preserve"> </w:t>
      </w:r>
      <w:r>
        <w:t xml:space="preserve">a 30-jun.</w:t>
      </w:r>
      <w:r>
        <w:t xml:space="preserve"> </w:t>
      </w:r>
      <w:r>
        <w:rPr>
          <w:bCs/>
          <w:b/>
        </w:rPr>
        <w:t xml:space="preserve">Deuda: préstamo de Blue Owl de 350 M</w:t>
      </w:r>
      <w:r>
        <w:t xml:space="preserve">, a SOFR más un margen, que vence en julio de 2030. Puede pedir 150 M más hasta diciembre de 2027 [2].</w:t>
      </w:r>
    </w:p>
    <w:p>
      <w:pPr>
        <w:numPr>
          <w:ilvl w:val="0"/>
          <w:numId w:val="1007"/>
        </w:numPr>
        <w:pStyle w:val="Compact"/>
      </w:pPr>
      <w:r>
        <w:rPr>
          <w:bCs/>
          <w:b/>
        </w:rPr>
        <w:t xml:space="preserve">Pista: 49 meses</w:t>
      </w:r>
      <w:r>
        <w:t xml:space="preserve"> </w:t>
      </w:r>
      <w:r>
        <w:t xml:space="preserve">con la quema de 12 meses, que incluye los pagos de licencias. Con el negocio ya cerca del equilibrio, la pista real es mayor. El 10-Q dice que la caja basta para más de un año sin financiarse [2].</w:t>
      </w:r>
    </w:p>
    <w:p>
      <w:pPr>
        <w:numPr>
          <w:ilvl w:val="0"/>
          <w:numId w:val="1007"/>
        </w:numPr>
        <w:pStyle w:val="Compact"/>
      </w:pPr>
      <w:r>
        <w:rPr>
          <w:bCs/>
          <w:b/>
        </w:rPr>
        <w:t xml:space="preserve">Acciones: 30,8 M diluidas</w:t>
      </w:r>
      <w:r>
        <w:t xml:space="preserve">. Son 23,10 M comunes, 3,61 M en warrants prefinanciados (a 0,0001 USD, ya cuentan como acciones), 2,37 M en preferentes convertibles 1 a 1, y opciones (método de la recompra), RSU y PSU por unos 1,7 M [2][3].</w:t>
      </w:r>
    </w:p>
    <w:p>
      <w:pPr>
        <w:numPr>
          <w:ilvl w:val="0"/>
          <w:numId w:val="1007"/>
        </w:numPr>
        <w:pStyle w:val="Compact"/>
      </w:pPr>
      <w:r>
        <w:rPr>
          <w:bCs/>
          <w:b/>
        </w:rPr>
        <w:t xml:space="preserve">Dilución anual: 3,2 %</w:t>
      </w:r>
      <w:r>
        <w:t xml:space="preserve"> </w:t>
      </w:r>
      <w:r>
        <w:t xml:space="preserve">(acciones medias del 2T26 frente al 2T25).</w:t>
      </w:r>
      <w:r>
        <w:t xml:space="preserve"> </w:t>
      </w:r>
      <w:r>
        <w:rPr>
          <w:bCs/>
          <w:b/>
        </w:rPr>
        <w:t xml:space="preserve">Pagos en acciones: 9,5 % de las ventas</w:t>
      </w:r>
      <w:r>
        <w:t xml:space="preserve"> </w:t>
      </w:r>
      <w:r>
        <w:t xml:space="preserve">(121 M en 12 meses), por debajo del umbral rojo del 15 %. Tiene un programa de venta de acciones en el mercado de 300 M sin usar [2].</w:t>
      </w:r>
    </w:p>
    <w:bookmarkEnd w:id="26"/>
    <w:bookmarkStart w:id="27" w:name="dirección-y-ejecución"/>
    <w:p>
      <w:pPr>
        <w:pStyle w:val="Heading2"/>
      </w:pPr>
      <w:r>
        <w:t xml:space="preserve">8. Dirección y ejecución</w:t>
      </w:r>
    </w:p>
    <w:p>
      <w:pPr>
        <w:numPr>
          <w:ilvl w:val="0"/>
          <w:numId w:val="1008"/>
        </w:numPr>
        <w:pStyle w:val="Compact"/>
      </w:pPr>
      <w:r>
        <w:rPr>
          <w:bCs/>
          <w:b/>
        </w:rPr>
        <w:t xml:space="preserve">Bill Sibold</w:t>
      </w:r>
      <w:r>
        <w:t xml:space="preserve"> </w:t>
      </w:r>
      <w:r>
        <w:t xml:space="preserve">(consejero delegado desde 2023; antes dirigía la división de especialidades de Sanofi, de memoria) dirige un lanzamiento de los mejores de la biotecnología reciente: de 0 a 1.284 M en 2 años.</w:t>
      </w:r>
      <w:r>
        <w:t xml:space="preserve"> </w:t>
      </w:r>
      <w:r>
        <w:rPr>
          <w:bCs/>
          <w:b/>
        </w:rPr>
        <w:t xml:space="preserve">Historial 4/5</w:t>
      </w:r>
      <w:r>
        <w:t xml:space="preserve">: bate el consenso de ventas en la mayoría de los trimestres (2T26: 364 M frente a ~352 M esperados). Hubo dos decepciones: el avance del 4T24 y los resultados del 4T25 (−11 % en el día) [10].</w:t>
      </w:r>
    </w:p>
    <w:p>
      <w:pPr>
        <w:numPr>
          <w:ilvl w:val="0"/>
          <w:numId w:val="1008"/>
        </w:numPr>
        <w:pStyle w:val="Compact"/>
      </w:pPr>
      <w:r>
        <w:rPr>
          <w:bCs/>
          <w:b/>
        </w:rPr>
        <w:t xml:space="preserve">Dirección 3/5</w:t>
      </w:r>
      <w:r>
        <w:t xml:space="preserve">. A favor: amplió la protección de patentes hasta 2045 y se financió con deuda en vez de ampliar capital. En contra: gasta mucho en licencias de fases tempranas (255 M en un año), no hay compras de directivos, solo ventas para pagar impuestos, y la fundadora y directora científica Rebecca Taub firmó en junio de 2026 un contrato de asesora externa (anexo del 10-Q del 2T26) [2][4].</w:t>
      </w:r>
    </w:p>
    <w:bookmarkEnd w:id="27"/>
    <w:bookmarkStart w:id="28" w:name="valoración"/>
    <w:p>
      <w:pPr>
        <w:pStyle w:val="Heading2"/>
      </w:pPr>
      <w:r>
        <w:t xml:space="preserve">9. Valoración</w:t>
      </w:r>
    </w:p>
    <w:p>
      <w:pPr>
        <w:pStyle w:val="FirstParagraph"/>
      </w:pPr>
      <w:r>
        <w:rPr>
          <w:bCs/>
          <w:b/>
        </w:rPr>
        <w:t xml:space="preserve">Por qué EV/ventas:</w:t>
      </w:r>
      <w:r>
        <w:t xml:space="preserve"> </w:t>
      </w:r>
      <w:r>
        <w:t xml:space="preserve">la empresa aún pierde dinero y el EBITDA de 2026 es negativo. Con un margen bruto del 91 %, el EV/ventas viene a ser casi el EV/beneficio bruto (7,3x frente a 7,9x).</w:t>
      </w:r>
    </w:p>
    <w:p>
      <w:pPr>
        <w:pStyle w:val="BodyText"/>
      </w:pPr>
      <w:r>
        <w:t xml:space="preserve">Ventas de la ventana objetivo (12 meses a junio de 2028; la de hoy son los 12 meses a junio de 2026):</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Escenario</w:t>
            </w:r>
          </w:p>
        </w:tc>
        <w:tc>
          <w:tcPr/>
          <w:p>
            <w:pPr>
              <w:pStyle w:val="Compact"/>
              <w:jc w:val="left"/>
            </w:pPr>
            <w:r>
              <w:t xml:space="preserve">Mecánica (v9)</w:t>
            </w:r>
          </w:p>
        </w:tc>
        <w:tc>
          <w:tcPr/>
          <w:p>
            <w:pPr>
              <w:pStyle w:val="Compact"/>
              <w:jc w:val="left"/>
            </w:pPr>
            <w:r>
              <w:t xml:space="preserve">Mía (tope en v11)</w:t>
            </w:r>
          </w:p>
        </w:tc>
        <w:tc>
          <w:tcPr/>
          <w:p>
            <w:pPr>
              <w:pStyle w:val="Compact"/>
              <w:jc w:val="left"/>
            </w:pPr>
            <w:r>
              <w:t xml:space="preserve">Por qué la mía</w:t>
            </w:r>
          </w:p>
        </w:tc>
      </w:tr>
      <w:tr>
        <w:tc>
          <w:tcPr/>
          <w:p>
            <w:pPr>
              <w:pStyle w:val="Compact"/>
              <w:jc w:val="left"/>
            </w:pPr>
            <w:r>
              <w:t xml:space="preserve">Bajista</w:t>
            </w:r>
          </w:p>
        </w:tc>
        <w:tc>
          <w:tcPr/>
          <w:p>
            <w:pPr>
              <w:pStyle w:val="Compact"/>
              <w:jc w:val="left"/>
            </w:pPr>
            <w:r>
              <w:t xml:space="preserve">2.095</w:t>
            </w:r>
          </w:p>
        </w:tc>
        <w:tc>
          <w:tcPr/>
          <w:p>
            <w:pPr>
              <w:pStyle w:val="Compact"/>
              <w:jc w:val="left"/>
            </w:pPr>
            <w:r>
              <w:rPr>
                <w:bCs/>
                <w:b/>
              </w:rPr>
              <w:t xml:space="preserve">2.000</w:t>
            </w:r>
          </w:p>
        </w:tc>
        <w:tc>
          <w:tcPr/>
          <w:p>
            <w:pPr>
              <w:pStyle w:val="Compact"/>
              <w:jc w:val="left"/>
            </w:pPr>
            <w:r>
              <w:t xml:space="preserve">Los GLP-1 y la presión sobre precios frenan el crecimiento al ~25 % anual</w:t>
            </w:r>
          </w:p>
        </w:tc>
      </w:tr>
      <w:tr>
        <w:tc>
          <w:tcPr/>
          <w:p>
            <w:pPr>
              <w:pStyle w:val="Compact"/>
              <w:jc w:val="left"/>
            </w:pPr>
            <w:r>
              <w:t xml:space="preserve">Base</w:t>
            </w:r>
          </w:p>
        </w:tc>
        <w:tc>
          <w:tcPr/>
          <w:p>
            <w:pPr>
              <w:pStyle w:val="Compact"/>
              <w:jc w:val="left"/>
            </w:pPr>
            <w:r>
              <w:t xml:space="preserve">3.102</w:t>
            </w:r>
          </w:p>
        </w:tc>
        <w:tc>
          <w:tcPr/>
          <w:p>
            <w:pPr>
              <w:pStyle w:val="Compact"/>
              <w:jc w:val="left"/>
            </w:pPr>
            <w:r>
              <w:rPr>
                <w:bCs/>
                <w:b/>
              </w:rPr>
              <w:t xml:space="preserve">2.500</w:t>
            </w:r>
          </w:p>
        </w:tc>
        <w:tc>
          <w:tcPr/>
          <w:p>
            <w:pPr>
              <w:pStyle w:val="Compact"/>
              <w:jc w:val="left"/>
            </w:pPr>
            <w:r>
              <w:t xml:space="preserve">= consenso: media de 2027 (2.125) y 2028 (2.866) [6]</w:t>
            </w:r>
          </w:p>
        </w:tc>
      </w:tr>
      <w:tr>
        <w:tc>
          <w:tcPr/>
          <w:p>
            <w:pPr>
              <w:pStyle w:val="Compact"/>
              <w:jc w:val="left"/>
            </w:pPr>
            <w:r>
              <w:t xml:space="preserve">Alcista</w:t>
            </w:r>
          </w:p>
        </w:tc>
        <w:tc>
          <w:tcPr/>
          <w:p>
            <w:pPr>
              <w:pStyle w:val="Compact"/>
              <w:jc w:val="left"/>
            </w:pPr>
            <w:r>
              <w:t xml:space="preserve">3.560</w:t>
            </w:r>
          </w:p>
        </w:tc>
        <w:tc>
          <w:tcPr/>
          <w:p>
            <w:pPr>
              <w:pStyle w:val="Compact"/>
              <w:jc w:val="left"/>
            </w:pPr>
            <w:r>
              <w:rPr>
                <w:bCs/>
                <w:b/>
              </w:rPr>
              <w:t xml:space="preserve">2.950</w:t>
            </w:r>
          </w:p>
        </w:tc>
        <w:tc>
          <w:tcPr/>
          <w:p>
            <w:pPr>
              <w:pStyle w:val="Compact"/>
              <w:jc w:val="left"/>
            </w:pPr>
            <w:r>
              <w:t xml:space="preserve">Datos positivos en cirrosis en 2027 y un despegue más rápido en endocrinología</w:t>
            </w:r>
          </w:p>
        </w:tc>
      </w:tr>
    </w:tbl>
    <w:p>
      <w:pPr>
        <w:pStyle w:val="BodyText"/>
      </w:pPr>
      <w:r>
        <w:t xml:space="preserve">La mecánica parte del tope del 60 % de crecimiento, porque el CAGR de lanzamiento (838 %) no significa nada. Proyecta un 24 % más que el consenso, y v11 se queda con la menor.</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Escenario</w:t>
            </w:r>
          </w:p>
        </w:tc>
        <w:tc>
          <w:tcPr/>
          <w:p>
            <w:pPr>
              <w:pStyle w:val="Compact"/>
              <w:jc w:val="left"/>
            </w:pPr>
            <w:r>
              <w:t xml:space="preserve">Prob.</w:t>
            </w:r>
          </w:p>
        </w:tc>
        <w:tc>
          <w:tcPr/>
          <w:p>
            <w:pPr>
              <w:pStyle w:val="Compact"/>
              <w:jc w:val="left"/>
            </w:pPr>
            <w:r>
              <w:t xml:space="preserve">Ventas (M USD)</w:t>
            </w:r>
          </w:p>
        </w:tc>
        <w:tc>
          <w:tcPr/>
          <w:p>
            <w:pPr>
              <w:pStyle w:val="Compact"/>
              <w:jc w:val="left"/>
            </w:pPr>
            <w:r>
              <w:t xml:space="preserve">EV/ventas</w:t>
            </w:r>
          </w:p>
        </w:tc>
        <w:tc>
          <w:tcPr/>
          <w:p>
            <w:pPr>
              <w:pStyle w:val="Compact"/>
              <w:jc w:val="left"/>
            </w:pPr>
            <w:r>
              <w:t xml:space="preserve">Precio</w:t>
            </w:r>
          </w:p>
        </w:tc>
        <w:tc>
          <w:tcPr/>
          <w:p>
            <w:pPr>
              <w:pStyle w:val="Compact"/>
              <w:jc w:val="left"/>
            </w:pPr>
            <w:r>
              <w:t xml:space="preserve">Rentabilidad</w:t>
            </w:r>
          </w:p>
        </w:tc>
      </w:tr>
      <w:tr>
        <w:tc>
          <w:tcPr/>
          <w:p>
            <w:pPr>
              <w:pStyle w:val="Compact"/>
              <w:jc w:val="left"/>
            </w:pPr>
            <w:r>
              <w:t xml:space="preserve">Bajista</w:t>
            </w:r>
          </w:p>
        </w:tc>
        <w:tc>
          <w:tcPr/>
          <w:p>
            <w:pPr>
              <w:pStyle w:val="Compact"/>
              <w:jc w:val="left"/>
            </w:pPr>
            <w:r>
              <w:t xml:space="preserve">35 %</w:t>
            </w:r>
          </w:p>
        </w:tc>
        <w:tc>
          <w:tcPr/>
          <w:p>
            <w:pPr>
              <w:pStyle w:val="Compact"/>
              <w:jc w:val="left"/>
            </w:pPr>
            <w:r>
              <w:t xml:space="preserve">2.000</w:t>
            </w:r>
          </w:p>
        </w:tc>
        <w:tc>
          <w:tcPr/>
          <w:p>
            <w:pPr>
              <w:pStyle w:val="Compact"/>
              <w:jc w:val="left"/>
            </w:pPr>
            <w:r>
              <w:t xml:space="preserve">3,9x</w:t>
            </w:r>
          </w:p>
        </w:tc>
        <w:tc>
          <w:tcPr/>
          <w:p>
            <w:pPr>
              <w:pStyle w:val="Compact"/>
              <w:jc w:val="left"/>
            </w:pPr>
            <w:r>
              <w:t xml:space="preserve">254,7</w:t>
            </w:r>
          </w:p>
        </w:tc>
        <w:tc>
          <w:tcPr/>
          <w:p>
            <w:pPr>
              <w:pStyle w:val="Compact"/>
              <w:jc w:val="left"/>
            </w:pPr>
            <w:r>
              <w:t xml:space="preserve">−43,7 %</w:t>
            </w:r>
          </w:p>
        </w:tc>
      </w:tr>
      <w:tr>
        <w:tc>
          <w:tcPr/>
          <w:p>
            <w:pPr>
              <w:pStyle w:val="Compact"/>
              <w:jc w:val="left"/>
            </w:pPr>
            <w:r>
              <w:t xml:space="preserve">Base</w:t>
            </w:r>
          </w:p>
        </w:tc>
        <w:tc>
          <w:tcPr/>
          <w:p>
            <w:pPr>
              <w:pStyle w:val="Compact"/>
              <w:jc w:val="left"/>
            </w:pPr>
            <w:r>
              <w:t xml:space="preserve">50 %</w:t>
            </w:r>
          </w:p>
        </w:tc>
        <w:tc>
          <w:tcPr/>
          <w:p>
            <w:pPr>
              <w:pStyle w:val="Compact"/>
              <w:jc w:val="left"/>
            </w:pPr>
            <w:r>
              <w:t xml:space="preserve">2.500</w:t>
            </w:r>
          </w:p>
        </w:tc>
        <w:tc>
          <w:tcPr/>
          <w:p>
            <w:pPr>
              <w:pStyle w:val="Compact"/>
              <w:jc w:val="left"/>
            </w:pPr>
            <w:r>
              <w:t xml:space="preserve">6,5x</w:t>
            </w:r>
          </w:p>
        </w:tc>
        <w:tc>
          <w:tcPr/>
          <w:p>
            <w:pPr>
              <w:pStyle w:val="Compact"/>
              <w:jc w:val="left"/>
            </w:pPr>
            <w:r>
              <w:t xml:space="preserve">521,0</w:t>
            </w:r>
          </w:p>
        </w:tc>
        <w:tc>
          <w:tcPr/>
          <w:p>
            <w:pPr>
              <w:pStyle w:val="Compact"/>
              <w:jc w:val="left"/>
            </w:pPr>
            <w:r>
              <w:t xml:space="preserve">+15,2 %</w:t>
            </w:r>
          </w:p>
        </w:tc>
      </w:tr>
      <w:tr>
        <w:tc>
          <w:tcPr/>
          <w:p>
            <w:pPr>
              <w:pStyle w:val="Compact"/>
              <w:jc w:val="left"/>
            </w:pPr>
            <w:r>
              <w:t xml:space="preserve">Alcista</w:t>
            </w:r>
          </w:p>
        </w:tc>
        <w:tc>
          <w:tcPr/>
          <w:p>
            <w:pPr>
              <w:pStyle w:val="Compact"/>
              <w:jc w:val="left"/>
            </w:pPr>
            <w:r>
              <w:t xml:space="preserve">15 %</w:t>
            </w:r>
          </w:p>
        </w:tc>
        <w:tc>
          <w:tcPr/>
          <w:p>
            <w:pPr>
              <w:pStyle w:val="Compact"/>
              <w:jc w:val="left"/>
            </w:pPr>
            <w:r>
              <w:t xml:space="preserve">2.950</w:t>
            </w:r>
          </w:p>
        </w:tc>
        <w:tc>
          <w:tcPr/>
          <w:p>
            <w:pPr>
              <w:pStyle w:val="Compact"/>
              <w:jc w:val="left"/>
            </w:pPr>
            <w:r>
              <w:t xml:space="preserve">8,7x</w:t>
            </w:r>
          </w:p>
        </w:tc>
        <w:tc>
          <w:tcPr/>
          <w:p>
            <w:pPr>
              <w:pStyle w:val="Compact"/>
              <w:jc w:val="left"/>
            </w:pPr>
            <w:r>
              <w:t xml:space="preserve">816,3</w:t>
            </w:r>
          </w:p>
        </w:tc>
        <w:tc>
          <w:tcPr/>
          <w:p>
            <w:pPr>
              <w:pStyle w:val="Compact"/>
              <w:jc w:val="left"/>
            </w:pPr>
            <w:r>
              <w:t xml:space="preserve">+80,6 %</w:t>
            </w:r>
          </w:p>
        </w:tc>
      </w:tr>
      <w:tr>
        <w:tc>
          <w:tcPr/>
          <w:p>
            <w:pPr>
              <w:pStyle w:val="Compact"/>
              <w:jc w:val="left"/>
            </w:pPr>
            <w:r>
              <w:rPr>
                <w:bCs/>
                <w:b/>
              </w:rPr>
              <w:t xml:space="preserve">Ponderado</w:t>
            </w:r>
          </w:p>
        </w:tc>
        <w:tc>
          <w:tcPr/>
          <w:p>
            <w:pPr>
              <w:pStyle w:val="Compact"/>
            </w:pPr>
          </w:p>
        </w:tc>
        <w:tc>
          <w:tcPr/>
          <w:p>
            <w:pPr>
              <w:pStyle w:val="Compact"/>
            </w:pPr>
          </w:p>
        </w:tc>
        <w:tc>
          <w:tcPr/>
          <w:p>
            <w:pPr>
              <w:pStyle w:val="Compact"/>
            </w:pPr>
          </w:p>
        </w:tc>
        <w:tc>
          <w:tcPr/>
          <w:p>
            <w:pPr>
              <w:pStyle w:val="Compact"/>
              <w:jc w:val="left"/>
            </w:pPr>
            <w:r>
              <w:rPr>
                <w:bCs/>
                <w:b/>
              </w:rPr>
              <w:t xml:space="preserve">472,1</w:t>
            </w:r>
          </w:p>
        </w:tc>
        <w:tc>
          <w:tcPr/>
          <w:p>
            <w:pPr>
              <w:pStyle w:val="Compact"/>
              <w:jc w:val="left"/>
            </w:pPr>
            <w:r>
              <w:rPr>
                <w:bCs/>
                <w:b/>
              </w:rPr>
              <w:t xml:space="preserve">+4,4 %</w:t>
            </w:r>
          </w:p>
        </w:tc>
      </w:tr>
    </w:tbl>
    <w:p>
      <w:pPr>
        <w:numPr>
          <w:ilvl w:val="0"/>
          <w:numId w:val="1009"/>
        </w:numPr>
        <w:pStyle w:val="Compact"/>
      </w:pPr>
      <w:r>
        <w:rPr>
          <w:bCs/>
          <w:b/>
        </w:rPr>
        <w:t xml:space="preserve">Múltiplos</w:t>
      </w:r>
      <w:r>
        <w:t xml:space="preserve">: el base es el de hoy (7,3x), rebajado un 11 % por la desaceleración, del 44 % al 35 %. El bajista es el base × 0,6. El alcista es la mediana de 3 años (8,7x), que es mayor que el base × 1,3. Probabilidades de 35/50/15 porque depende de un solo producto [método §2.4].</w:t>
      </w:r>
    </w:p>
    <w:p>
      <w:pPr>
        <w:numPr>
          <w:ilvl w:val="0"/>
          <w:numId w:val="1009"/>
        </w:numPr>
        <w:pStyle w:val="Compact"/>
      </w:pPr>
      <w:r>
        <w:rPr>
          <w:bCs/>
          <w:b/>
        </w:rPr>
        <w:t xml:space="preserve">Contraste con el consenso</w:t>
      </w:r>
      <w:r>
        <w:t xml:space="preserve">: el objetivo medio de 19 analistas es 682 USD, un 51 % por encima del precio [6][8]. Ese objetivo supone múltiplos de 9-10 veces las ventas, como en 2025, que el método no da por hechos.</w:t>
      </w:r>
    </w:p>
    <w:p>
      <w:pPr>
        <w:numPr>
          <w:ilvl w:val="0"/>
          <w:numId w:val="1009"/>
        </w:numPr>
        <w:pStyle w:val="Compact"/>
      </w:pPr>
      <w:r>
        <w:rPr>
          <w:bCs/>
          <w:b/>
        </w:rPr>
        <w:t xml:space="preserve">DCF inverso</w:t>
      </w:r>
      <w:r>
        <w:t xml:space="preserve">: el precio de hoy descuenta que las ventas crecen un ~16 % al año durante 10 años, con un margen FCF del 30 %. Es exigente pero alcanzable si Rezdiffra se convierte en el tratamiento base de la MASH, y queda muy por debajo de lo que crece hoy [14].</w:t>
      </w:r>
    </w:p>
    <w:p>
      <w:pPr>
        <w:numPr>
          <w:ilvl w:val="0"/>
          <w:numId w:val="1009"/>
        </w:numPr>
        <w:pStyle w:val="Compact"/>
      </w:pPr>
      <w:r>
        <w:rPr>
          <w:bCs/>
          <w:b/>
        </w:rPr>
        <w:t xml:space="preserve">Compra hasta 449,6 USD.</w:t>
      </w:r>
      <w:r>
        <w:t xml:space="preserve"> </w:t>
      </w:r>
      <w:r>
        <w:t xml:space="preserve">Es el menor de dos límites: el precio al que la ponderada llega al 5 % y el precio al que el bajista no pasa de −50 %. Con v9 el límite sería 536,1 USD, pero a ese precio el bajista ya pasaría de −50 %.</w:t>
      </w:r>
    </w:p>
    <w:bookmarkEnd w:id="28"/>
    <w:bookmarkStart w:id="29" w:name="foros-y-sentimiento"/>
    <w:p>
      <w:pPr>
        <w:pStyle w:val="Heading2"/>
      </w:pPr>
      <w:r>
        <w:t xml:space="preserve">10. Foros y sentimiento</w:t>
      </w:r>
    </w:p>
    <w:p>
      <w:pPr>
        <w:numPr>
          <w:ilvl w:val="0"/>
          <w:numId w:val="1010"/>
        </w:numPr>
        <w:pStyle w:val="Compact"/>
      </w:pPr>
      <w:r>
        <w:rPr>
          <w:bCs/>
          <w:b/>
        </w:rPr>
        <w:t xml:space="preserve">StockTwits</w:t>
      </w:r>
      <w:r>
        <w:t xml:space="preserve"> </w:t>
      </w:r>
      <w:r>
        <w:t xml:space="preserve">(30 últimos mensajes, 14-oct): 13 alcistas y 17 sin marcar, ninguno bajista. Dominan los «compro en la caída» y la idea de una opa («antes de 3 años la compra una grande»). Pero el 12 y el 13 de octubre aparecen dudas: «algo no va bien», volumen de 2,7 veces lo normal, «¿quién vende y por qué?» [12].</w:t>
      </w:r>
    </w:p>
    <w:p>
      <w:pPr>
        <w:numPr>
          <w:ilvl w:val="0"/>
          <w:numId w:val="1010"/>
        </w:numPr>
        <w:pStyle w:val="Compact"/>
      </w:pPr>
      <w:r>
        <w:rPr>
          <w:bCs/>
          <w:b/>
        </w:rPr>
        <w:t xml:space="preserve">Reddit</w:t>
      </w:r>
      <w:r>
        <w:t xml:space="preserve">: bloqueado desde aquí (403).</w:t>
      </w:r>
      <w:r>
        <w:t xml:space="preserve"> </w:t>
      </w:r>
      <w:r>
        <w:rPr>
          <w:bCs/>
          <w:b/>
        </w:rPr>
        <w:t xml:space="preserve">Seeking Alpha</w:t>
      </w:r>
      <w:r>
        <w:t xml:space="preserve"> </w:t>
      </w:r>
      <w:r>
        <w:t xml:space="preserve">y la prensa de agosto destacan el gasto: una caída del 10 % el día de los resultados, a pesar de batir las ventas [9].</w:t>
      </w:r>
      <w:r>
        <w:t xml:space="preserve"> </w:t>
      </w:r>
      <w:r>
        <w:rPr>
          <w:bCs/>
          <w:b/>
        </w:rPr>
        <w:t xml:space="preserve">Foros en castellano</w:t>
      </w:r>
      <w:r>
        <w:t xml:space="preserve">: sin hilos recientes.</w:t>
      </w:r>
    </w:p>
    <w:p>
      <w:pPr>
        <w:numPr>
          <w:ilvl w:val="0"/>
          <w:numId w:val="1010"/>
        </w:numPr>
        <w:pStyle w:val="Compact"/>
      </w:pPr>
      <w:r>
        <w:rPr>
          <w:bCs/>
          <w:b/>
        </w:rPr>
        <w:t xml:space="preserve">Lectura</w:t>
      </w:r>
      <w:r>
        <w:t xml:space="preserve">: los analistas siguen muy alcistas (15 compra fuerte de 19) y la acción, no. Cae sin noticias desde septiembre, a la vez que sale dinero del sector salud. Es un desacuerdo, no euforia ni pánico. El sentimiento no mejora.</w:t>
      </w:r>
    </w:p>
    <w:bookmarkEnd w:id="29"/>
    <w:bookmarkStart w:id="30" w:name="riesgos-y-qué-rompería-la-tesis"/>
    <w:p>
      <w:pPr>
        <w:pStyle w:val="Heading2"/>
      </w:pPr>
      <w:r>
        <w:t xml:space="preserve">11. Riesgos y qué rompería la tesis</w:t>
      </w:r>
    </w:p>
    <w:p>
      <w:pPr>
        <w:pStyle w:val="FirstParagraph"/>
      </w:pPr>
      <w:r>
        <w:rPr>
          <w:bCs/>
          <w:b/>
        </w:rPr>
        <w:t xml:space="preserve">Alertas de robustez del motor (</w:t>
      </w:r>
      <w:r>
        <w:rPr>
          <w:rStyle w:val="VerbatimChar"/>
          <w:bCs/>
          <w:b/>
        </w:rPr>
        <w:t xml:space="preserve">calc.alertas</w:t>
      </w:r>
      <w:r>
        <w:rPr>
          <w:bCs/>
          <w:b/>
        </w:rPr>
        <w:t xml:space="preserve">):</w:t>
      </w:r>
    </w:p>
    <w:p>
      <w:pPr>
        <w:numPr>
          <w:ilvl w:val="0"/>
          <w:numId w:val="1011"/>
        </w:numPr>
        <w:pStyle w:val="Compact"/>
      </w:pPr>
      <w:r>
        <w:rPr>
          <w:bCs/>
          <w:b/>
        </w:rPr>
        <w:t xml:space="preserve">La mecánica (3.102 M) supera en más de 1,2 veces a mis ventas (2.500 M).</w:t>
      </w:r>
      <w:r>
        <w:t xml:space="preserve"> </w:t>
      </w:r>
      <w:r>
        <w:t xml:space="preserve">La regla v9 no sirve para un lanzamiento: el CAGR del 838 % y el +149 % de 12 meses la llevan al tope del 60 %. v11 usa la cifra del consenso, que es la prudente.</w:t>
      </w:r>
      <w:r>
        <w:t xml:space="preserve"> </w:t>
      </w:r>
      <w:r>
        <w:rPr>
          <w:bCs/>
          <w:b/>
        </w:rPr>
        <w:t xml:space="preserve">Debilita la señal de v9</w:t>
      </w:r>
      <w:r>
        <w:t xml:space="preserve"> </w:t>
      </w:r>
      <w:r>
        <w:t xml:space="preserve">(Comprar, +24,5 %),</w:t>
      </w:r>
      <w:r>
        <w:t xml:space="preserve"> </w:t>
      </w:r>
      <w:r>
        <w:rPr>
          <w:bCs/>
          <w:b/>
        </w:rPr>
        <w:t xml:space="preserve">no la de v11</w:t>
      </w:r>
      <w:r>
        <w:t xml:space="preserve">. Con la mecánica, Madrigal sería Comprar; eso solo pasaría si bate el consenso un 24 %, algo que no ha hecho de forma sostenida.</w:t>
      </w:r>
    </w:p>
    <w:p>
      <w:pPr>
        <w:numPr>
          <w:ilvl w:val="0"/>
          <w:numId w:val="1011"/>
        </w:numPr>
        <w:pStyle w:val="Compact"/>
      </w:pPr>
      <w:r>
        <w:rPr>
          <w:bCs/>
          <w:b/>
        </w:rPr>
        <w:t xml:space="preserve">Sin guía anual.</w:t>
      </w:r>
      <w:r>
        <w:t xml:space="preserve"> </w:t>
      </w:r>
      <w:r>
        <w:t xml:space="preserve">Madrigal nunca da guía de ventas, así que el recorte de v9 no actúa. Con v11 no importa, porque manda el tope del consenso. No debilita la señal.</w:t>
      </w:r>
    </w:p>
    <w:p>
      <w:pPr>
        <w:numPr>
          <w:ilvl w:val="0"/>
          <w:numId w:val="1011"/>
        </w:numPr>
        <w:pStyle w:val="Compact"/>
      </w:pPr>
      <w:r>
        <w:rPr>
          <w:bCs/>
          <w:b/>
        </w:rPr>
        <w:t xml:space="preserve">Dos clientes suman el 48 % de las ventas</w:t>
      </w:r>
      <w:r>
        <w:t xml:space="preserve"> </w:t>
      </w:r>
      <w:r>
        <w:t xml:space="preserve">(tres, el 63 %). Son farmacias y distribuidores especializados, es decir, el canal y no la demanda final: si uno falla, los pacientes compran por otro. Es un riesgo bajo de cobro, no de negocio. No debilita la señal.</w:t>
      </w:r>
    </w:p>
    <w:p>
      <w:pPr>
        <w:pStyle w:val="FirstParagraph"/>
      </w:pPr>
      <w:r>
        <w:rPr>
          <w:bCs/>
          <w:b/>
        </w:rPr>
        <w:t xml:space="preserve">Prueba de robustez (</w:t>
      </w:r>
      <w:r>
        <w:rPr>
          <w:rStyle w:val="VerbatimChar"/>
          <w:bCs/>
          <w:b/>
        </w:rPr>
        <w:t xml:space="preserve">herramientas/robustez-growth.mjs --precios</w:t>
      </w:r>
      <w:r>
        <w:rPr>
          <w:bCs/>
          <w:b/>
        </w:rPr>
        <w:t xml:space="preserve">): FRÁGIL. La acción robusta es Mantener.</w:t>
      </w:r>
      <w:r>
        <w:t xml:space="preserve"> </w:t>
      </w:r>
      <w:r>
        <w:t xml:space="preserve">Cambian la señal dos variantes.</w:t>
      </w:r>
      <w:r>
        <w:t xml:space="preserve"> </w:t>
      </w:r>
      <w:r>
        <w:rPr>
          <w:bCs/>
          <w:b/>
        </w:rPr>
        <w:t xml:space="preserve">v7</w:t>
      </w:r>
      <w:r>
        <w:t xml:space="preserve"> </w:t>
      </w:r>
      <w:r>
        <w:t xml:space="preserve">da Comprar (+24,5 %), por la misma razón que v9: proyecta 3.102 M.</w:t>
      </w:r>
      <w:r>
        <w:t xml:space="preserve"> </w:t>
      </w:r>
      <w:r>
        <w:rPr>
          <w:bCs/>
          <w:b/>
        </w:rPr>
        <w:t xml:space="preserve">Con probabilidades 25/50/25</w:t>
      </w:r>
      <w:r>
        <w:t xml:space="preserve"> </w:t>
      </w:r>
      <w:r>
        <w:t xml:space="preserve">también da Comprar (+16,8 %). La primera queda descartada por la alerta 1. La segunda la descarta el propio método: con un solo producto tocan 35/50/15. Avisos: G2 (el objetivo queda fijo; el límite es 449,6 USD), G4 (sin guía) y G6 (bajista del −44 %: si un día entra, posición pequeña y en dos tramos). Al precio de hoy (461,05 USD en la prueba) la ponderada baja al +2,4 %: sigue en Mantener.</w:t>
      </w:r>
    </w:p>
    <w:p>
      <w:pPr>
        <w:pStyle w:val="BodyText"/>
      </w:pPr>
      <w:r>
        <w:rPr>
          <w:bCs/>
          <w:b/>
        </w:rPr>
        <w:t xml:space="preserve">Otros riesgos:</w:t>
      </w:r>
      <w:r>
        <w:t xml:space="preserve"> </w:t>
      </w:r>
      <w:r>
        <w:t xml:space="preserve">-</w:t>
      </w:r>
      <w:r>
        <w:t xml:space="preserve"> </w:t>
      </w:r>
      <w:r>
        <w:rPr>
          <w:bCs/>
          <w:b/>
        </w:rPr>
        <w:t xml:space="preserve">Competencia</w:t>
      </w:r>
      <w:r>
        <w:t xml:space="preserve"> </w:t>
      </w:r>
      <w:r>
        <w:t xml:space="preserve">de los GLP-1 (Wegovy, tirzepatida y, más adelante, los GLP-1 orales baratos) y de los FGF21 de Novo, Roche y GSK hacia 2028. Es el escenario bajista.</w:t>
      </w:r>
      <w:r>
        <w:t xml:space="preserve"> </w:t>
      </w:r>
      <w:r>
        <w:t xml:space="preserve">-</w:t>
      </w:r>
      <w:r>
        <w:t xml:space="preserve"> </w:t>
      </w:r>
      <w:r>
        <w:rPr>
          <w:bCs/>
          <w:b/>
        </w:rPr>
        <w:t xml:space="preserve">Un solo producto</w:t>
      </w:r>
      <w:r>
        <w:t xml:space="preserve">: el 100 % de las ventas es Rezdiffra.</w:t>
      </w:r>
      <w:r>
        <w:t xml:space="preserve"> </w:t>
      </w:r>
      <w:r>
        <w:t xml:space="preserve">-</w:t>
      </w:r>
      <w:r>
        <w:t xml:space="preserve"> </w:t>
      </w:r>
      <w:r>
        <w:rPr>
          <w:bCs/>
          <w:b/>
        </w:rPr>
        <w:t xml:space="preserve">Precio</w:t>
      </w:r>
      <w:r>
        <w:t xml:space="preserve">: la política de «nación más favorecida» de EE. UU. ya frena Europa, y la negociación de precios de Medicare llegaría más tarde.</w:t>
      </w:r>
      <w:r>
        <w:t xml:space="preserve"> </w:t>
      </w:r>
      <w:r>
        <w:t xml:space="preserve">-</w:t>
      </w:r>
      <w:r>
        <w:t xml:space="preserve"> </w:t>
      </w:r>
      <w:r>
        <w:rPr>
          <w:bCs/>
          <w:b/>
        </w:rPr>
        <w:t xml:space="preserve">Ensayos de resultados clínicos</w:t>
      </w:r>
      <w:r>
        <w:t xml:space="preserve">: F4c en 2027 y F2-F3 en 2028. Si fallan, peligra la aprobación completa.</w:t>
      </w:r>
      <w:r>
        <w:t xml:space="preserve"> </w:t>
      </w:r>
      <w:r>
        <w:t xml:space="preserve">-</w:t>
      </w:r>
      <w:r>
        <w:t xml:space="preserve"> </w:t>
      </w:r>
      <w:r>
        <w:rPr>
          <w:bCs/>
          <w:b/>
        </w:rPr>
        <w:t xml:space="preserve">Genéricos</w:t>
      </w:r>
      <w:r>
        <w:t xml:space="preserve">: la exclusividad de nueva molécula vence en marzo de 2029, y desde marzo de 2028 los genéricos pueden impugnar las patentes (de memoria, sin comprobar). Las patentes de uso llegan a 2045.</w:t>
      </w:r>
      <w:r>
        <w:t xml:space="preserve"> </w:t>
      </w:r>
      <w:r>
        <w:t xml:space="preserve">-</w:t>
      </w:r>
      <w:r>
        <w:t xml:space="preserve"> </w:t>
      </w:r>
      <w:r>
        <w:rPr>
          <w:bCs/>
          <w:b/>
        </w:rPr>
        <w:t xml:space="preserve">Gasto</w:t>
      </w:r>
      <w:r>
        <w:t xml:space="preserve">: el SG&amp;A y las licencias retrasan el beneficio.</w:t>
      </w:r>
    </w:p>
    <w:p>
      <w:pPr>
        <w:pStyle w:val="BodyText"/>
      </w:pPr>
      <w:r>
        <w:rPr>
          <w:bCs/>
          <w:b/>
        </w:rPr>
        <w:t xml:space="preserve">Señales de venta</w:t>
      </w:r>
      <w:r>
        <w:t xml:space="preserve"> </w:t>
      </w:r>
      <w:r>
        <w:t xml:space="preserve">(si se tuviera): (a) ventas trimestrales planas dos trimestres seguidos fuera del 1T, que es estacional; (b) fracaso del ensayo F4c o una advertencia de la FDA sobre la aprobación acelerada; (c) datos de fase 3 de un FGF21 claramente mejores en fibrosis con un precio parecido; (d) una ampliación de capital grande sin motivo de negocio.</w:t>
      </w:r>
    </w:p>
    <w:bookmarkEnd w:id="30"/>
    <w:bookmarkStart w:id="31" w:name="catalizadores-con-fecha"/>
    <w:p>
      <w:pPr>
        <w:pStyle w:val="Heading2"/>
      </w:pPr>
      <w:r>
        <w:t xml:space="preserve">12. Catalizadores con fecha</w:t>
      </w:r>
    </w:p>
    <w:p>
      <w:pPr>
        <w:numPr>
          <w:ilvl w:val="0"/>
          <w:numId w:val="1012"/>
        </w:numPr>
        <w:pStyle w:val="Compact"/>
      </w:pPr>
      <w:r>
        <w:rPr>
          <w:bCs/>
          <w:b/>
        </w:rPr>
        <w:t xml:space="preserve">29-oct-2026</w:t>
      </w:r>
      <w:r>
        <w:t xml:space="preserve">: resultados del 3T (consenso de ventas de 406 M; pacientes y persistencia).</w:t>
      </w:r>
    </w:p>
    <w:p>
      <w:pPr>
        <w:numPr>
          <w:ilvl w:val="0"/>
          <w:numId w:val="1012"/>
        </w:numPr>
        <w:pStyle w:val="Compact"/>
      </w:pPr>
      <w:r>
        <w:rPr>
          <w:bCs/>
          <w:b/>
        </w:rPr>
        <w:t xml:space="preserve">Noviembre de 2026</w:t>
      </w:r>
      <w:r>
        <w:t xml:space="preserve">: congreso AASLD (datos de la práctica real y de la extensión en cirrosis; fecha de memoria).</w:t>
      </w:r>
    </w:p>
    <w:p>
      <w:pPr>
        <w:numPr>
          <w:ilvl w:val="0"/>
          <w:numId w:val="1012"/>
        </w:numPr>
        <w:pStyle w:val="Compact"/>
      </w:pPr>
      <w:r>
        <w:rPr>
          <w:bCs/>
          <w:b/>
        </w:rPr>
        <w:t xml:space="preserve">Febrero de 2027</w:t>
      </w:r>
      <w:r>
        <w:t xml:space="preserve">: resultados del 4T y del año, y posible plan de gasto de 2027.</w:t>
      </w:r>
    </w:p>
    <w:p>
      <w:pPr>
        <w:numPr>
          <w:ilvl w:val="0"/>
          <w:numId w:val="1012"/>
        </w:numPr>
        <w:pStyle w:val="Compact"/>
      </w:pPr>
      <w:r>
        <w:rPr>
          <w:bCs/>
          <w:b/>
        </w:rPr>
        <w:t xml:space="preserve">2027, sin fecha</w:t>
      </w:r>
      <w:r>
        <w:t xml:space="preserve">: resultados del ensayo MAESTRO-NASH OUTCOMES en cirrosis compensada (F4c), el catalizador grande. También empiezan tres fase 2 de combinación.</w:t>
      </w:r>
    </w:p>
    <w:p>
      <w:pPr>
        <w:numPr>
          <w:ilvl w:val="0"/>
          <w:numId w:val="1012"/>
        </w:numPr>
        <w:pStyle w:val="Compact"/>
      </w:pPr>
      <w:r>
        <w:rPr>
          <w:bCs/>
          <w:b/>
        </w:rPr>
        <w:t xml:space="preserve">2027-2028</w:t>
      </w:r>
      <w:r>
        <w:t xml:space="preserve">: fase 3 de los FGF21 rivales (riesgo) y resultados del ensayo F2-F3 (2028).</w:t>
      </w:r>
    </w:p>
    <w:bookmarkEnd w:id="31"/>
    <w:bookmarkStart w:id="32" w:name="encaje-en-cartera"/>
    <w:p>
      <w:pPr>
        <w:pStyle w:val="Heading2"/>
      </w:pPr>
      <w:r>
        <w:t xml:space="preserve">13. Encaje en cartera</w:t>
      </w:r>
    </w:p>
    <w:p>
      <w:pPr>
        <w:numPr>
          <w:ilvl w:val="0"/>
          <w:numId w:val="1013"/>
        </w:numPr>
        <w:pStyle w:val="Compact"/>
      </w:pPr>
      <w:r>
        <w:rPr>
          <w:bCs/>
          <w:b/>
        </w:rPr>
        <w:t xml:space="preserve">Bolsillo growth lleno</w:t>
      </w:r>
      <w:r>
        <w:t xml:space="preserve"> </w:t>
      </w:r>
      <w:r>
        <w:t xml:space="preserve">(~20 %): Nu (+19 %), Axon (+36 %), Shopify (+18 %), Snowflake (+13 %) y Samsara (+15 %), todas a precio actual con v11. La liquidez libre es casi nula, así que solo cabe sustituir.</w:t>
      </w:r>
    </w:p>
    <w:p>
      <w:pPr>
        <w:numPr>
          <w:ilvl w:val="0"/>
          <w:numId w:val="1013"/>
        </w:numPr>
        <w:pStyle w:val="Compact"/>
      </w:pPr>
      <w:r>
        <w:rPr>
          <w:bCs/>
          <w:b/>
        </w:rPr>
        <w:t xml:space="preserve">Madrigal no sustituye a ninguna.</w:t>
      </w:r>
      <w:r>
        <w:t xml:space="preserve"> </w:t>
      </w:r>
      <w:r>
        <w:t xml:space="preserve">Al precio actual da +2,4 % de ponderada, frente a +13 % de la peor del bolsillo (Snowflake), y su señal es Mantener.</w:t>
      </w:r>
    </w:p>
    <w:p>
      <w:pPr>
        <w:numPr>
          <w:ilvl w:val="0"/>
          <w:numId w:val="1013"/>
        </w:numPr>
        <w:pStyle w:val="Compact"/>
      </w:pPr>
      <w:r>
        <w:rPr>
          <w:bCs/>
          <w:b/>
        </w:rPr>
        <w:t xml:space="preserve">No entra en la lista de suplentes.</w:t>
      </w:r>
      <w:r>
        <w:t xml:space="preserve"> </w:t>
      </w:r>
      <w:r>
        <w:t xml:space="preserve">Hoy la lista es MongoDB, Toast, Zscaler, dLocal, Dexcom, Datadog, argenx, Natera y Saab, y todas son Comprar. Si bajara de 449,6 USD pasaría a Comprar con convicción baja y una ponderada de solo el 5 %. Entonces iría la última, detrás de Saab (+6 %).</w:t>
      </w:r>
    </w:p>
    <w:p>
      <w:pPr>
        <w:numPr>
          <w:ilvl w:val="0"/>
          <w:numId w:val="1013"/>
        </w:numPr>
        <w:pStyle w:val="Compact"/>
      </w:pPr>
      <w:r>
        <w:rPr>
          <w:bCs/>
          <w:b/>
        </w:rPr>
        <w:t xml:space="preserve">Exposición</w:t>
      </w:r>
      <w:r>
        <w:t xml:space="preserve">: no aporta exposición a la IA (Alphabet se vende mañana y no cuenta). Sí añadiría biotecnología de un solo producto a argenx, que es suplente. Para una cartera con posiciones de al menos, un bajista del −44 % pesa.</w:t>
      </w:r>
    </w:p>
    <w:p>
      <w:pPr>
        <w:numPr>
          <w:ilvl w:val="0"/>
          <w:numId w:val="1013"/>
        </w:numPr>
        <w:pStyle w:val="Compact"/>
      </w:pPr>
      <w:r>
        <w:rPr>
          <w:bCs/>
          <w:b/>
        </w:rPr>
        <w:t xml:space="preserve">Qué la haría entrar</w:t>
      </w:r>
      <w:r>
        <w:t xml:space="preserve">: un precio de 449,6 USD o menos, o un 3T claramente por encima del consenso con revisiones al alza de 2027. Con eso se rehace el objetivo; no basta con que baje el precio.</w:t>
      </w:r>
    </w:p>
    <w:bookmarkEnd w:id="32"/>
    <w:bookmarkStart w:id="33" w:name="puntuación"/>
    <w:p>
      <w:pPr>
        <w:pStyle w:val="Heading2"/>
      </w:pPr>
      <w:r>
        <w:t xml:space="preserve">14. Puntuación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Bloque</w:t>
            </w:r>
          </w:p>
        </w:tc>
        <w:tc>
          <w:tcPr/>
          <w:p>
            <w:pPr>
              <w:pStyle w:val="Compact"/>
              <w:jc w:val="left"/>
            </w:pPr>
            <w:r>
              <w:t xml:space="preserve">Puntos</w:t>
            </w:r>
          </w:p>
        </w:tc>
        <w:tc>
          <w:tcPr/>
          <w:p>
            <w:pPr>
              <w:pStyle w:val="Compact"/>
              <w:jc w:val="left"/>
            </w:pPr>
            <w:r>
              <w:t xml:space="preserve">Máximo</w:t>
            </w:r>
          </w:p>
        </w:tc>
        <w:tc>
          <w:tcPr/>
          <w:p>
            <w:pPr>
              <w:pStyle w:val="Compact"/>
              <w:jc w:val="left"/>
            </w:pPr>
            <w:r>
              <w:t xml:space="preserve">Comentario</w:t>
            </w:r>
          </w:p>
        </w:tc>
      </w:tr>
      <w:tr>
        <w:tc>
          <w:tcPr/>
          <w:p>
            <w:pPr>
              <w:pStyle w:val="Compact"/>
              <w:jc w:val="left"/>
            </w:pPr>
            <w:r>
              <w:t xml:space="preserve">A. Crecimiento</w:t>
            </w:r>
          </w:p>
        </w:tc>
        <w:tc>
          <w:tcPr/>
          <w:p>
            <w:pPr>
              <w:pStyle w:val="Compact"/>
              <w:jc w:val="left"/>
            </w:pPr>
            <w:r>
              <w:t xml:space="preserve">16,7</w:t>
            </w:r>
          </w:p>
        </w:tc>
        <w:tc>
          <w:tcPr/>
          <w:p>
            <w:pPr>
              <w:pStyle w:val="Compact"/>
              <w:jc w:val="left"/>
            </w:pPr>
            <w:r>
              <w:t xml:space="preserve">25</w:t>
            </w:r>
          </w:p>
        </w:tc>
        <w:tc>
          <w:tcPr/>
          <w:p>
            <w:pPr>
              <w:pStyle w:val="Compact"/>
              <w:jc w:val="left"/>
            </w:pPr>
            <w:r>
              <w:t xml:space="preserve">Ventas +149 % y CAGR máximos; aceleración 0, porque el lanzamiento se normaliza</w:t>
            </w:r>
          </w:p>
        </w:tc>
      </w:tr>
      <w:tr>
        <w:tc>
          <w:tcPr/>
          <w:p>
            <w:pPr>
              <w:pStyle w:val="Compact"/>
              <w:jc w:val="left"/>
            </w:pPr>
            <w:r>
              <w:t xml:space="preserve">B. Mercado y tecnología</w:t>
            </w:r>
          </w:p>
        </w:tc>
        <w:tc>
          <w:tcPr/>
          <w:p>
            <w:pPr>
              <w:pStyle w:val="Compact"/>
              <w:jc w:val="left"/>
            </w:pPr>
            <w:r>
              <w:t xml:space="preserve">14,7</w:t>
            </w:r>
          </w:p>
        </w:tc>
        <w:tc>
          <w:tcPr/>
          <w:p>
            <w:pPr>
              <w:pStyle w:val="Compact"/>
              <w:jc w:val="left"/>
            </w:pPr>
            <w:r>
              <w:t xml:space="preserve">20</w:t>
            </w:r>
          </w:p>
        </w:tc>
        <w:tc>
          <w:tcPr/>
          <w:p>
            <w:pPr>
              <w:pStyle w:val="Compact"/>
              <w:jc w:val="left"/>
            </w:pPr>
            <w:r>
              <w:t xml:space="preserve">Penetración del 8,6 %; tecnología 4; posición 4</w:t>
            </w:r>
          </w:p>
        </w:tc>
      </w:tr>
      <w:tr>
        <w:tc>
          <w:tcPr/>
          <w:p>
            <w:pPr>
              <w:pStyle w:val="Compact"/>
              <w:jc w:val="left"/>
            </w:pPr>
            <w:r>
              <w:t xml:space="preserve">C. Cambio de tendencia</w:t>
            </w:r>
          </w:p>
        </w:tc>
        <w:tc>
          <w:tcPr/>
          <w:p>
            <w:pPr>
              <w:pStyle w:val="Compact"/>
              <w:jc w:val="left"/>
            </w:pPr>
            <w:r>
              <w:t xml:space="preserve">2,5</w:t>
            </w:r>
          </w:p>
        </w:tc>
        <w:tc>
          <w:tcPr/>
          <w:p>
            <w:pPr>
              <w:pStyle w:val="Compact"/>
              <w:jc w:val="left"/>
            </w:pPr>
            <w:r>
              <w:t xml:space="preserve">20</w:t>
            </w:r>
          </w:p>
        </w:tc>
        <w:tc>
          <w:tcPr/>
          <w:p>
            <w:pPr>
              <w:pStyle w:val="Compact"/>
              <w:jc w:val="left"/>
            </w:pPr>
            <w:r>
              <w:t xml:space="preserve">1 de 8 (inflexión operativa)</w:t>
            </w:r>
          </w:p>
        </w:tc>
      </w:tr>
      <w:tr>
        <w:tc>
          <w:tcPr/>
          <w:p>
            <w:pPr>
              <w:pStyle w:val="Compact"/>
              <w:jc w:val="left"/>
            </w:pPr>
            <w:r>
              <w:t xml:space="preserve">D. Economía unitaria</w:t>
            </w:r>
          </w:p>
        </w:tc>
        <w:tc>
          <w:tcPr/>
          <w:p>
            <w:pPr>
              <w:pStyle w:val="Compact"/>
              <w:jc w:val="left"/>
            </w:pPr>
            <w:r>
              <w:t xml:space="preserve">13</w:t>
            </w:r>
          </w:p>
        </w:tc>
        <w:tc>
          <w:tcPr/>
          <w:p>
            <w:pPr>
              <w:pStyle w:val="Compact"/>
              <w:jc w:val="left"/>
            </w:pPr>
            <w:r>
              <w:t xml:space="preserve">15</w:t>
            </w:r>
          </w:p>
        </w:tc>
        <w:tc>
          <w:tcPr/>
          <w:p>
            <w:pPr>
              <w:pStyle w:val="Compact"/>
              <w:jc w:val="left"/>
            </w:pPr>
            <w:r>
              <w:t xml:space="preserve">Margen bruto del 91,5 %; regla del 40 de 133; equilibrio en ≤ 12 meses</w:t>
            </w:r>
          </w:p>
        </w:tc>
      </w:tr>
      <w:tr>
        <w:tc>
          <w:tcPr/>
          <w:p>
            <w:pPr>
              <w:pStyle w:val="Compact"/>
              <w:jc w:val="left"/>
            </w:pPr>
            <w:r>
              <w:t xml:space="preserve">E. Caja y dilución</w:t>
            </w:r>
          </w:p>
        </w:tc>
        <w:tc>
          <w:tcPr/>
          <w:p>
            <w:pPr>
              <w:pStyle w:val="Compact"/>
              <w:jc w:val="left"/>
            </w:pPr>
            <w:r>
              <w:t xml:space="preserve">8</w:t>
            </w:r>
          </w:p>
        </w:tc>
        <w:tc>
          <w:tcPr/>
          <w:p>
            <w:pPr>
              <w:pStyle w:val="Compact"/>
              <w:jc w:val="left"/>
            </w:pPr>
            <w:r>
              <w:t xml:space="preserve">10</w:t>
            </w:r>
          </w:p>
        </w:tc>
        <w:tc>
          <w:tcPr/>
          <w:p>
            <w:pPr>
              <w:pStyle w:val="Compact"/>
              <w:jc w:val="left"/>
            </w:pPr>
            <w:r>
              <w:t xml:space="preserve">Pista de 49 meses; dilución del 3,2 %</w:t>
            </w:r>
          </w:p>
        </w:tc>
      </w:tr>
      <w:tr>
        <w:tc>
          <w:tcPr/>
          <w:p>
            <w:pPr>
              <w:pStyle w:val="Compact"/>
              <w:jc w:val="left"/>
            </w:pPr>
            <w:r>
              <w:t xml:space="preserve">F. Ejecución y dirección</w:t>
            </w:r>
          </w:p>
        </w:tc>
        <w:tc>
          <w:tcPr/>
          <w:p>
            <w:pPr>
              <w:pStyle w:val="Compact"/>
              <w:jc w:val="left"/>
            </w:pPr>
            <w:r>
              <w:t xml:space="preserve">7</w:t>
            </w:r>
          </w:p>
        </w:tc>
        <w:tc>
          <w:tcPr/>
          <w:p>
            <w:pPr>
              <w:pStyle w:val="Compact"/>
              <w:jc w:val="left"/>
            </w:pPr>
            <w:r>
              <w:t xml:space="preserve">10</w:t>
            </w:r>
          </w:p>
        </w:tc>
        <w:tc>
          <w:tcPr/>
          <w:p>
            <w:pPr>
              <w:pStyle w:val="Compact"/>
              <w:jc w:val="left"/>
            </w:pPr>
            <w:r>
              <w:t xml:space="preserve">Historial 4; dirección 3</w:t>
            </w:r>
          </w:p>
        </w:tc>
      </w:tr>
      <w:tr>
        <w:tc>
          <w:tcPr/>
          <w:p>
            <w:pPr>
              <w:pStyle w:val="Compact"/>
              <w:jc w:val="left"/>
            </w:pPr>
            <w:r>
              <w:rPr>
                <w:bCs/>
                <w:b/>
              </w:rPr>
              <w:t xml:space="preserve">Total</w:t>
            </w:r>
          </w:p>
        </w:tc>
        <w:tc>
          <w:tcPr/>
          <w:p>
            <w:pPr>
              <w:pStyle w:val="Compact"/>
              <w:jc w:val="left"/>
            </w:pPr>
            <w:r>
              <w:rPr>
                <w:bCs/>
                <w:b/>
              </w:rPr>
              <w:t xml:space="preserve">61,8</w:t>
            </w:r>
          </w:p>
        </w:tc>
        <w:tc>
          <w:tcPr/>
          <w:p>
            <w:pPr>
              <w:pStyle w:val="Compact"/>
              <w:jc w:val="left"/>
            </w:pPr>
            <w:r>
              <w:rPr>
                <w:bCs/>
                <w:b/>
              </w:rPr>
              <w:t xml:space="preserve">100</w:t>
            </w:r>
          </w:p>
        </w:tc>
        <w:tc>
          <w:tcPr/>
          <w:p>
            <w:pPr>
              <w:pStyle w:val="Compact"/>
            </w:pPr>
          </w:p>
        </w:tc>
      </w:tr>
    </w:tbl>
    <w:bookmarkEnd w:id="33"/>
    <w:bookmarkStart w:id="34" w:name="fuentes"/>
    <w:p>
      <w:pPr>
        <w:pStyle w:val="Heading2"/>
      </w:pPr>
      <w:r>
        <w:t xml:space="preserve">Fuentes</w:t>
      </w:r>
    </w:p>
    <w:p>
      <w:pPr>
        <w:pStyle w:val="FirstParagraph"/>
      </w:pPr>
      <w:r>
        <w:t xml:space="preserve">[1] Madrigal, 8-K del 30-jul-2026, anexo 99.1, resultados del 2T26 (SEC).</w:t>
      </w:r>
      <w:r>
        <w:t xml:space="preserve"> </w:t>
      </w:r>
      <w:r>
        <w:t xml:space="preserve">[2] Madrigal, 10-Q del 2T26 (30-jul-2026, SEC): deuda, acciones, warrants prefinanciados, preferentes, opciones, flujo de caja, clientes, licencias y programa ATM.</w:t>
      </w:r>
      <w:r>
        <w:t xml:space="preserve"> </w:t>
      </w:r>
      <w:r>
        <w:t xml:space="preserve">[3] SEC, XBRL companyfacts de Madrigal (CIK 1157601).</w:t>
      </w:r>
      <w:r>
        <w:t xml:space="preserve"> </w:t>
      </w:r>
      <w:r>
        <w:t xml:space="preserve">[4] Madrigal, 8-K del 11-ago-2026 y formularios 4 de 2026 (SEC).</w:t>
      </w:r>
      <w:r>
        <w:t xml:space="preserve"> </w:t>
      </w:r>
      <w:r>
        <w:t xml:space="preserve">[5] Yahoo Finance chart API (MDGL, ^NDX, XBI) y Nasdaq.com (histórico de MDGL): cierre del 13-oct 452,12 USD en las dos; intradía 460,91 USD a las 18:19 UTC del 14-oct.</w:t>
      </w:r>
      <w:r>
        <w:t xml:space="preserve"> </w:t>
      </w:r>
      <w:r>
        <w:t xml:space="preserve">[6] MarketScreener, consenso de 19 analistas (ventas, EBITDA y FCF de 2025 a 2028; objetivo medio 682,11 USD).</w:t>
      </w:r>
      <w:r>
        <w:t xml:space="preserve"> </w:t>
      </w:r>
      <w:r>
        <w:t xml:space="preserve">[7] Yahoo Finance, análisis de MDGL (estimaciones de ventas y tendencia del BPA).</w:t>
      </w:r>
      <w:r>
        <w:t xml:space="preserve"> </w:t>
      </w:r>
      <w:r>
        <w:t xml:space="preserve">[8] StockAnalysis, previsiones y cambios de recomendación (hasta el 14-oct-2026).</w:t>
      </w:r>
      <w:r>
        <w:t xml:space="preserve"> </w:t>
      </w:r>
      <w:r>
        <w:t xml:space="preserve">[9] Investing.com, transcripción de la conferencia del 2T26 (30-jul-2026).</w:t>
      </w:r>
      <w:r>
        <w:t xml:space="preserve"> </w:t>
      </w:r>
      <w:r>
        <w:t xml:space="preserve">[10] AD HOC NEWS, 7-oct-2026 (análisis genético de MAESTRO-NASH en Hepatology; resultados del 3T el 29-oct).</w:t>
      </w:r>
      <w:r>
        <w:t xml:space="preserve"> </w:t>
      </w:r>
      <w:r>
        <w:t xml:space="preserve">[11] DataLookout (mayo-2026, actualizado en agosto) y PharmaVoice: competencia, compras de empresas y fase 3 en MASH.</w:t>
      </w:r>
      <w:r>
        <w:t xml:space="preserve"> </w:t>
      </w:r>
      <w:r>
        <w:t xml:space="preserve">[12] StockTwits, API pública (14-oct-2026).</w:t>
      </w:r>
      <w:r>
        <w:t xml:space="preserve"> </w:t>
      </w:r>
      <w:r>
        <w:t xml:space="preserve">[13] Motley Fool, 10-sep-2026 (principales accionistas institucionales).</w:t>
      </w:r>
      <w:r>
        <w:t xml:space="preserve"> </w:t>
      </w:r>
      <w:r>
        <w:t xml:space="preserve">[14] Estimación propia: mercado alcanzable, múltiplos históricos, comparables (informes del repo del 14-oct) y DCF inverso.</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2026-10-14T21:44:25Z</dcterms:created>
  <dcterms:modified xsi:type="dcterms:W3CDTF">2026-10-14T21:44:25Z</dcterms:modified>
</cp:coreProperties>
</file>

<file path=docProps/custom.xml><?xml version="1.0" encoding="utf-8"?>
<Properties xmlns="http://schemas.openxmlformats.org/officeDocument/2006/custom-properties" xmlns:vt="http://schemas.openxmlformats.org/officeDocument/2006/docPropsVTypes"/>
</file>