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medacta-move-análisis-growth-14-oct-2026"/>
    <w:p>
      <w:pPr>
        <w:pStyle w:val="Heading1"/>
      </w:pPr>
      <w:r>
        <w:t xml:space="preserve">Medacta (MOVE): análisis growth, 14-oct-2026</w:t>
      </w:r>
    </w:p>
    <w:p>
      <w:pPr>
        <w:pStyle w:val="FirstParagraph"/>
      </w:pPr>
      <w:r>
        <w:rPr>
          <w:bCs/>
          <w:b/>
        </w:rPr>
        <w:t xml:space="preserve">Señal (método v11, vigente): Mantener</w:t>
      </w:r>
      <w:r>
        <w:t xml:space="preserve"> </w:t>
      </w:r>
      <w:r>
        <w:t xml:space="preserve">· Puntuación 50/100 · Señales de cambio de tendencia 2/8 · EV/beneficio bruto 5,3x · EV/EBITDA de los 12 meses siguientes 12,3x</w:t>
      </w:r>
    </w:p>
    <w:p>
      <w:pPr>
        <w:pStyle w:val="BodyText"/>
      </w:pPr>
      <w:r>
        <w:t xml:space="preserve">Precio 114,00 CHF, cierre del 13-oct · Objetivo a 12 meses 118,7 CHF · Rentabilidad ponderada +5,1 % · Escenario base +4,6 % · Escenario bajista −46,5 % · Escenario alcista +57,6 % · Compra hasta: no aplica, porque la puntuación no llega a 60</w:t>
      </w:r>
    </w:p>
    <w:p>
      <w:pPr>
        <w:pStyle w:val="BodyText"/>
      </w:pPr>
      <w:r>
        <w:rPr>
          <w:bCs/>
          <w:b/>
        </w:rPr>
        <w:t xml:space="preserve">Al precio actual</w:t>
      </w:r>
      <w:r>
        <w:t xml:space="preserve">, 114,40 CHF al cierre del 14-oct (15:30 UTC), con el objetivo del informe fijo: rentabilidad ponderada</w:t>
      </w:r>
      <w:r>
        <w:t xml:space="preserve"> </w:t>
      </w:r>
      <w:r>
        <w:rPr>
          <w:bCs/>
          <w:b/>
        </w:rPr>
        <w:t xml:space="preserve">+4,8 %</w:t>
      </w:r>
      <w:r>
        <w:t xml:space="preserve">.</w:t>
      </w:r>
    </w:p>
    <w:p>
      <w:pPr>
        <w:pStyle w:val="BodyText"/>
      </w:pPr>
      <w:r>
        <w:t xml:space="preserve">Peso orientativo:</w:t>
      </w:r>
      <w:r>
        <w:t xml:space="preserve"> </w:t>
      </w:r>
      <w:r>
        <w:rPr>
          <w:bCs/>
          <w:b/>
        </w:rPr>
        <w:t xml:space="preserve">no entra</w:t>
      </w:r>
      <w:r>
        <w:t xml:space="preserve">. No es una compra y el bolsillo growth está lleno.</w:t>
      </w:r>
    </w:p>
    <w:p>
      <w:pPr>
        <w:pStyle w:val="BodyText"/>
      </w:pPr>
      <w:r>
        <w:t xml:space="preserve">Referencia v9: Mantener, con ponderada +9,3 %. v11 rinde menos porque usa las ventas de este informe, más bajas que las de la regla mecánica.</w:t>
      </w:r>
    </w:p>
    <w:p>
      <w:pPr>
        <w:pStyle w:val="BodyText"/>
      </w:pPr>
      <w:r>
        <w:t xml:space="preserve">Divisa: Medacta presenta las cuentas en euros y cotiza en francos suizos. Todo va en CHF, al cambio de 0,9308 CHF por euro (cierre del 13-oct).</w:t>
      </w:r>
    </w:p>
    <w:p>
      <w:pPr>
        <w:pStyle w:val="BodyText"/>
      </w:pPr>
      <w:r>
        <w:t xml:space="preserve">Alertas de robustez del motor: ninguna. Prueba</w:t>
      </w:r>
      <w:r>
        <w:t xml:space="preserve"> </w:t>
      </w:r>
      <w:r>
        <w:rPr>
          <w:rStyle w:val="VerbatimChar"/>
        </w:rPr>
        <w:t xml:space="preserve">robustez-growth</w:t>
      </w:r>
      <w:r>
        <w:t xml:space="preserve">:</w:t>
      </w:r>
      <w:r>
        <w:t xml:space="preserve"> </w:t>
      </w:r>
      <w:r>
        <w:rPr>
          <w:bCs/>
          <w:b/>
        </w:rPr>
        <w:t xml:space="preserve">SÓLIDA</w:t>
      </w:r>
      <w:r>
        <w:t xml:space="preserve">, con señal robusta Mantener. Ojo: la puntuación está justo en 50, el listón de venta. Si se mide el crecimiento en euros publicados en vez de a tipo de cambio constante, baja a 46,7 y la señal pasa a Vender (sección 11).</w:t>
      </w:r>
    </w:p>
    <w:bookmarkStart w:id="20" w:name="la-tesis-en-cinco-líneas"/>
    <w:p>
      <w:pPr>
        <w:pStyle w:val="Heading2"/>
      </w:pPr>
      <w:r>
        <w:t xml:space="preserve">1. La tesis en cinco líneas</w:t>
      </w:r>
    </w:p>
    <w:p>
      <w:pPr>
        <w:numPr>
          <w:ilvl w:val="0"/>
          <w:numId w:val="1001"/>
        </w:numPr>
        <w:pStyle w:val="Compact"/>
      </w:pPr>
      <w:r>
        <w:t xml:space="preserve">Medacta es una empresa suiza familiar de</w:t>
      </w:r>
      <w:r>
        <w:t xml:space="preserve"> </w:t>
      </w:r>
      <w:r>
        <w:rPr>
          <w:bCs/>
          <w:b/>
        </w:rPr>
        <w:t xml:space="preserve">prótesis de cadera, rodilla y hombro, columna y medicina deportiva</w:t>
      </w:r>
      <w:r>
        <w:t xml:space="preserve">. Gana cuota a los gigantes con cirugía menos invasiva, implantes a medida y formación de cirujanos, y lleva años creciendo bastante más que su mercado [1][2].</w:t>
      </w:r>
    </w:p>
    <w:p>
      <w:pPr>
        <w:numPr>
          <w:ilvl w:val="0"/>
          <w:numId w:val="1001"/>
        </w:numPr>
        <w:pStyle w:val="Compact"/>
      </w:pPr>
      <w:r>
        <w:t xml:space="preserve">Este año frena de golpe. En el primer semestre de 2026 creció un 9,7 % a tipo de cambio constante, frente a casi un 20 % un año antes. En EE. UU. se queda casi plano en euros: cambia su red de ventas de columna y los cirujanos que ya eran clientes operan menos [2].</w:t>
      </w:r>
    </w:p>
    <w:p>
      <w:pPr>
        <w:numPr>
          <w:ilvl w:val="0"/>
          <w:numId w:val="1001"/>
        </w:numPr>
        <w:pStyle w:val="Compact"/>
      </w:pPr>
      <w:r>
        <w:t xml:space="preserve">La bolsa lo ha castigado: −23 % en 12 meses y −26 % en 6 meses. El múltiplo está en su mínimo de 3 años, 12,3 veces el EBITDA de los próximos 12 meses frente a una mediana de ~16 [5].</w:t>
      </w:r>
    </w:p>
    <w:p>
      <w:pPr>
        <w:numPr>
          <w:ilvl w:val="0"/>
          <w:numId w:val="1001"/>
        </w:numPr>
        <w:pStyle w:val="Compact"/>
      </w:pPr>
      <w:r>
        <w:t xml:space="preserve">Barata no basta para el método. Con la guía en su parte baja y el múltiplo de hoy, el escenario base da solo +4,6 %. La puntuación (50) queda lejos del 60 que pide la compra, porque el crecimiento frena y casi ninguna señal de giro está encendida.</w:t>
      </w:r>
    </w:p>
    <w:p>
      <w:pPr>
        <w:numPr>
          <w:ilvl w:val="0"/>
          <w:numId w:val="1001"/>
        </w:numPr>
        <w:pStyle w:val="Compact"/>
      </w:pPr>
      <w:r>
        <w:t xml:space="preserve">Conclusión:</w:t>
      </w:r>
      <w:r>
        <w:t xml:space="preserve"> </w:t>
      </w:r>
      <w:r>
        <w:rPr>
          <w:bCs/>
          <w:b/>
        </w:rPr>
        <w:t xml:space="preserve">Mantener</w:t>
      </w:r>
      <w:r>
        <w:t xml:space="preserve">, sin hueco en cartera. Hay una señal interesante: los directivos compran en el mínimo, unos 1,4 millones de francos netos. Pero la tesis se juega en dos cosas: si el segundo semestre vuelve a crecer al 10-14 % que promete la guía, y si EE. UU. se recupera.</w:t>
      </w:r>
    </w:p>
    <w:bookmarkEnd w:id="20"/>
    <w:bookmarkStart w:id="21" w:name="negocio-y-tecnología"/>
    <w:p>
      <w:pPr>
        <w:pStyle w:val="Heading2"/>
      </w:pPr>
      <w:r>
        <w:t xml:space="preserve">2. Negocio y tecnología</w:t>
      </w:r>
    </w:p>
    <w:p>
      <w:pPr>
        <w:pStyle w:val="FirstParagraph"/>
      </w:pPr>
      <w:r>
        <w:t xml:space="preserve">Medacta (Castel San Pietro, Suiza; fundada en 1999 por Alberto Siccardi; la familia controla ~69 %) diseña, fabrica y vende implantes ortopédicos en más de 70 países [1][10]. Ventas del 1S 2026 por línea [2]:</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Línea</w:t>
            </w:r>
          </w:p>
        </w:tc>
        <w:tc>
          <w:tcPr/>
          <w:p>
            <w:pPr>
              <w:pStyle w:val="Compact"/>
              <w:jc w:val="left"/>
            </w:pPr>
            <w:r>
              <w:t xml:space="preserve">Ventas 1S 2026 (M EUR)</w:t>
            </w:r>
          </w:p>
        </w:tc>
        <w:tc>
          <w:tcPr/>
          <w:p>
            <w:pPr>
              <w:pStyle w:val="Compact"/>
              <w:jc w:val="left"/>
            </w:pPr>
            <w:r>
              <w:t xml:space="preserve">Crecimiento a tipo constante</w:t>
            </w:r>
          </w:p>
        </w:tc>
      </w:tr>
      <w:tr>
        <w:tc>
          <w:tcPr/>
          <w:p>
            <w:pPr>
              <w:pStyle w:val="Compact"/>
              <w:jc w:val="left"/>
            </w:pPr>
            <w:r>
              <w:t xml:space="preserve">Rodilla</w:t>
            </w:r>
          </w:p>
        </w:tc>
        <w:tc>
          <w:tcPr/>
          <w:p>
            <w:pPr>
              <w:pStyle w:val="Compact"/>
              <w:jc w:val="left"/>
            </w:pPr>
            <w:r>
              <w:t xml:space="preserve">154</w:t>
            </w:r>
          </w:p>
        </w:tc>
        <w:tc>
          <w:tcPr/>
          <w:p>
            <w:pPr>
              <w:pStyle w:val="Compact"/>
              <w:jc w:val="left"/>
            </w:pPr>
            <w:r>
              <w:t xml:space="preserve">+10,8 %</w:t>
            </w:r>
          </w:p>
        </w:tc>
      </w:tr>
      <w:tr>
        <w:tc>
          <w:tcPr/>
          <w:p>
            <w:pPr>
              <w:pStyle w:val="Compact"/>
              <w:jc w:val="left"/>
            </w:pPr>
            <w:r>
              <w:t xml:space="preserve">Cadera</w:t>
            </w:r>
          </w:p>
        </w:tc>
        <w:tc>
          <w:tcPr/>
          <w:p>
            <w:pPr>
              <w:pStyle w:val="Compact"/>
              <w:jc w:val="left"/>
            </w:pPr>
            <w:r>
              <w:t xml:space="preserve">145</w:t>
            </w:r>
          </w:p>
        </w:tc>
        <w:tc>
          <w:tcPr/>
          <w:p>
            <w:pPr>
              <w:pStyle w:val="Compact"/>
              <w:jc w:val="left"/>
            </w:pPr>
            <w:r>
              <w:t xml:space="preserve">+8,1 %</w:t>
            </w:r>
          </w:p>
        </w:tc>
      </w:tr>
      <w:tr>
        <w:tc>
          <w:tcPr/>
          <w:p>
            <w:pPr>
              <w:pStyle w:val="Compact"/>
              <w:jc w:val="left"/>
            </w:pPr>
            <w:r>
              <w:t xml:space="preserve">Extremidades (hombro y medicina deportiva)</w:t>
            </w:r>
          </w:p>
        </w:tc>
        <w:tc>
          <w:tcPr/>
          <w:p>
            <w:pPr>
              <w:pStyle w:val="Compact"/>
              <w:jc w:val="left"/>
            </w:pPr>
            <w:r>
              <w:t xml:space="preserve">40</w:t>
            </w:r>
          </w:p>
        </w:tc>
        <w:tc>
          <w:tcPr/>
          <w:p>
            <w:pPr>
              <w:pStyle w:val="Compact"/>
              <w:jc w:val="left"/>
            </w:pPr>
            <w:r>
              <w:t xml:space="preserve">+15,9 %</w:t>
            </w:r>
          </w:p>
        </w:tc>
      </w:tr>
      <w:tr>
        <w:tc>
          <w:tcPr/>
          <w:p>
            <w:pPr>
              <w:pStyle w:val="Compact"/>
              <w:jc w:val="left"/>
            </w:pPr>
            <w:r>
              <w:t xml:space="preserve">Columna</w:t>
            </w:r>
          </w:p>
        </w:tc>
        <w:tc>
          <w:tcPr/>
          <w:p>
            <w:pPr>
              <w:pStyle w:val="Compact"/>
              <w:jc w:val="left"/>
            </w:pPr>
            <w:r>
              <w:t xml:space="preserve">29</w:t>
            </w:r>
          </w:p>
        </w:tc>
        <w:tc>
          <w:tcPr/>
          <w:p>
            <w:pPr>
              <w:pStyle w:val="Compact"/>
              <w:jc w:val="left"/>
            </w:pPr>
            <w:r>
              <w:t xml:space="preserve">+4,5 %</w:t>
            </w:r>
          </w:p>
        </w:tc>
      </w:tr>
      <w:tr>
        <w:tc>
          <w:tcPr/>
          <w:p>
            <w:pPr>
              <w:pStyle w:val="Compact"/>
              <w:jc w:val="left"/>
            </w:pPr>
            <w:r>
              <w:rPr>
                <w:bCs/>
                <w:b/>
              </w:rPr>
              <w:t xml:space="preserve">Total</w:t>
            </w:r>
          </w:p>
        </w:tc>
        <w:tc>
          <w:tcPr/>
          <w:p>
            <w:pPr>
              <w:pStyle w:val="Compact"/>
              <w:jc w:val="left"/>
            </w:pPr>
            <w:r>
              <w:rPr>
                <w:bCs/>
                <w:b/>
              </w:rPr>
              <w:t xml:space="preserve">368,2</w:t>
            </w:r>
          </w:p>
        </w:tc>
        <w:tc>
          <w:tcPr/>
          <w:p>
            <w:pPr>
              <w:pStyle w:val="Compact"/>
              <w:jc w:val="left"/>
            </w:pPr>
            <w:r>
              <w:rPr>
                <w:bCs/>
                <w:b/>
              </w:rPr>
              <w:t xml:space="preserve">+9,7 %</w:t>
            </w:r>
          </w:p>
        </w:tc>
      </w:tr>
    </w:tbl>
    <w:p>
      <w:pPr>
        <w:pStyle w:val="BodyText"/>
      </w:pPr>
      <w:r>
        <w:rPr>
          <w:bCs/>
          <w:b/>
        </w:rPr>
        <w:t xml:space="preserve">Qué tiene de diferente:</w:t>
      </w:r>
      <w:r>
        <w:t xml:space="preserve"> </w:t>
      </w:r>
      <w:r>
        <w:t xml:space="preserve">-</w:t>
      </w:r>
      <w:r>
        <w:t xml:space="preserve"> </w:t>
      </w:r>
      <w:r>
        <w:rPr>
          <w:bCs/>
          <w:b/>
        </w:rPr>
        <w:t xml:space="preserve">Cadera por vía anterior (AMIS):</w:t>
      </w:r>
      <w:r>
        <w:t xml:space="preserve"> </w:t>
      </w:r>
      <w:r>
        <w:t xml:space="preserve">una técnica mínimamente invasiva que Medacta popularizó, con instrumental y formación propios. Es su seña de identidad [2].</w:t>
      </w:r>
      <w:r>
        <w:t xml:space="preserve"> </w:t>
      </w:r>
      <w:r>
        <w:t xml:space="preserve">-</w:t>
      </w:r>
      <w:r>
        <w:t xml:space="preserve"> </w:t>
      </w:r>
      <w:r>
        <w:rPr>
          <w:bCs/>
          <w:b/>
        </w:rPr>
        <w:t xml:space="preserve">Rodilla con alineación cinemática (MyKA y GMK SpheriKA):</w:t>
      </w:r>
      <w:r>
        <w:t xml:space="preserve"> </w:t>
      </w:r>
      <w:r>
        <w:t xml:space="preserve">el primer implante diseñado para esta técnica, que busca devolver a la rodilla su forma natural. Es el motor del crecimiento de rodilla [1].</w:t>
      </w:r>
      <w:r>
        <w:t xml:space="preserve"> </w:t>
      </w:r>
      <w:r>
        <w:t xml:space="preserve">-</w:t>
      </w:r>
      <w:r>
        <w:t xml:space="preserve"> </w:t>
      </w:r>
      <w:r>
        <w:rPr>
          <w:bCs/>
          <w:b/>
        </w:rPr>
        <w:t xml:space="preserve">Personalización:</w:t>
      </w:r>
      <w:r>
        <w:t xml:space="preserve"> </w:t>
      </w:r>
      <w:r>
        <w:t xml:space="preserve">guías de corte a medida (MySolutions), implantes a medida impresos en 3D (MyImplant) y</w:t>
      </w:r>
      <w:r>
        <w:t xml:space="preserve"> </w:t>
      </w:r>
      <w:r>
        <w:rPr>
          <w:bCs/>
          <w:b/>
        </w:rPr>
        <w:t xml:space="preserve">NextAR</w:t>
      </w:r>
      <w:r>
        <w:t xml:space="preserve">, navegación con realidad aumentada para rodilla, hombro, columna y, desde 2026, cadera. Es su alternativa barata a los robots de los grandes [2].</w:t>
      </w:r>
      <w:r>
        <w:t xml:space="preserve"> </w:t>
      </w:r>
      <w:r>
        <w:t xml:space="preserve">-</w:t>
      </w:r>
      <w:r>
        <w:t xml:space="preserve"> </w:t>
      </w:r>
      <w:r>
        <w:rPr>
          <w:bCs/>
          <w:b/>
        </w:rPr>
        <w:t xml:space="preserve">Formación:</w:t>
      </w:r>
      <w:r>
        <w:t xml:space="preserve"> </w:t>
      </w:r>
      <w:r>
        <w:t xml:space="preserve">el instituto M.O.R.E. forma cirujanos en sus técnicas. Cada cirujano nuevo que aprende con Medacta tiende a quedarse.</w:t>
      </w:r>
    </w:p>
    <w:p>
      <w:pPr>
        <w:pStyle w:val="BodyText"/>
      </w:pPr>
      <w:r>
        <w:t xml:space="preserve">Su punto débil es que</w:t>
      </w:r>
      <w:r>
        <w:t xml:space="preserve"> </w:t>
      </w:r>
      <w:r>
        <w:rPr>
          <w:bCs/>
          <w:b/>
        </w:rPr>
        <w:t xml:space="preserve">no tiene robot quirúrgico</w:t>
      </w:r>
      <w:r>
        <w:t xml:space="preserve">, frente a Mako (Stryker), ROSA (Zimmer Biomet), Velys (J&amp;J) o CORI (Smith &amp; Nephew).</w:t>
      </w:r>
    </w:p>
    <w:bookmarkEnd w:id="21"/>
    <w:bookmarkStart w:id="22" w:name="crecimiento"/>
    <w:p>
      <w:pPr>
        <w:pStyle w:val="Heading2"/>
      </w:pPr>
      <w:r>
        <w:t xml:space="preserve">3. Crecimiento</w:t>
      </w:r>
    </w:p>
    <w:p>
      <w:pPr>
        <w:pStyle w:val="FirstParagraph"/>
      </w:pPr>
      <w:r>
        <w:t xml:space="preserve">Medacta publica</w:t>
      </w:r>
      <w:r>
        <w:t xml:space="preserve"> </w:t>
      </w:r>
      <w:r>
        <w:rPr>
          <w:bCs/>
          <w:b/>
        </w:rPr>
        <w:t xml:space="preserve">por semestres</w:t>
      </w:r>
      <w:r>
        <w:t xml:space="preserve">. El último dato cerrado es el 1S 2026 (a 30-jun); las ventas de 2026 se adelantan a principios de febrero de 2027.</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Periodo</w:t>
            </w:r>
          </w:p>
        </w:tc>
        <w:tc>
          <w:tcPr/>
          <w:p>
            <w:pPr>
              <w:pStyle w:val="Compact"/>
              <w:jc w:val="left"/>
            </w:pPr>
            <w:r>
              <w:t xml:space="preserve">Ventas (M EUR)</w:t>
            </w:r>
          </w:p>
        </w:tc>
        <w:tc>
          <w:tcPr/>
          <w:p>
            <w:pPr>
              <w:pStyle w:val="Compact"/>
              <w:jc w:val="left"/>
            </w:pPr>
            <w:r>
              <w:t xml:space="preserve">Crecimiento a tipo constante</w:t>
            </w:r>
          </w:p>
        </w:tc>
        <w:tc>
          <w:tcPr/>
          <w:p>
            <w:pPr>
              <w:pStyle w:val="Compact"/>
              <w:jc w:val="left"/>
            </w:pPr>
            <w:r>
              <w:t xml:space="preserve">Crecimiento en euros</w:t>
            </w:r>
          </w:p>
        </w:tc>
      </w:tr>
      <w:tr>
        <w:tc>
          <w:tcPr/>
          <w:p>
            <w:pPr>
              <w:pStyle w:val="Compact"/>
              <w:jc w:val="left"/>
            </w:pPr>
            <w:r>
              <w:t xml:space="preserve">1S 2024</w:t>
            </w:r>
          </w:p>
        </w:tc>
        <w:tc>
          <w:tcPr/>
          <w:p>
            <w:pPr>
              <w:pStyle w:val="Compact"/>
              <w:jc w:val="left"/>
            </w:pPr>
            <w:r>
              <w:t xml:space="preserve">288,6</w:t>
            </w:r>
          </w:p>
        </w:tc>
        <w:tc>
          <w:tcPr/>
          <w:p>
            <w:pPr>
              <w:pStyle w:val="Compact"/>
              <w:jc w:val="left"/>
            </w:pPr>
            <w:r>
              <w:t xml:space="preserve">+14,3 %</w:t>
            </w:r>
          </w:p>
        </w:tc>
        <w:tc>
          <w:tcPr/>
          <w:p>
            <w:pPr>
              <w:pStyle w:val="Compact"/>
              <w:jc w:val="left"/>
            </w:pPr>
            <w:r>
              <w:t xml:space="preserve">+13,1 %</w:t>
            </w:r>
          </w:p>
        </w:tc>
      </w:tr>
      <w:tr>
        <w:tc>
          <w:tcPr/>
          <w:p>
            <w:pPr>
              <w:pStyle w:val="Compact"/>
              <w:jc w:val="left"/>
            </w:pPr>
            <w:r>
              <w:t xml:space="preserve">2024</w:t>
            </w:r>
          </w:p>
        </w:tc>
        <w:tc>
          <w:tcPr/>
          <w:p>
            <w:pPr>
              <w:pStyle w:val="Compact"/>
              <w:jc w:val="left"/>
            </w:pPr>
            <w:r>
              <w:t xml:space="preserve">590,6</w:t>
            </w:r>
          </w:p>
        </w:tc>
        <w:tc>
          <w:tcPr/>
          <w:p>
            <w:pPr>
              <w:pStyle w:val="Compact"/>
              <w:jc w:val="left"/>
            </w:pPr>
            <w:r>
              <w:t xml:space="preserve">+16,2 %</w:t>
            </w:r>
          </w:p>
        </w:tc>
        <w:tc>
          <w:tcPr/>
          <w:p>
            <w:pPr>
              <w:pStyle w:val="Compact"/>
              <w:jc w:val="left"/>
            </w:pPr>
            <w:r>
              <w:t xml:space="preserve">+15,6 %</w:t>
            </w:r>
          </w:p>
        </w:tc>
      </w:tr>
      <w:tr>
        <w:tc>
          <w:tcPr/>
          <w:p>
            <w:pPr>
              <w:pStyle w:val="Compact"/>
              <w:jc w:val="left"/>
            </w:pPr>
            <w:r>
              <w:t xml:space="preserve">1S 2025</w:t>
            </w:r>
          </w:p>
        </w:tc>
        <w:tc>
          <w:tcPr/>
          <w:p>
            <w:pPr>
              <w:pStyle w:val="Compact"/>
              <w:jc w:val="left"/>
            </w:pPr>
            <w:r>
              <w:t xml:space="preserve">344,1</w:t>
            </w:r>
          </w:p>
        </w:tc>
        <w:tc>
          <w:tcPr/>
          <w:p>
            <w:pPr>
              <w:pStyle w:val="Compact"/>
              <w:jc w:val="left"/>
            </w:pPr>
            <w:r>
              <w:t xml:space="preserve">+19,8 %</w:t>
            </w:r>
          </w:p>
        </w:tc>
        <w:tc>
          <w:tcPr/>
          <w:p>
            <w:pPr>
              <w:pStyle w:val="Compact"/>
              <w:jc w:val="left"/>
            </w:pPr>
            <w:r>
              <w:t xml:space="preserve">+19,2 %</w:t>
            </w:r>
          </w:p>
        </w:tc>
      </w:tr>
      <w:tr>
        <w:tc>
          <w:tcPr/>
          <w:p>
            <w:pPr>
              <w:pStyle w:val="Compact"/>
              <w:jc w:val="left"/>
            </w:pPr>
            <w:r>
              <w:t xml:space="preserve">2S 2025</w:t>
            </w:r>
          </w:p>
        </w:tc>
        <w:tc>
          <w:tcPr/>
          <w:p>
            <w:pPr>
              <w:pStyle w:val="Compact"/>
              <w:jc w:val="left"/>
            </w:pPr>
            <w:r>
              <w:t xml:space="preserve">339,7</w:t>
            </w:r>
          </w:p>
        </w:tc>
        <w:tc>
          <w:tcPr/>
          <w:p>
            <w:pPr>
              <w:pStyle w:val="Compact"/>
              <w:jc w:val="left"/>
            </w:pPr>
            <w:r>
              <w:t xml:space="preserve">+17,3 % (cálculo propio)</w:t>
            </w:r>
          </w:p>
        </w:tc>
        <w:tc>
          <w:tcPr/>
          <w:p>
            <w:pPr>
              <w:pStyle w:val="Compact"/>
              <w:jc w:val="left"/>
            </w:pPr>
            <w:r>
              <w:t xml:space="preserve">+12,5 %</w:t>
            </w:r>
          </w:p>
        </w:tc>
      </w:tr>
      <w:tr>
        <w:tc>
          <w:tcPr/>
          <w:p>
            <w:pPr>
              <w:pStyle w:val="Compact"/>
              <w:jc w:val="left"/>
            </w:pPr>
            <w:r>
              <w:t xml:space="preserve">2025</w:t>
            </w:r>
          </w:p>
        </w:tc>
        <w:tc>
          <w:tcPr/>
          <w:p>
            <w:pPr>
              <w:pStyle w:val="Compact"/>
              <w:jc w:val="left"/>
            </w:pPr>
            <w:r>
              <w:t xml:space="preserve">683,8</w:t>
            </w:r>
          </w:p>
        </w:tc>
        <w:tc>
          <w:tcPr/>
          <w:p>
            <w:pPr>
              <w:pStyle w:val="Compact"/>
              <w:jc w:val="left"/>
            </w:pPr>
            <w:r>
              <w:t xml:space="preserve">+18,5 %</w:t>
            </w:r>
          </w:p>
        </w:tc>
        <w:tc>
          <w:tcPr/>
          <w:p>
            <w:pPr>
              <w:pStyle w:val="Compact"/>
              <w:jc w:val="left"/>
            </w:pPr>
            <w:r>
              <w:t xml:space="preserve">+15,8 %</w:t>
            </w:r>
          </w:p>
        </w:tc>
      </w:tr>
      <w:tr>
        <w:tc>
          <w:tcPr/>
          <w:p>
            <w:pPr>
              <w:pStyle w:val="Compact"/>
              <w:jc w:val="left"/>
            </w:pPr>
            <w:r>
              <w:t xml:space="preserve">1S 2026</w:t>
            </w:r>
          </w:p>
        </w:tc>
        <w:tc>
          <w:tcPr/>
          <w:p>
            <w:pPr>
              <w:pStyle w:val="Compact"/>
              <w:jc w:val="left"/>
            </w:pPr>
            <w:r>
              <w:t xml:space="preserve">368,2</w:t>
            </w:r>
          </w:p>
        </w:tc>
        <w:tc>
          <w:tcPr/>
          <w:p>
            <w:pPr>
              <w:pStyle w:val="Compact"/>
              <w:jc w:val="left"/>
            </w:pPr>
            <w:r>
              <w:t xml:space="preserve">+9,7 %</w:t>
            </w:r>
          </w:p>
        </w:tc>
        <w:tc>
          <w:tcPr/>
          <w:p>
            <w:pPr>
              <w:pStyle w:val="Compact"/>
              <w:jc w:val="left"/>
            </w:pPr>
            <w:r>
              <w:t xml:space="preserve">+7,0 %</w:t>
            </w:r>
          </w:p>
        </w:tc>
      </w:tr>
      <w:tr>
        <w:tc>
          <w:tcPr/>
          <w:p>
            <w:pPr>
              <w:pStyle w:val="Compact"/>
              <w:jc w:val="left"/>
            </w:pPr>
            <w:r>
              <w:t xml:space="preserve">12 meses a jun-2026</w:t>
            </w:r>
          </w:p>
        </w:tc>
        <w:tc>
          <w:tcPr/>
          <w:p>
            <w:pPr>
              <w:pStyle w:val="Compact"/>
              <w:jc w:val="left"/>
            </w:pPr>
            <w:r>
              <w:t xml:space="preserve">707,9</w:t>
            </w:r>
          </w:p>
        </w:tc>
        <w:tc>
          <w:tcPr/>
          <w:p>
            <w:pPr>
              <w:pStyle w:val="Compact"/>
              <w:jc w:val="left"/>
            </w:pPr>
            <w:r>
              <w:t xml:space="preserve">+13,2 % (cálculo propio)</w:t>
            </w:r>
          </w:p>
        </w:tc>
        <w:tc>
          <w:tcPr/>
          <w:p>
            <w:pPr>
              <w:pStyle w:val="Compact"/>
              <w:jc w:val="left"/>
            </w:pPr>
            <w:r>
              <w:t xml:space="preserve">+9,6 %</w:t>
            </w:r>
          </w:p>
        </w:tc>
      </w:tr>
    </w:tbl>
    <w:p>
      <w:pPr>
        <w:pStyle w:val="BodyText"/>
      </w:pPr>
      <w:r>
        <w:t xml:space="preserve">Fuentes: [1][2][3][4].</w:t>
      </w:r>
    </w:p>
    <w:p>
      <w:pPr>
        <w:numPr>
          <w:ilvl w:val="0"/>
          <w:numId w:val="1002"/>
        </w:numPr>
        <w:pStyle w:val="Compact"/>
      </w:pPr>
      <w:r>
        <w:rPr>
          <w:bCs/>
          <w:b/>
        </w:rPr>
        <w:t xml:space="preserve">Tipo de cambio constante frente a publicado.</w:t>
      </w:r>
      <w:r>
        <w:t xml:space="preserve"> </w:t>
      </w:r>
      <w:r>
        <w:t xml:space="preserve">La caída del dólar, el yen y el dólar australiano frente al euro resta 2,7 puntos en el 1S 2026. El método usa el crecimiento</w:t>
      </w:r>
      <w:r>
        <w:t xml:space="preserve"> </w:t>
      </w:r>
      <w:r>
        <w:rPr>
          <w:bCs/>
          <w:b/>
        </w:rPr>
        <w:t xml:space="preserve">a tipo constante</w:t>
      </w:r>
      <w:r>
        <w:t xml:space="preserve"> </w:t>
      </w:r>
      <w:r>
        <w:t xml:space="preserve">para puntuar, porque mide el negocio. Con el crecimiento en euros la puntuación bajaría de 50 a 46,7 (sección 11).</w:t>
      </w:r>
    </w:p>
    <w:p>
      <w:pPr>
        <w:numPr>
          <w:ilvl w:val="0"/>
          <w:numId w:val="1002"/>
        </w:numPr>
        <w:pStyle w:val="Compact"/>
      </w:pPr>
      <w:r>
        <w:rPr>
          <w:bCs/>
          <w:b/>
        </w:rPr>
        <w:t xml:space="preserve">Frenazo:</w:t>
      </w:r>
      <w:r>
        <w:t xml:space="preserve"> </w:t>
      </w:r>
      <w:r>
        <w:t xml:space="preserve">del +19,8 % al +9,7 % en un año. La aceleración es de −8,9 puntos, medida frente a la media de los dos semestres anteriores. Parte es la comparación con un 1S 2025 excepcional; parte es EE. UU. [2].</w:t>
      </w:r>
    </w:p>
    <w:p>
      <w:pPr>
        <w:numPr>
          <w:ilvl w:val="0"/>
          <w:numId w:val="1002"/>
        </w:numPr>
        <w:pStyle w:val="Compact"/>
      </w:pPr>
      <w:r>
        <w:rPr>
          <w:bCs/>
          <w:b/>
        </w:rPr>
        <w:t xml:space="preserve">Compras de empresas:</w:t>
      </w:r>
      <w:r>
        <w:t xml:space="preserve"> </w:t>
      </w:r>
      <w:r>
        <w:t xml:space="preserve">solo Parcus Medical (medicina deportiva, marzo de 2025), un 1,5 % de las ventas de 2025, que ya está en la base. No mueve el crecimiento de los próximos 12 meses, así que no hace falta el crecimiento orgánico ni la variante v12 [1].</w:t>
      </w:r>
    </w:p>
    <w:p>
      <w:pPr>
        <w:numPr>
          <w:ilvl w:val="0"/>
          <w:numId w:val="1002"/>
        </w:numPr>
        <w:pStyle w:val="Compact"/>
      </w:pPr>
      <w:r>
        <w:rPr>
          <w:bCs/>
          <w:b/>
        </w:rPr>
        <w:t xml:space="preserve">Guía 2026:</w:t>
      </w:r>
      <w:r>
        <w:t xml:space="preserve"> </w:t>
      </w:r>
      <w:r>
        <w:t xml:space="preserve">de +10 % a +14 % a tipo constante, confirmada el 9-sep. Con un 1S en +9,7 %, el punto medio exige un +14,3 % en el 2S; el extremo bajo, un +10,3 %. El objetivo a medio plazo, un crecimiento anual del 12 % al 15 % entre 2024 y 2027, supone ~+10 % en 2027 en su punto medio. Para los próximos 12 meses se usa un</w:t>
      </w:r>
      <w:r>
        <w:t xml:space="preserve"> </w:t>
      </w:r>
      <w:r>
        <w:rPr>
          <w:bCs/>
          <w:b/>
        </w:rPr>
        <w:t xml:space="preserve">11 %</w:t>
      </w:r>
      <w:r>
        <w:t xml:space="preserve"> </w:t>
      </w:r>
      <w:r>
        <w:t xml:space="preserve">[1][2].</w:t>
      </w:r>
    </w:p>
    <w:p>
      <w:pPr>
        <w:numPr>
          <w:ilvl w:val="0"/>
          <w:numId w:val="1002"/>
        </w:numPr>
        <w:pStyle w:val="Compact"/>
      </w:pPr>
      <w:r>
        <w:rPr>
          <w:bCs/>
          <w:b/>
        </w:rPr>
        <w:t xml:space="preserve">Historial frente a la guía:</w:t>
      </w:r>
      <w:r>
        <w:t xml:space="preserve"> </w:t>
      </w:r>
      <w:r>
        <w:t xml:space="preserve">en 2024 guió +13 a 15 % e hizo +16,2 %; en 2025 guió +13 a 15 %, la subió a +16 a 18 % e hizo +18,5 %. Lo bate de media en ~4,5 puntos. En 2026, por ahora, va por debajo [3][4].</w:t>
      </w:r>
    </w:p>
    <w:bookmarkEnd w:id="22"/>
    <w:bookmarkStart w:id="23" w:name="mercado-y-competencia"/>
    <w:p>
      <w:pPr>
        <w:pStyle w:val="Heading2"/>
      </w:pPr>
      <w:r>
        <w:t xml:space="preserve">4. Mercado y competencia</w:t>
      </w:r>
    </w:p>
    <w:p>
      <w:pPr>
        <w:numPr>
          <w:ilvl w:val="0"/>
          <w:numId w:val="1003"/>
        </w:numPr>
        <w:pStyle w:val="Compact"/>
      </w:pPr>
      <w:r>
        <w:rPr>
          <w:bCs/>
          <w:b/>
        </w:rPr>
        <w:t xml:space="preserve">Mercado alcanzable:</w:t>
      </w:r>
      <w:r>
        <w:t xml:space="preserve"> </w:t>
      </w:r>
      <w:r>
        <w:t xml:space="preserve">prótesis de cadera, rodilla y hombro más columna y medicina deportiva, ~24.000 M CHF en 2028. Es una estimación propia, de memoria y sin comprobar: cadera y rodilla mueven ~21.000 M USD al año y crecen ~5 %. Medacta tiene ~2,7 % [estimación].</w:t>
      </w:r>
    </w:p>
    <w:p>
      <w:pPr>
        <w:numPr>
          <w:ilvl w:val="0"/>
          <w:numId w:val="1003"/>
        </w:numPr>
        <w:pStyle w:val="Compact"/>
      </w:pPr>
      <w:r>
        <w:rPr>
          <w:bCs/>
          <w:b/>
        </w:rPr>
        <w:t xml:space="preserve">Rivales:</w:t>
      </w:r>
      <w:r>
        <w:t xml:space="preserve"> </w:t>
      </w:r>
      <w:r>
        <w:t xml:space="preserve">Stryker, Zimmer Biomet, J&amp;J (DePuy Synthes) y Smith &amp; Nephew tienen la mayor parte del mercado. Zimmer creció en el 2T 2026 un 1,4 % en rodilla en EE. UU. y un 5,9 % en cadera: el mercado crece despacio, y Medacta, aun frenando, crece el doble [11].</w:t>
      </w:r>
    </w:p>
    <w:p>
      <w:pPr>
        <w:numPr>
          <w:ilvl w:val="0"/>
          <w:numId w:val="1003"/>
        </w:numPr>
        <w:pStyle w:val="Compact"/>
      </w:pPr>
      <w:r>
        <w:rPr>
          <w:bCs/>
          <w:b/>
        </w:rPr>
        <w:t xml:space="preserve">Por qué gana:</w:t>
      </w:r>
      <w:r>
        <w:t xml:space="preserve"> </w:t>
      </w:r>
      <w:r>
        <w:t xml:space="preserve">técnicas menos invasivas que reducen estancias (encajan con el paso a los centros de cirugía ambulatoria de EE. UU.), instrumental más simple y de un solo uso, y formación. Es la empresa «retadora» que más cuota gana del sector.</w:t>
      </w:r>
    </w:p>
    <w:p>
      <w:pPr>
        <w:numPr>
          <w:ilvl w:val="0"/>
          <w:numId w:val="1003"/>
        </w:numPr>
        <w:pStyle w:val="Compact"/>
      </w:pPr>
      <w:r>
        <w:rPr>
          <w:bCs/>
          <w:b/>
        </w:rPr>
        <w:t xml:space="preserve">Por qué puede dejar de ganar:</w:t>
      </w:r>
      <w:r>
        <w:t xml:space="preserve"> </w:t>
      </w:r>
      <w:r>
        <w:t xml:space="preserve">los robots de los grandes atan a los hospitales con equipos caros y software. Además, en EE. UU. Medacta ha visto en 2026 que sus clientes de siempre operan menos [2].</w:t>
      </w:r>
    </w:p>
    <w:bookmarkEnd w:id="23"/>
    <w:bookmarkStart w:id="24" w:name="cambio-de-tendencia"/>
    <w:p>
      <w:pPr>
        <w:pStyle w:val="Heading2"/>
      </w:pPr>
      <w:r>
        <w:t xml:space="preserve">5. Cambio de tendencia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Señal</w:t>
            </w:r>
          </w:p>
        </w:tc>
        <w:tc>
          <w:tcPr/>
          <w:p>
            <w:pPr>
              <w:pStyle w:val="Compact"/>
              <w:jc w:val="left"/>
            </w:pPr>
            <w:r>
              <w:t xml:space="preserve">¿Sí?</w:t>
            </w:r>
          </w:p>
        </w:tc>
        <w:tc>
          <w:tcPr/>
          <w:p>
            <w:pPr>
              <w:pStyle w:val="Compact"/>
              <w:jc w:val="left"/>
            </w:pPr>
            <w:r>
              <w:t xml:space="preserve">Prueba</w:t>
            </w:r>
          </w:p>
        </w:tc>
        <w:tc>
          <w:tcPr/>
          <w:p>
            <w:pPr>
              <w:pStyle w:val="Compact"/>
              <w:jc w:val="left"/>
            </w:pPr>
            <w:r>
              <w:t xml:space="preserve">Fuente</w:t>
            </w:r>
          </w:p>
        </w:tc>
      </w:tr>
      <w:tr>
        <w:tc>
          <w:tcPr/>
          <w:p>
            <w:pPr>
              <w:pStyle w:val="Compact"/>
              <w:jc w:val="left"/>
            </w:pPr>
            <w:r>
              <w:t xml:space="preserve">1. Revisiones al alza</w:t>
            </w:r>
          </w:p>
        </w:tc>
        <w:tc>
          <w:tcPr/>
          <w:p>
            <w:pPr>
              <w:pStyle w:val="Compact"/>
              <w:jc w:val="left"/>
            </w:pPr>
            <w:r>
              <w:t xml:space="preserve">No</w:t>
            </w:r>
          </w:p>
        </w:tc>
        <w:tc>
          <w:tcPr/>
          <w:p>
            <w:pPr>
              <w:pStyle w:val="Compact"/>
              <w:jc w:val="left"/>
            </w:pPr>
            <w:r>
              <w:t xml:space="preserve">UBS bajó el objetivo de 151 a 148 CHF (julio); tras el 1S, el consenso recortó el beneficio por acción de 2026 de 5,28 a 5,05 EUR; los analistas están en negativo desde el 11-sep</w:t>
            </w:r>
          </w:p>
        </w:tc>
        <w:tc>
          <w:tcPr/>
          <w:p>
            <w:pPr>
              <w:pStyle w:val="Compact"/>
              <w:jc w:val="left"/>
            </w:pPr>
            <w:r>
              <w:t xml:space="preserve">[6][7][8]</w:t>
            </w:r>
          </w:p>
        </w:tc>
      </w:tr>
      <w:tr>
        <w:tc>
          <w:tcPr/>
          <w:p>
            <w:pPr>
              <w:pStyle w:val="Compact"/>
              <w:jc w:val="left"/>
            </w:pPr>
            <w:r>
              <w:t xml:space="preserve">2. Precio sobre la media de 200 sesiones</w:t>
            </w:r>
          </w:p>
        </w:tc>
        <w:tc>
          <w:tcPr/>
          <w:p>
            <w:pPr>
              <w:pStyle w:val="Compact"/>
              <w:jc w:val="left"/>
            </w:pPr>
            <w:r>
              <w:t xml:space="preserve">No</w:t>
            </w:r>
          </w:p>
        </w:tc>
        <w:tc>
          <w:tcPr/>
          <w:p>
            <w:pPr>
              <w:pStyle w:val="Compact"/>
              <w:jc w:val="left"/>
            </w:pPr>
            <w:r>
              <w:t xml:space="preserve">114,00 CHF frente a una media de 141,6 que baja</w:t>
            </w:r>
          </w:p>
        </w:tc>
        <w:tc>
          <w:tcPr/>
          <w:p>
            <w:pPr>
              <w:pStyle w:val="Compact"/>
              <w:jc w:val="left"/>
            </w:pPr>
            <w:r>
              <w:t xml:space="preserve">[5]</w:t>
            </w:r>
          </w:p>
        </w:tc>
      </w:tr>
      <w:tr>
        <w:tc>
          <w:tcPr/>
          <w:p>
            <w:pPr>
              <w:pStyle w:val="Compact"/>
              <w:jc w:val="left"/>
            </w:pPr>
            <w:r>
              <w:t xml:space="preserve">3. Fuerza relativa a 6 meses</w:t>
            </w:r>
          </w:p>
        </w:tc>
        <w:tc>
          <w:tcPr/>
          <w:p>
            <w:pPr>
              <w:pStyle w:val="Compact"/>
              <w:jc w:val="left"/>
            </w:pPr>
            <w:r>
              <w:t xml:space="preserve">No</w:t>
            </w:r>
          </w:p>
        </w:tc>
        <w:tc>
          <w:tcPr/>
          <w:p>
            <w:pPr>
              <w:pStyle w:val="Compact"/>
              <w:jc w:val="left"/>
            </w:pPr>
            <w:r>
              <w:t xml:space="preserve">−25,8 % frente a +6,9 % del índice suizo SPI</w:t>
            </w:r>
          </w:p>
        </w:tc>
        <w:tc>
          <w:tcPr/>
          <w:p>
            <w:pPr>
              <w:pStyle w:val="Compact"/>
              <w:jc w:val="left"/>
            </w:pPr>
            <w:r>
              <w:t xml:space="preserve">[5]</w:t>
            </w:r>
          </w:p>
        </w:tc>
      </w:tr>
      <w:tr>
        <w:tc>
          <w:tcPr/>
          <w:p>
            <w:pPr>
              <w:pStyle w:val="Compact"/>
              <w:jc w:val="left"/>
            </w:pPr>
            <w:r>
              <w:t xml:space="preserve">4. Múltiplo ≥ 20 % sobre su mínimo</w:t>
            </w:r>
          </w:p>
        </w:tc>
        <w:tc>
          <w:tcPr/>
          <w:p>
            <w:pPr>
              <w:pStyle w:val="Compact"/>
              <w:jc w:val="left"/>
            </w:pPr>
            <w:r>
              <w:t xml:space="preserve">No</w:t>
            </w:r>
          </w:p>
        </w:tc>
        <w:tc>
          <w:tcPr/>
          <w:p>
            <w:pPr>
              <w:pStyle w:val="Compact"/>
              <w:jc w:val="left"/>
            </w:pPr>
            <w:r>
              <w:t xml:space="preserve">Está en el mínimo de 12 meses (~12x)</w:t>
            </w:r>
          </w:p>
        </w:tc>
        <w:tc>
          <w:tcPr/>
          <w:p>
            <w:pPr>
              <w:pStyle w:val="Compact"/>
              <w:jc w:val="left"/>
            </w:pPr>
            <w:r>
              <w:t xml:space="preserve">[5]</w:t>
            </w:r>
          </w:p>
        </w:tc>
      </w:tr>
      <w:tr>
        <w:tc>
          <w:tcPr/>
          <w:p>
            <w:pPr>
              <w:pStyle w:val="Compact"/>
              <w:jc w:val="left"/>
            </w:pPr>
            <w:r>
              <w:t xml:space="preserve">5. Inflexión operativa</w:t>
            </w:r>
          </w:p>
        </w:tc>
        <w:tc>
          <w:tcPr/>
          <w:p>
            <w:pPr>
              <w:pStyle w:val="Compact"/>
              <w:jc w:val="left"/>
            </w:pPr>
            <w:r>
              <w:t xml:space="preserve">No</w:t>
            </w:r>
          </w:p>
        </w:tc>
        <w:tc>
          <w:tcPr/>
          <w:p>
            <w:pPr>
              <w:pStyle w:val="Compact"/>
              <w:jc w:val="left"/>
            </w:pPr>
            <w:r>
              <w:t xml:space="preserve">Margen EBITDA ajustado del 26,5 %, frente al 28,7 % de un año antes</w:t>
            </w:r>
          </w:p>
        </w:tc>
        <w:tc>
          <w:tcPr/>
          <w:p>
            <w:pPr>
              <w:pStyle w:val="Compact"/>
              <w:jc w:val="left"/>
            </w:pPr>
            <w:r>
              <w:t xml:space="preserve">[2]</w:t>
            </w:r>
          </w:p>
        </w:tc>
      </w:tr>
      <w:tr>
        <w:tc>
          <w:tcPr/>
          <w:p>
            <w:pPr>
              <w:pStyle w:val="Compact"/>
              <w:jc w:val="left"/>
            </w:pPr>
            <w:r>
              <w:t xml:space="preserve">6. Sentimiento mejorando</w:t>
            </w:r>
          </w:p>
        </w:tc>
        <w:tc>
          <w:tcPr/>
          <w:p>
            <w:pPr>
              <w:pStyle w:val="Compact"/>
              <w:jc w:val="left"/>
            </w:pPr>
            <w:r>
              <w:t xml:space="preserve">No</w:t>
            </w:r>
          </w:p>
        </w:tc>
        <w:tc>
          <w:tcPr/>
          <w:p>
            <w:pPr>
              <w:pStyle w:val="Compact"/>
              <w:jc w:val="left"/>
            </w:pPr>
            <w:r>
              <w:t xml:space="preserve">−9,8 % en la semana de resultados; tendencia técnica negativa desde abril; sin foros activos</w:t>
            </w:r>
          </w:p>
        </w:tc>
        <w:tc>
          <w:tcPr/>
          <w:p>
            <w:pPr>
              <w:pStyle w:val="Compact"/>
              <w:jc w:val="left"/>
            </w:pPr>
            <w:r>
              <w:t xml:space="preserve">[7][8]</w:t>
            </w:r>
          </w:p>
        </w:tc>
      </w:tr>
      <w:tr>
        <w:tc>
          <w:tcPr/>
          <w:p>
            <w:pPr>
              <w:pStyle w:val="Compact"/>
              <w:jc w:val="left"/>
            </w:pPr>
            <w:r>
              <w:t xml:space="preserve">7. Compras de directivos</w:t>
            </w:r>
          </w:p>
        </w:tc>
        <w:tc>
          <w:tcPr/>
          <w:p>
            <w:pPr>
              <w:pStyle w:val="Compact"/>
              <w:jc w:val="left"/>
            </w:pPr>
            <w:r>
              <w:rPr>
                <w:bCs/>
                <w:b/>
              </w:rPr>
              <w:t xml:space="preserve">Sí</w:t>
            </w:r>
          </w:p>
        </w:tc>
        <w:tc>
          <w:tcPr/>
          <w:p>
            <w:pPr>
              <w:pStyle w:val="Compact"/>
              <w:jc w:val="left"/>
            </w:pPr>
            <w:r>
              <w:t xml:space="preserve">Diez compras de la dirección del 10-sep al 2-oct, por ~1,64 M CHF a 110-118 CHF, y dos del consejo por ~0,51 M; una venta de un consejero por 0,71 M. Neto, ~1,4 M CHF</w:t>
            </w:r>
          </w:p>
        </w:tc>
        <w:tc>
          <w:tcPr/>
          <w:p>
            <w:pPr>
              <w:pStyle w:val="Compact"/>
              <w:jc w:val="left"/>
            </w:pPr>
            <w:r>
              <w:t xml:space="preserve">[9]</w:t>
            </w:r>
          </w:p>
        </w:tc>
      </w:tr>
      <w:tr>
        <w:tc>
          <w:tcPr/>
          <w:p>
            <w:pPr>
              <w:pStyle w:val="Compact"/>
              <w:jc w:val="left"/>
            </w:pPr>
            <w:r>
              <w:t xml:space="preserve">8. Catalizador nuevo en 6 meses</w:t>
            </w:r>
          </w:p>
        </w:tc>
        <w:tc>
          <w:tcPr/>
          <w:p>
            <w:pPr>
              <w:pStyle w:val="Compact"/>
              <w:jc w:val="left"/>
            </w:pPr>
            <w:r>
              <w:rPr>
                <w:bCs/>
                <w:b/>
              </w:rPr>
              <w:t xml:space="preserve">Sí</w:t>
            </w:r>
          </w:p>
        </w:tc>
        <w:tc>
          <w:tcPr/>
          <w:p>
            <w:pPr>
              <w:pStyle w:val="Compact"/>
              <w:jc w:val="left"/>
            </w:pPr>
            <w:r>
              <w:t xml:space="preserve">Lanzamiento en la India en el 2S 2026, NextAR Hip y ventas de 2026 en febrero</w:t>
            </w:r>
          </w:p>
        </w:tc>
        <w:tc>
          <w:tcPr/>
          <w:p>
            <w:pPr>
              <w:pStyle w:val="Compact"/>
              <w:jc w:val="left"/>
            </w:pPr>
            <w:r>
              <w:t xml:space="preserve">[2]</w:t>
            </w:r>
          </w:p>
        </w:tc>
      </w:tr>
    </w:tbl>
    <w:p>
      <w:pPr>
        <w:pStyle w:val="BodyText"/>
      </w:pPr>
      <w:r>
        <w:rPr>
          <w:bCs/>
          <w:b/>
        </w:rPr>
        <w:t xml:space="preserve">Euforia: no.</w:t>
      </w:r>
      <w:r>
        <w:t xml:space="preserve"> </w:t>
      </w:r>
      <w:r>
        <w:t xml:space="preserve">La acción cae un 23 % en 12 meses.</w:t>
      </w:r>
    </w:p>
    <w:bookmarkEnd w:id="24"/>
    <w:bookmarkStart w:id="25" w:name="X6a3ced9ea5ed5bb9ac58f5e7c1bb09ad4718b77"/>
    <w:p>
      <w:pPr>
        <w:pStyle w:val="Heading2"/>
      </w:pPr>
      <w:r>
        <w:t xml:space="preserve">6. Economía unitaria y camino a la rentabilidad</w:t>
      </w:r>
    </w:p>
    <w:p>
      <w:pPr>
        <w:numPr>
          <w:ilvl w:val="0"/>
          <w:numId w:val="1004"/>
        </w:numPr>
        <w:pStyle w:val="Compact"/>
      </w:pPr>
      <w:r>
        <w:rPr>
          <w:bCs/>
          <w:b/>
        </w:rPr>
        <w:t xml:space="preserve">Margen bruto</w:t>
      </w:r>
      <w:r>
        <w:t xml:space="preserve"> </w:t>
      </w:r>
      <w:r>
        <w:t xml:space="preserve">de 12 meses: 65,5 %. Baja desde el 67-68 % por divisas, mezcla de países y productos y más amortización del instrumental [1][2].</w:t>
      </w:r>
    </w:p>
    <w:p>
      <w:pPr>
        <w:numPr>
          <w:ilvl w:val="0"/>
          <w:numId w:val="1004"/>
        </w:numPr>
        <w:pStyle w:val="Compact"/>
      </w:pPr>
      <w:r>
        <w:rPr>
          <w:bCs/>
          <w:b/>
        </w:rPr>
        <w:t xml:space="preserve">EBITDA ajustado</w:t>
      </w:r>
      <w:r>
        <w:t xml:space="preserve"> </w:t>
      </w:r>
      <w:r>
        <w:t xml:space="preserve">de 12 meses: 189,4 M EUR, un 26,8 % de las ventas. Medacta es</w:t>
      </w:r>
      <w:r>
        <w:t xml:space="preserve"> </w:t>
      </w:r>
      <w:r>
        <w:rPr>
          <w:bCs/>
          <w:b/>
        </w:rPr>
        <w:t xml:space="preserve">rentable de forma estable</w:t>
      </w:r>
      <w:r>
        <w:t xml:space="preserve">: beneficio neto todos los años, 95,5 M EUR en 2025 [1][2].</w:t>
      </w:r>
    </w:p>
    <w:p>
      <w:pPr>
        <w:numPr>
          <w:ilvl w:val="0"/>
          <w:numId w:val="1004"/>
        </w:numPr>
        <w:pStyle w:val="Compact"/>
      </w:pPr>
      <w:r>
        <w:rPr>
          <w:bCs/>
          <w:b/>
        </w:rPr>
        <w:t xml:space="preserve">Flujo de caja libre:</w:t>
      </w:r>
      <w:r>
        <w:t xml:space="preserve"> </w:t>
      </w:r>
      <w:r>
        <w:t xml:space="preserve">−11,4 M EUR en 12 meses (−1,6 % de las ventas). No es por pérdidas. Medacta invierte mucho: 137 M EUR en 2025, un 20 % de las ventas, el 80 % en instrumental y fábricas. En 2026 suma el inventario para la India. El FCF fue positivo en 2024 y en 2025, y el consenso espera −3 M en 2026 y +31 M en 2027 [1][2][6]. Por eso el camino a la rentabilidad se puntúa como «equilibrio en 12 meses».</w:t>
      </w:r>
    </w:p>
    <w:p>
      <w:pPr>
        <w:numPr>
          <w:ilvl w:val="0"/>
          <w:numId w:val="1004"/>
        </w:numPr>
        <w:pStyle w:val="Compact"/>
      </w:pPr>
      <w:r>
        <w:rPr>
          <w:bCs/>
          <w:b/>
        </w:rPr>
        <w:t xml:space="preserve">Regla del 40:</w:t>
      </w:r>
      <w:r>
        <w:t xml:space="preserve"> </w:t>
      </w:r>
      <w:r>
        <w:t xml:space="preserve">11,6 (crecimiento del 13,2 % más FCF del −1,6 %). Es baja porque la inversión se come el flujo de caja.</w:t>
      </w:r>
    </w:p>
    <w:bookmarkEnd w:id="25"/>
    <w:bookmarkStart w:id="26" w:name="caja-deuda-y-dilución"/>
    <w:p>
      <w:pPr>
        <w:pStyle w:val="Heading2"/>
      </w:pPr>
      <w:r>
        <w:t xml:space="preserve">7. Caja, deuda y dilución</w:t>
      </w:r>
    </w:p>
    <w:p>
      <w:pPr>
        <w:numPr>
          <w:ilvl w:val="0"/>
          <w:numId w:val="1005"/>
        </w:numPr>
        <w:pStyle w:val="Compact"/>
      </w:pPr>
      <w:r>
        <w:rPr>
          <w:bCs/>
          <w:b/>
        </w:rPr>
        <w:t xml:space="preserve">Deuda (30-jun-2026):</w:t>
      </w:r>
      <w:r>
        <w:t xml:space="preserve"> </w:t>
      </w:r>
      <w:r>
        <w:t xml:space="preserve">préstamos y líneas bancarias de 262,2 M EUR más arrendamientos de 58,4 M; caja de 36,0 M. Deuda neta sin arrendamientos de 226,2 M EUR, 1,19 veces el EBITDA. Sube desde 0,88 veces en diciembre por la inversión, el dividendo y el inventario [2]. Es cómoda.</w:t>
      </w:r>
    </w:p>
    <w:p>
      <w:pPr>
        <w:numPr>
          <w:ilvl w:val="0"/>
          <w:numId w:val="1005"/>
        </w:numPr>
        <w:pStyle w:val="Compact"/>
      </w:pPr>
      <w:r>
        <w:rPr>
          <w:bCs/>
          <w:b/>
        </w:rPr>
        <w:t xml:space="preserve">Pista de caja:</w:t>
      </w:r>
      <w:r>
        <w:t xml:space="preserve"> </w:t>
      </w:r>
      <w:r>
        <w:t xml:space="preserve">38 meses con la caja actual y el FCF de 12 meses; además tiene líneas bancarias.</w:t>
      </w:r>
    </w:p>
    <w:p>
      <w:pPr>
        <w:numPr>
          <w:ilvl w:val="0"/>
          <w:numId w:val="1005"/>
        </w:numPr>
        <w:pStyle w:val="Compact"/>
      </w:pPr>
      <w:r>
        <w:rPr>
          <w:bCs/>
          <w:b/>
        </w:rPr>
        <w:t xml:space="preserve">Dilución:</w:t>
      </w:r>
      <w:r>
        <w:t xml:space="preserve"> </w:t>
      </w:r>
      <w:r>
        <w:t xml:space="preserve">ninguna. 20,0 M de acciones, 19,95 M en circulación. Los incentivos en acciones (unas 33.500 al año, el 0,17 %) se cubren con acciones propias. Pagos en acciones de ~0,7 % de las ventas (estimación propia) [2][10].</w:t>
      </w:r>
    </w:p>
    <w:p>
      <w:pPr>
        <w:numPr>
          <w:ilvl w:val="0"/>
          <w:numId w:val="1005"/>
        </w:numPr>
        <w:pStyle w:val="Compact"/>
      </w:pPr>
      <w:r>
        <w:rPr>
          <w:bCs/>
          <w:b/>
        </w:rPr>
        <w:t xml:space="preserve">Dividendo:</w:t>
      </w:r>
      <w:r>
        <w:t xml:space="preserve"> </w:t>
      </w:r>
      <w:r>
        <w:t xml:space="preserve">1,10 CHF por acción, un 1,0 % [2].</w:t>
      </w:r>
    </w:p>
    <w:bookmarkEnd w:id="26"/>
    <w:bookmarkStart w:id="27" w:name="dirección-y-ejecución"/>
    <w:p>
      <w:pPr>
        <w:pStyle w:val="Heading2"/>
      </w:pPr>
      <w:r>
        <w:t xml:space="preserve">8. Dirección y ejecución</w:t>
      </w:r>
    </w:p>
    <w:p>
      <w:pPr>
        <w:numPr>
          <w:ilvl w:val="0"/>
          <w:numId w:val="1006"/>
        </w:numPr>
        <w:pStyle w:val="Compact"/>
      </w:pPr>
      <w:r>
        <w:rPr>
          <w:bCs/>
          <w:b/>
        </w:rPr>
        <w:t xml:space="preserve">Familia Siccardi:</w:t>
      </w:r>
      <w:r>
        <w:t xml:space="preserve"> </w:t>
      </w:r>
      <w:r>
        <w:t xml:space="preserve">el fundador, Alberto, preside el consejo y tiene un 10,2 %. Su hijo</w:t>
      </w:r>
      <w:r>
        <w:t xml:space="preserve"> </w:t>
      </w:r>
      <w:r>
        <w:rPr>
          <w:bCs/>
          <w:b/>
        </w:rPr>
        <w:t xml:space="preserve">Francesco Siccardi</w:t>
      </w:r>
      <w:r>
        <w:t xml:space="preserve"> </w:t>
      </w:r>
      <w:r>
        <w:t xml:space="preserve">es consejero delegado y tiene un 19,8 %. Sus hermanos tienen un 19,7 % cada uno [10]. Hay una operación vinculada, pequeña: un centro de cadera y rodilla en Florida, de la familia, compra implantes a Medacta (0,3 M EUR en 2025) [10].</w:t>
      </w:r>
    </w:p>
    <w:p>
      <w:pPr>
        <w:numPr>
          <w:ilvl w:val="0"/>
          <w:numId w:val="1006"/>
        </w:numPr>
        <w:pStyle w:val="Compact"/>
      </w:pPr>
      <w:r>
        <w:rPr>
          <w:bCs/>
          <w:b/>
        </w:rPr>
        <w:t xml:space="preserve">Historial:</w:t>
      </w:r>
      <w:r>
        <w:t xml:space="preserve"> </w:t>
      </w:r>
      <w:r>
        <w:t xml:space="preserve">batió la guía de ventas en 2024 y 2025. En 2026 la confirmó en septiembre, pero el 1S quedó por debajo de su rango. Nota 4 de 5.</w:t>
      </w:r>
    </w:p>
    <w:p>
      <w:pPr>
        <w:numPr>
          <w:ilvl w:val="0"/>
          <w:numId w:val="1006"/>
        </w:numPr>
        <w:pStyle w:val="Compact"/>
      </w:pPr>
      <w:r>
        <w:rPr>
          <w:bCs/>
          <w:b/>
        </w:rPr>
        <w:t xml:space="preserve">Asignación de capital:</w:t>
      </w:r>
      <w:r>
        <w:t xml:space="preserve"> </w:t>
      </w:r>
      <w:r>
        <w:t xml:space="preserve">invierte en capacidad propia (Suiza, un almacén automático en Italia y hasta 85 M USD en Tennessee) y no hace compras grandes. Las compras de directivos en septiembre dicen que la dirección cree en el precio. Nota 4 de 5.</w:t>
      </w:r>
    </w:p>
    <w:p>
      <w:pPr>
        <w:numPr>
          <w:ilvl w:val="0"/>
          <w:numId w:val="1006"/>
        </w:numPr>
        <w:pStyle w:val="Compact"/>
      </w:pPr>
      <w:r>
        <w:rPr>
          <w:bCs/>
          <w:b/>
        </w:rPr>
        <w:t xml:space="preserve">Novedad:</w:t>
      </w:r>
      <w:r>
        <w:t xml:space="preserve"> </w:t>
      </w:r>
      <w:r>
        <w:t xml:space="preserve">cambio de responsable de relación con inversores el 5-oct [8].</w:t>
      </w:r>
    </w:p>
    <w:bookmarkEnd w:id="27"/>
    <w:bookmarkStart w:id="28" w:name="valoración"/>
    <w:p>
      <w:pPr>
        <w:pStyle w:val="Heading2"/>
      </w:pPr>
      <w:r>
        <w:t xml:space="preserve">9. Valoración</w:t>
      </w:r>
    </w:p>
    <w:p>
      <w:pPr>
        <w:pStyle w:val="FirstParagraph"/>
      </w:pPr>
      <w:r>
        <w:t xml:space="preserve">Se valora por</w:t>
      </w:r>
      <w:r>
        <w:t xml:space="preserve"> </w:t>
      </w:r>
      <w:r>
        <w:rPr>
          <w:bCs/>
          <w:b/>
        </w:rPr>
        <w:t xml:space="preserve">EV/EBITDA</w:t>
      </w:r>
      <w:r>
        <w:t xml:space="preserve">, porque Medacta ya es rentable de forma estable. El múltiplo de ventas no distingue un margen del 27 % de uno del 5 %.</w:t>
      </w:r>
    </w:p>
    <w:p>
      <w:pPr>
        <w:numPr>
          <w:ilvl w:val="0"/>
          <w:numId w:val="1007"/>
        </w:numPr>
        <w:pStyle w:val="Compact"/>
      </w:pPr>
      <w:r>
        <w:rPr>
          <w:bCs/>
          <w:b/>
        </w:rPr>
        <w:t xml:space="preserve">Valor de empresa:</w:t>
      </w:r>
      <w:r>
        <w:t xml:space="preserve"> </w:t>
      </w:r>
      <w:r>
        <w:t xml:space="preserve">114,00 CHF × 19,95 M acciones = 2.274 M CHF, más 298 M de deuda con arrendamientos, menos 34 M de caja =</w:t>
      </w:r>
      <w:r>
        <w:t xml:space="preserve"> </w:t>
      </w:r>
      <w:r>
        <w:rPr>
          <w:bCs/>
          <w:b/>
        </w:rPr>
        <w:t xml:space="preserve">2.539 M CHF</w:t>
      </w:r>
      <w:r>
        <w:t xml:space="preserve">.</w:t>
      </w:r>
    </w:p>
    <w:p>
      <w:pPr>
        <w:numPr>
          <w:ilvl w:val="0"/>
          <w:numId w:val="1007"/>
        </w:numPr>
        <w:pStyle w:val="Compact"/>
      </w:pPr>
      <w:r>
        <w:rPr>
          <w:bCs/>
          <w:b/>
        </w:rPr>
        <w:t xml:space="preserve">EBITDA de los próximos 12 meses:</w:t>
      </w:r>
      <w:r>
        <w:t xml:space="preserve"> </w:t>
      </w:r>
      <w:r>
        <w:t xml:space="preserve">221 M EUR =</w:t>
      </w:r>
      <w:r>
        <w:t xml:space="preserve"> </w:t>
      </w:r>
      <w:r>
        <w:rPr>
          <w:bCs/>
          <w:b/>
        </w:rPr>
        <w:t xml:space="preserve">206 M CHF</w:t>
      </w:r>
      <w:r>
        <w:t xml:space="preserve"> </w:t>
      </w:r>
      <w:r>
        <w:t xml:space="preserve">(estimación propia, un 28 % de las ventas). 2026 queda en la parte baja de la guía y 2027 recupera margen. El consenso da ~236 M EUR, pero en parte es anterior al 1S [6].</w:t>
      </w:r>
    </w:p>
    <w:p>
      <w:pPr>
        <w:numPr>
          <w:ilvl w:val="0"/>
          <w:numId w:val="1007"/>
        </w:numPr>
        <w:pStyle w:val="Compact"/>
      </w:pPr>
      <w:r>
        <w:rPr>
          <w:bCs/>
          <w:b/>
        </w:rPr>
        <w:t xml:space="preserve">EV/EBITDA: 12,3x</w:t>
      </w:r>
      <w:r>
        <w:t xml:space="preserve">, en el mínimo de 3 años (mediana ~15,9x; estimación propia). Comparables, de memoria y sin comprobar: Stryker ~21x, Globus ~14x, Zimmer Biomet y Smith &amp; Nephew ~9x (mediana ~11,5x).</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Escenario (12 meses a jun-2028)</w:t>
            </w:r>
          </w:p>
        </w:tc>
        <w:tc>
          <w:tcPr/>
          <w:p>
            <w:pPr>
              <w:pStyle w:val="Compact"/>
              <w:jc w:val="left"/>
            </w:pPr>
            <w:r>
              <w:t xml:space="preserve">Ventas</w:t>
            </w:r>
          </w:p>
        </w:tc>
        <w:tc>
          <w:tcPr/>
          <w:p>
            <w:pPr>
              <w:pStyle w:val="Compact"/>
              <w:jc w:val="left"/>
            </w:pPr>
            <w:r>
              <w:t xml:space="preserve">EV/EBITDA</w:t>
            </w:r>
          </w:p>
        </w:tc>
        <w:tc>
          <w:tcPr/>
          <w:p>
            <w:pPr>
              <w:pStyle w:val="Compact"/>
              <w:jc w:val="left"/>
            </w:pPr>
            <w:r>
              <w:t xml:space="preserve">Precio</w:t>
            </w:r>
          </w:p>
        </w:tc>
        <w:tc>
          <w:tcPr/>
          <w:p>
            <w:pPr>
              <w:pStyle w:val="Compact"/>
              <w:jc w:val="left"/>
            </w:pPr>
            <w:r>
              <w:t xml:space="preserve">Rentabilidad al cierre del 13-oct</w:t>
            </w:r>
          </w:p>
        </w:tc>
        <w:tc>
          <w:tcPr/>
          <w:p>
            <w:pPr>
              <w:pStyle w:val="Compact"/>
              <w:jc w:val="left"/>
            </w:pPr>
            <w:r>
              <w:t xml:space="preserve">Al precio actual, objetivo fijo</w:t>
            </w:r>
          </w:p>
        </w:tc>
      </w:tr>
      <w:tr>
        <w:tc>
          <w:tcPr/>
          <w:p>
            <w:pPr>
              <w:pStyle w:val="Compact"/>
              <w:jc w:val="left"/>
            </w:pPr>
            <w:r>
              <w:t xml:space="preserve">Bajista (25 %)</w:t>
            </w:r>
          </w:p>
        </w:tc>
        <w:tc>
          <w:tcPr/>
          <w:p>
            <w:pPr>
              <w:pStyle w:val="Compact"/>
              <w:jc w:val="left"/>
            </w:pPr>
            <w:r>
              <w:t xml:space="preserve">740 M CHF</w:t>
            </w:r>
          </w:p>
        </w:tc>
        <w:tc>
          <w:tcPr/>
          <w:p>
            <w:pPr>
              <w:pStyle w:val="Compact"/>
              <w:jc w:val="left"/>
            </w:pPr>
            <w:r>
              <w:t xml:space="preserve">7,0x</w:t>
            </w:r>
          </w:p>
        </w:tc>
        <w:tc>
          <w:tcPr/>
          <w:p>
            <w:pPr>
              <w:pStyle w:val="Compact"/>
              <w:jc w:val="left"/>
            </w:pPr>
            <w:r>
              <w:t xml:space="preserve">59,9 CHF</w:t>
            </w:r>
          </w:p>
        </w:tc>
        <w:tc>
          <w:tcPr/>
          <w:p>
            <w:pPr>
              <w:pStyle w:val="Compact"/>
              <w:jc w:val="left"/>
            </w:pPr>
            <w:r>
              <w:t xml:space="preserve">−46,5 %</w:t>
            </w:r>
          </w:p>
        </w:tc>
        <w:tc>
          <w:tcPr/>
          <w:p>
            <w:pPr>
              <w:pStyle w:val="Compact"/>
              <w:jc w:val="left"/>
            </w:pPr>
            <w:r>
              <w:t xml:space="preserve">−46,6 %</w:t>
            </w:r>
          </w:p>
        </w:tc>
      </w:tr>
      <w:tr>
        <w:tc>
          <w:tcPr/>
          <w:p>
            <w:pPr>
              <w:pStyle w:val="Compact"/>
              <w:jc w:val="left"/>
            </w:pPr>
            <w:r>
              <w:t xml:space="preserve">Base (50 %)</w:t>
            </w:r>
          </w:p>
        </w:tc>
        <w:tc>
          <w:tcPr/>
          <w:p>
            <w:pPr>
              <w:pStyle w:val="Compact"/>
              <w:jc w:val="left"/>
            </w:pPr>
            <w:r>
              <w:t xml:space="preserve">795 M CHF</w:t>
            </w:r>
          </w:p>
        </w:tc>
        <w:tc>
          <w:tcPr/>
          <w:p>
            <w:pPr>
              <w:pStyle w:val="Compact"/>
              <w:jc w:val="left"/>
            </w:pPr>
            <w:r>
              <w:t xml:space="preserve">11,7x</w:t>
            </w:r>
          </w:p>
        </w:tc>
        <w:tc>
          <w:tcPr/>
          <w:p>
            <w:pPr>
              <w:pStyle w:val="Compact"/>
              <w:jc w:val="left"/>
            </w:pPr>
            <w:r>
              <w:t xml:space="preserve">118,1 CHF</w:t>
            </w:r>
          </w:p>
        </w:tc>
        <w:tc>
          <w:tcPr/>
          <w:p>
            <w:pPr>
              <w:pStyle w:val="Compact"/>
              <w:jc w:val="left"/>
            </w:pPr>
            <w:r>
              <w:t xml:space="preserve">+4,6 %</w:t>
            </w:r>
          </w:p>
        </w:tc>
        <w:tc>
          <w:tcPr/>
          <w:p>
            <w:pPr>
              <w:pStyle w:val="Compact"/>
              <w:jc w:val="left"/>
            </w:pPr>
            <w:r>
              <w:t xml:space="preserve">+4,2 %</w:t>
            </w:r>
          </w:p>
        </w:tc>
      </w:tr>
      <w:tr>
        <w:tc>
          <w:tcPr/>
          <w:p>
            <w:pPr>
              <w:pStyle w:val="Compact"/>
              <w:jc w:val="left"/>
            </w:pPr>
            <w:r>
              <w:t xml:space="preserve">Alcista (25 %)</w:t>
            </w:r>
          </w:p>
        </w:tc>
        <w:tc>
          <w:tcPr/>
          <w:p>
            <w:pPr>
              <w:pStyle w:val="Compact"/>
              <w:jc w:val="left"/>
            </w:pPr>
            <w:r>
              <w:t xml:space="preserve">855 M CHF</w:t>
            </w:r>
          </w:p>
        </w:tc>
        <w:tc>
          <w:tcPr/>
          <w:p>
            <w:pPr>
              <w:pStyle w:val="Compact"/>
              <w:jc w:val="left"/>
            </w:pPr>
            <w:r>
              <w:t xml:space="preserve">15,9x</w:t>
            </w:r>
          </w:p>
        </w:tc>
        <w:tc>
          <w:tcPr/>
          <w:p>
            <w:pPr>
              <w:pStyle w:val="Compact"/>
              <w:jc w:val="left"/>
            </w:pPr>
            <w:r>
              <w:t xml:space="preserve">178,5 CHF</w:t>
            </w:r>
          </w:p>
        </w:tc>
        <w:tc>
          <w:tcPr/>
          <w:p>
            <w:pPr>
              <w:pStyle w:val="Compact"/>
              <w:jc w:val="left"/>
            </w:pPr>
            <w:r>
              <w:t xml:space="preserve">+57,6 %</w:t>
            </w:r>
          </w:p>
        </w:tc>
        <w:tc>
          <w:tcPr/>
          <w:p>
            <w:pPr>
              <w:pStyle w:val="Compact"/>
              <w:jc w:val="left"/>
            </w:pPr>
            <w:r>
              <w:t xml:space="preserve">+57,0 %</w:t>
            </w:r>
          </w:p>
        </w:tc>
      </w:tr>
      <w:tr>
        <w:tc>
          <w:tcPr/>
          <w:p>
            <w:pPr>
              <w:pStyle w:val="Compact"/>
              <w:jc w:val="left"/>
            </w:pPr>
            <w:r>
              <w:rPr>
                <w:bCs/>
                <w:b/>
              </w:rPr>
              <w:t xml:space="preserve">Ponderada</w:t>
            </w:r>
          </w:p>
        </w:tc>
        <w:tc>
          <w:tcPr/>
          <w:p>
            <w:pPr>
              <w:pStyle w:val="Compact"/>
            </w:pPr>
          </w:p>
        </w:tc>
        <w:tc>
          <w:tcPr/>
          <w:p>
            <w:pPr>
              <w:pStyle w:val="Compact"/>
            </w:pPr>
          </w:p>
        </w:tc>
        <w:tc>
          <w:tcPr/>
          <w:p>
            <w:pPr>
              <w:pStyle w:val="Compact"/>
              <w:jc w:val="left"/>
            </w:pPr>
            <w:r>
              <w:rPr>
                <w:bCs/>
                <w:b/>
              </w:rPr>
              <w:t xml:space="preserve">118,7 CHF</w:t>
            </w:r>
          </w:p>
        </w:tc>
        <w:tc>
          <w:tcPr/>
          <w:p>
            <w:pPr>
              <w:pStyle w:val="Compact"/>
              <w:jc w:val="left"/>
            </w:pPr>
            <w:r>
              <w:rPr>
                <w:bCs/>
                <w:b/>
              </w:rPr>
              <w:t xml:space="preserve">+5,1 %</w:t>
            </w:r>
          </w:p>
        </w:tc>
        <w:tc>
          <w:tcPr/>
          <w:p>
            <w:pPr>
              <w:pStyle w:val="Compact"/>
              <w:jc w:val="left"/>
            </w:pPr>
            <w:r>
              <w:rPr>
                <w:bCs/>
                <w:b/>
              </w:rPr>
              <w:t xml:space="preserve">+4,8 %</w:t>
            </w:r>
          </w:p>
        </w:tc>
      </w:tr>
    </w:tbl>
    <w:p>
      <w:pPr>
        <w:pStyle w:val="BodyText"/>
      </w:pPr>
      <w:r>
        <w:t xml:space="preserve">Las rentabilidades incluyen el dividendo del 1 %.</w:t>
      </w:r>
    </w:p>
    <w:p>
      <w:pPr>
        <w:numPr>
          <w:ilvl w:val="0"/>
          <w:numId w:val="1008"/>
        </w:numPr>
        <w:pStyle w:val="Compact"/>
      </w:pPr>
      <w:r>
        <w:rPr>
          <w:bCs/>
          <w:b/>
        </w:rPr>
        <w:t xml:space="preserve">Ventas:</w:t>
      </w:r>
      <w:r>
        <w:t xml:space="preserve"> </w:t>
      </w:r>
      <w:r>
        <w:t xml:space="preserve">v11 toma la menor entre la regla mecánica (837 M CHF en el base) y las de este informe (795 M). Mandan las del informe, que suponen la parte baja de la guía en 2026 y un +10 % anual después.</w:t>
      </w:r>
      <w:r>
        <w:t xml:space="preserve"> </w:t>
      </w:r>
      <w:r>
        <w:rPr>
          <w:bCs/>
          <w:b/>
        </w:rPr>
        <w:t xml:space="preserve">Consenso:</w:t>
      </w:r>
      <w:r>
        <w:t xml:space="preserve"> </w:t>
      </w:r>
      <w:r>
        <w:t xml:space="preserve">~847 M CHF en la misma ventana, pero está construido antes del frenazo y supone cumplir la guía en su punto medio [6]. Con las ventas y el EBITDA del consenso, la ponderada subiría al ~12 %, y la señal seguiría siendo Mantener por la puntuación.</w:t>
      </w:r>
    </w:p>
    <w:p>
      <w:pPr>
        <w:numPr>
          <w:ilvl w:val="0"/>
          <w:numId w:val="1008"/>
        </w:numPr>
        <w:pStyle w:val="Compact"/>
      </w:pPr>
      <w:r>
        <w:rPr>
          <w:bCs/>
          <w:b/>
        </w:rPr>
        <w:t xml:space="preserve">Múltiplos:</w:t>
      </w:r>
      <w:r>
        <w:t xml:space="preserve"> </w:t>
      </w:r>
      <w:r>
        <w:t xml:space="preserve">el base mantiene casi el de hoy (11,7x, rebaja del 5 % por desaceleración). El bajista lo multiplica por 0,6 (7,0x). El alcista vuelve a su mediana de 3 años (15,9x).</w:t>
      </w:r>
    </w:p>
    <w:p>
      <w:pPr>
        <w:numPr>
          <w:ilvl w:val="0"/>
          <w:numId w:val="1008"/>
        </w:numPr>
        <w:pStyle w:val="Compact"/>
      </w:pPr>
      <w:r>
        <w:rPr>
          <w:bCs/>
          <w:b/>
        </w:rPr>
        <w:t xml:space="preserve">DCF inverso:</w:t>
      </w:r>
      <w:r>
        <w:t xml:space="preserve"> </w:t>
      </w:r>
      <w:r>
        <w:t xml:space="preserve">con un coste de capital del 7,5 %, el precio descuenta un crecimiento de ~10 % anual durante 10 años (7,5 % con un 7 % de coste de capital; 13 % con un 8 %) [cálculo propio]. Es exigente pero alcanzable si vuelve a crecer al ritmo de su objetivo.</w:t>
      </w:r>
    </w:p>
    <w:p>
      <w:pPr>
        <w:numPr>
          <w:ilvl w:val="0"/>
          <w:numId w:val="1008"/>
        </w:numPr>
        <w:pStyle w:val="Compact"/>
      </w:pPr>
      <w:r>
        <w:rPr>
          <w:bCs/>
          <w:b/>
        </w:rPr>
        <w:t xml:space="preserve">Analistas:</w:t>
      </w:r>
      <w:r>
        <w:t xml:space="preserve"> </w:t>
      </w:r>
      <w:r>
        <w:t xml:space="preserve">6, con 3 comprar y 3 neutral. Objetivo medio de</w:t>
      </w:r>
      <w:r>
        <w:t xml:space="preserve"> </w:t>
      </w:r>
      <w:r>
        <w:rPr>
          <w:bCs/>
          <w:b/>
        </w:rPr>
        <w:t xml:space="preserve">154,8 CHF</w:t>
      </w:r>
      <w:r>
        <w:t xml:space="preserve"> </w:t>
      </w:r>
      <w:r>
        <w:t xml:space="preserve">(de 121 a 180) [8].</w:t>
      </w:r>
    </w:p>
    <w:p>
      <w:pPr>
        <w:numPr>
          <w:ilvl w:val="0"/>
          <w:numId w:val="1008"/>
        </w:numPr>
        <w:pStyle w:val="Compact"/>
      </w:pPr>
      <w:r>
        <w:rPr>
          <w:bCs/>
          <w:b/>
        </w:rPr>
        <w:t xml:space="preserve">Por qué el método da poco</w:t>
      </w:r>
      <w:r>
        <w:t xml:space="preserve"> </w:t>
      </w:r>
      <w:r>
        <w:t xml:space="preserve">con un múltiplo en mínimos: proyecta el crecimiento de hoy, que frena, con el múltiplo de hoy, que es bajo. Además, el bajista (×0,6 sobre un múltiplo ya mínimo) castiga mucho. El margen de seguridad está en el alcista (vuelta a 16x), que el método solo pesa al 25 %.</w:t>
      </w:r>
    </w:p>
    <w:bookmarkEnd w:id="28"/>
    <w:bookmarkStart w:id="29" w:name="foros-y-sentimiento"/>
    <w:p>
      <w:pPr>
        <w:pStyle w:val="Heading2"/>
      </w:pPr>
      <w:r>
        <w:t xml:space="preserve">10. Foros y sentimiento</w:t>
      </w:r>
    </w:p>
    <w:p>
      <w:pPr>
        <w:numPr>
          <w:ilvl w:val="0"/>
          <w:numId w:val="1009"/>
        </w:numPr>
        <w:pStyle w:val="Compact"/>
      </w:pPr>
      <w:r>
        <w:rPr>
          <w:bCs/>
          <w:b/>
        </w:rPr>
        <w:t xml:space="preserve">Foros:</w:t>
      </w:r>
      <w:r>
        <w:t xml:space="preserve"> </w:t>
      </w:r>
      <w:r>
        <w:t xml:space="preserve">Medacta apenas aparece en Reddit (r/stocks, r/investing), StockTwits o Rankia, y el foro de cash.ch no tiene mensajes. Es una mediana suiza con solo ~30 % de capital libre. Ni euforia ni pánico minorista [8].</w:t>
      </w:r>
    </w:p>
    <w:p>
      <w:pPr>
        <w:numPr>
          <w:ilvl w:val="0"/>
          <w:numId w:val="1009"/>
        </w:numPr>
        <w:pStyle w:val="Compact"/>
      </w:pPr>
      <w:r>
        <w:rPr>
          <w:bCs/>
          <w:b/>
        </w:rPr>
        <w:t xml:space="preserve">Prensa y analistas suizos:</w:t>
      </w:r>
      <w:r>
        <w:t xml:space="preserve"> </w:t>
      </w:r>
      <w:r>
        <w:t xml:space="preserve">el tono es negativo desde julio. theScreener la marca neutral desde el 31-jul, con los analistas en negativo desde el 11-sep y la tendencia técnica a la baja desde abril, aunque la ve «ligeramente infravalorada» [8]. Simply Wall St habla de una «rebaja menor» del beneficio esperado tras el 1S [7].</w:t>
      </w:r>
    </w:p>
    <w:p>
      <w:pPr>
        <w:numPr>
          <w:ilvl w:val="0"/>
          <w:numId w:val="1009"/>
        </w:numPr>
        <w:pStyle w:val="Compact"/>
      </w:pPr>
      <w:r>
        <w:rPr>
          <w:bCs/>
          <w:b/>
        </w:rPr>
        <w:t xml:space="preserve">Contraste con los datos:</w:t>
      </w:r>
      <w:r>
        <w:t xml:space="preserve"> </w:t>
      </w:r>
      <w:r>
        <w:t xml:space="preserve">el sentimiento recoge bien el frenazo, pero el negocio no se ha roto. Crece el doble que el mercado, mantiene un margen del 27 % y confirma la guía, y la dirección compra acciones. El pesimismo es de crecimiento, no de calidad.</w:t>
      </w:r>
    </w:p>
    <w:bookmarkEnd w:id="29"/>
    <w:bookmarkStart w:id="30" w:name="riesgos-robustez-y-qué-rompería-la-tesis"/>
    <w:p>
      <w:pPr>
        <w:pStyle w:val="Heading2"/>
      </w:pPr>
      <w:r>
        <w:t xml:space="preserve">11. Riesgos, robustez y qué rompería la tesis</w:t>
      </w:r>
    </w:p>
    <w:p>
      <w:pPr>
        <w:pStyle w:val="FirstParagraph"/>
      </w:pPr>
      <w:r>
        <w:rPr>
          <w:bCs/>
          <w:b/>
        </w:rPr>
        <w:t xml:space="preserve">Riesgos principales</w:t>
      </w:r>
      <w:r>
        <w:t xml:space="preserve"> </w:t>
      </w:r>
      <w:r>
        <w:t xml:space="preserve">1.</w:t>
      </w:r>
      <w:r>
        <w:t xml:space="preserve"> </w:t>
      </w:r>
      <w:r>
        <w:rPr>
          <w:bCs/>
          <w:b/>
        </w:rPr>
        <w:t xml:space="preserve">EE. UU.:</w:t>
      </w:r>
      <w:r>
        <w:t xml:space="preserve"> </w:t>
      </w:r>
      <w:r>
        <w:t xml:space="preserve">es su mercado más grande (~28 % de las ventas) y en el 1S creció un 6,6 % a tipo constante y se quedó plano en euros. Si la debilidad de los clientes existentes no es pasajera, la guía no se cumple [2].</w:t>
      </w:r>
      <w:r>
        <w:t xml:space="preserve"> </w:t>
      </w:r>
      <w:r>
        <w:t xml:space="preserve">2.</w:t>
      </w:r>
      <w:r>
        <w:t xml:space="preserve"> </w:t>
      </w:r>
      <w:r>
        <w:rPr>
          <w:bCs/>
          <w:b/>
        </w:rPr>
        <w:t xml:space="preserve">Guía exigente:</w:t>
      </w:r>
      <w:r>
        <w:t xml:space="preserve"> </w:t>
      </w:r>
      <w:r>
        <w:t xml:space="preserve">el punto medio pide un +14,3 % en el 2S tras un +9,7 %. Un recorte de la guía en febrero castigaría la acción otra vez.</w:t>
      </w:r>
      <w:r>
        <w:t xml:space="preserve"> </w:t>
      </w:r>
      <w:r>
        <w:t xml:space="preserve">3.</w:t>
      </w:r>
      <w:r>
        <w:t xml:space="preserve"> </w:t>
      </w:r>
      <w:r>
        <w:rPr>
          <w:bCs/>
          <w:b/>
        </w:rPr>
        <w:t xml:space="preserve">Robots de la competencia:</w:t>
      </w:r>
      <w:r>
        <w:t xml:space="preserve"> </w:t>
      </w:r>
      <w:r>
        <w:t xml:space="preserve">Mako, ROSA, Velys y CORI atan a los hospitales. NextAR es más barato, pero si el robot se impone como estándar en rodilla, Medacta pierde atractivo.</w:t>
      </w:r>
      <w:r>
        <w:t xml:space="preserve"> </w:t>
      </w:r>
      <w:r>
        <w:t xml:space="preserve">4.</w:t>
      </w:r>
      <w:r>
        <w:t xml:space="preserve"> </w:t>
      </w:r>
      <w:r>
        <w:rPr>
          <w:bCs/>
          <w:b/>
        </w:rPr>
        <w:t xml:space="preserve">Divisas:</w:t>
      </w:r>
      <w:r>
        <w:t xml:space="preserve"> </w:t>
      </w:r>
      <w:r>
        <w:t xml:space="preserve">cuentas en euros, cotización en francos y un 50 % de ventas fuera de Europa. La caída del dólar resta crecimiento y margen [2].</w:t>
      </w:r>
      <w:r>
        <w:t xml:space="preserve"> </w:t>
      </w:r>
      <w:r>
        <w:t xml:space="preserve">5.</w:t>
      </w:r>
      <w:r>
        <w:t xml:space="preserve"> </w:t>
      </w:r>
      <w:r>
        <w:rPr>
          <w:bCs/>
          <w:b/>
        </w:rPr>
        <w:t xml:space="preserve">Inversión y caja:</w:t>
      </w:r>
      <w:r>
        <w:t xml:space="preserve"> </w:t>
      </w:r>
      <w:r>
        <w:t xml:space="preserve">la inversión ronda el 20 % de las ventas y el FCF es negativo en 2026. Si las ventas tardan, la deuda sube.</w:t>
      </w:r>
      <w:r>
        <w:t xml:space="preserve"> </w:t>
      </w:r>
      <w:r>
        <w:t xml:space="preserve">6.</w:t>
      </w:r>
      <w:r>
        <w:t xml:space="preserve"> </w:t>
      </w:r>
      <w:r>
        <w:rPr>
          <w:bCs/>
          <w:b/>
        </w:rPr>
        <w:t xml:space="preserve">Gobierno:</w:t>
      </w:r>
      <w:r>
        <w:t xml:space="preserve"> </w:t>
      </w:r>
      <w:r>
        <w:t xml:space="preserve">la familia controla ~69 % y el capital libre es pequeño; las operaciones con sociedades de la familia son menores (0,3 M EUR en 2025) [10].</w:t>
      </w:r>
    </w:p>
    <w:p>
      <w:pPr>
        <w:pStyle w:val="BodyText"/>
      </w:pPr>
      <w:r>
        <w:rPr>
          <w:bCs/>
          <w:b/>
        </w:rPr>
        <w:t xml:space="preserve">Riesgo de IA: bajo.</w:t>
      </w:r>
      <w:r>
        <w:t xml:space="preserve"> </w:t>
      </w:r>
      <w:r>
        <w:t xml:space="preserve">Una prótesis es un objeto físico que se implanta en un quirófano. La IA no la sustituye ni le quita clientes. El riesgo indirecto está en la planificación quirúrgica: si la IA y los robots de los grandes hacen su sistema mucho mejor que NextAR, los hospitales podrían preferir el ecosistema del robot. A favor, Medacta ya usa IA en la planificación de hombro (MyShoulder Planner) y su modelo de bajo coste encaja con los centros ambulatorios [2]. Los fármacos de obesidad (GLP-1) son otra cuestión: pueden retrasar algunas operaciones o hacer operables a más pacientes [de memoria, sin datos concluyentes].</w:t>
      </w:r>
    </w:p>
    <w:p>
      <w:pPr>
        <w:pStyle w:val="BodyText"/>
      </w:pPr>
      <w:r>
        <w:rPr>
          <w:bCs/>
          <w:b/>
        </w:rPr>
        <w:t xml:space="preserve">Alertas del motor (</w:t>
      </w:r>
      <w:r>
        <w:rPr>
          <w:rStyle w:val="VerbatimChar"/>
          <w:bCs/>
          <w:b/>
        </w:rPr>
        <w:t xml:space="preserve">calc.alertas</w:t>
      </w:r>
      <w:r>
        <w:rPr>
          <w:bCs/>
          <w:b/>
        </w:rPr>
        <w:t xml:space="preserve">): ninguna.</w:t>
      </w:r>
      <w:r>
        <w:t xml:space="preserve"> </w:t>
      </w:r>
      <w:r>
        <w:t xml:space="preserve">Ni múltiplo caro, ni proyección por encima del consenso, ni clientes concentrados, ni pagos en acciones altos.</w:t>
      </w:r>
    </w:p>
    <w:p>
      <w:pPr>
        <w:pStyle w:val="BodyText"/>
      </w:pPr>
      <w:r>
        <w:rPr>
          <w:bCs/>
          <w:b/>
        </w:rPr>
        <w:t xml:space="preserve">Prueba</w:t>
      </w:r>
      <w:r>
        <w:rPr>
          <w:bCs/>
          <w:b/>
        </w:rPr>
        <w:t xml:space="preserve"> </w:t>
      </w:r>
      <w:r>
        <w:rPr>
          <w:rStyle w:val="VerbatimChar"/>
          <w:bCs/>
          <w:b/>
        </w:rPr>
        <w:t xml:space="preserve">robustez-growth</w:t>
      </w:r>
      <w:r>
        <w:rPr>
          <w:bCs/>
          <w:b/>
        </w:rPr>
        <w:t xml:space="preserve"> </w:t>
      </w:r>
      <w:r>
        <w:rPr>
          <w:bCs/>
          <w:b/>
        </w:rPr>
        <w:t xml:space="preserve">(con precios): SÓLIDA, señal robusta Mantener.</w:t>
      </w:r>
      <w:r>
        <w:t xml:space="preserve"> </w:t>
      </w:r>
      <w:r>
        <w:t xml:space="preserve">Da Mantener en v11, en v7, con las ventas del analista y con probabilidades 25/50/25 y 35/50/15. Al precio de hoy (114,40) con el objetivo fijo, +4,8 %. Avisos: el objetivo se deja fijo al revisar el precio, y el bajista del −47 % pediría posición pequeña. Nota técnica: la herramienta no sabe que MOVE cotiza en Suiza y buscó «MOVE» en EE. UU. (otra empresa, 8,89 USD). Se pasó sobre una copia con el símbolo de Yahoo «MOVE.SW» (sección 14).</w:t>
      </w:r>
    </w:p>
    <w:p>
      <w:pPr>
        <w:pStyle w:val="BodyText"/>
      </w:pPr>
      <w:r>
        <w:rPr>
          <w:bCs/>
          <w:b/>
        </w:rPr>
        <w:t xml:space="preserve">Lo que la prueba no ve: la puntuación está justo en 50, el listón de venta.</w:t>
      </w:r>
      <w:r>
        <w:t xml:space="preserve"> </w:t>
      </w:r>
      <w:r>
        <w:t xml:space="preserve">- Con el crecimiento en</w:t>
      </w:r>
      <w:r>
        <w:t xml:space="preserve"> </w:t>
      </w:r>
      <w:r>
        <w:rPr>
          <w:bCs/>
          <w:b/>
        </w:rPr>
        <w:t xml:space="preserve">euros publicados</w:t>
      </w:r>
      <w:r>
        <w:t xml:space="preserve"> </w:t>
      </w:r>
      <w:r>
        <w:t xml:space="preserve">(12 meses +9,6 %, último semestre +7,0 %, dos años +14,0 %) la puntuación baja a</w:t>
      </w:r>
      <w:r>
        <w:t xml:space="preserve"> </w:t>
      </w:r>
      <w:r>
        <w:rPr>
          <w:bCs/>
          <w:b/>
        </w:rPr>
        <w:t xml:space="preserve">46,7</w:t>
      </w:r>
      <w:r>
        <w:t xml:space="preserve"> </w:t>
      </w:r>
      <w:r>
        <w:t xml:space="preserve">y la señal pasa a</w:t>
      </w:r>
      <w:r>
        <w:t xml:space="preserve"> </w:t>
      </w:r>
      <w:r>
        <w:rPr>
          <w:bCs/>
          <w:b/>
        </w:rPr>
        <w:t xml:space="preserve">Vender</w:t>
      </w:r>
      <w:r>
        <w:t xml:space="preserve">. Con el de tipo constante, que es lo que mide el negocio, queda en 50,0 y Mantener. Se usa el constante porque la caída del dólar no es del negocio, pero la frontera es fina.</w:t>
      </w:r>
      <w:r>
        <w:t xml:space="preserve"> </w:t>
      </w:r>
      <w:r>
        <w:t xml:space="preserve">- Con la tecnología en 4 en vez de 3, sube a 51,3. Ningún juicio razonable la acerca al 60.</w:t>
      </w:r>
      <w:r>
        <w:t xml:space="preserve"> </w:t>
      </w:r>
      <w:r>
        <w:t xml:space="preserve">- Si alguien la tiene, no hay motivo para vender: la tesis no está rota (ni dos semestres seguidos de frenazo fuerte, ni pérdida de producto, ni problemas contables) y el bajista ya está muy descontado. Si no se tiene, no se compra.</w:t>
      </w:r>
    </w:p>
    <w:p>
      <w:pPr>
        <w:pStyle w:val="BodyText"/>
      </w:pPr>
      <w:r>
        <w:rPr>
          <w:bCs/>
          <w:b/>
        </w:rPr>
        <w:t xml:space="preserve">Qué rompería la tesis (vender):</w:t>
      </w:r>
      <w:r>
        <w:t xml:space="preserve"> </w:t>
      </w:r>
      <w:r>
        <w:t xml:space="preserve">ventas de 2026 por debajo del +10 % a tipo constante o recorte de la guía (febrero de 2027); un segundo semestre seguido con EE. UU. sin crecer; margen EBITDA ajustado por debajo del 26 % a tipo constante; deuda neta por encima de 2 veces el EBITDA.</w:t>
      </w:r>
    </w:p>
    <w:bookmarkEnd w:id="30"/>
    <w:bookmarkStart w:id="31" w:name="catalizadores-con-fecha"/>
    <w:p>
      <w:pPr>
        <w:pStyle w:val="Heading2"/>
      </w:pPr>
      <w:r>
        <w:t xml:space="preserve">12. Catalizadores con fecha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Fecha</w:t>
            </w:r>
          </w:p>
        </w:tc>
        <w:tc>
          <w:tcPr/>
          <w:p>
            <w:pPr>
              <w:pStyle w:val="Compact"/>
              <w:jc w:val="left"/>
            </w:pPr>
            <w:r>
              <w:t xml:space="preserve">Qué</w:t>
            </w:r>
          </w:p>
        </w:tc>
      </w:tr>
      <w:tr>
        <w:tc>
          <w:tcPr/>
          <w:p>
            <w:pPr>
              <w:pStyle w:val="Compact"/>
              <w:jc w:val="left"/>
            </w:pPr>
            <w:r>
              <w:t xml:space="preserve">2S 2026</w:t>
            </w:r>
          </w:p>
        </w:tc>
        <w:tc>
          <w:tcPr/>
          <w:p>
            <w:pPr>
              <w:pStyle w:val="Compact"/>
              <w:jc w:val="left"/>
            </w:pPr>
            <w:r>
              <w:t xml:space="preserve">Lanzamiento en la India (ya tiene inventario) [2]</w:t>
            </w:r>
          </w:p>
        </w:tc>
      </w:tr>
      <w:tr>
        <w:tc>
          <w:tcPr/>
          <w:p>
            <w:pPr>
              <w:pStyle w:val="Compact"/>
              <w:jc w:val="left"/>
            </w:pPr>
            <w:r>
              <w:t xml:space="preserve">Noviembre de 2026</w:t>
            </w:r>
          </w:p>
        </w:tc>
        <w:tc>
          <w:tcPr/>
          <w:p>
            <w:pPr>
              <w:pStyle w:val="Compact"/>
              <w:jc w:val="left"/>
            </w:pPr>
            <w:r>
              <w:t xml:space="preserve">Conferencias de salud (Jefferies, Londres) [de memoria]</w:t>
            </w:r>
          </w:p>
        </w:tc>
      </w:tr>
      <w:tr>
        <w:tc>
          <w:tcPr/>
          <w:p>
            <w:pPr>
              <w:pStyle w:val="Compact"/>
              <w:jc w:val="left"/>
            </w:pPr>
            <w:r>
              <w:t xml:space="preserve">Principios de febrero de 2027</w:t>
            </w:r>
          </w:p>
        </w:tc>
        <w:tc>
          <w:tcPr/>
          <w:p>
            <w:pPr>
              <w:pStyle w:val="Compact"/>
              <w:jc w:val="left"/>
            </w:pPr>
            <w:r>
              <w:t xml:space="preserve">Ventas preliminares de 2026: ¿cumple el +10 a 14 %?</w:t>
            </w:r>
          </w:p>
        </w:tc>
      </w:tr>
      <w:tr>
        <w:tc>
          <w:tcPr/>
          <w:p>
            <w:pPr>
              <w:pStyle w:val="Compact"/>
              <w:jc w:val="left"/>
            </w:pPr>
            <w:r>
              <w:t xml:space="preserve">Marzo de 2027</w:t>
            </w:r>
          </w:p>
        </w:tc>
        <w:tc>
          <w:tcPr/>
          <w:p>
            <w:pPr>
              <w:pStyle w:val="Compact"/>
              <w:jc w:val="left"/>
            </w:pPr>
            <w:r>
              <w:t xml:space="preserve">Resultados de 2026, guía de 2027 y objetivo a medio plazo nuevo (el actual acaba en 2027)</w:t>
            </w:r>
          </w:p>
        </w:tc>
      </w:tr>
      <w:tr>
        <w:tc>
          <w:tcPr/>
          <w:p>
            <w:pPr>
              <w:pStyle w:val="Compact"/>
              <w:jc w:val="left"/>
            </w:pPr>
            <w:r>
              <w:t xml:space="preserve">2026-2031</w:t>
            </w:r>
          </w:p>
        </w:tc>
        <w:tc>
          <w:tcPr/>
          <w:p>
            <w:pPr>
              <w:pStyle w:val="Compact"/>
              <w:jc w:val="left"/>
            </w:pPr>
            <w:r>
              <w:t xml:space="preserve">Obras de la fábrica y sede de Tennessee (hasta 85 M USD) [2]</w:t>
            </w:r>
          </w:p>
        </w:tc>
      </w:tr>
    </w:tbl>
    <w:bookmarkEnd w:id="31"/>
    <w:bookmarkStart w:id="32" w:name="encaje-en-cartera"/>
    <w:p>
      <w:pPr>
        <w:pStyle w:val="Heading2"/>
      </w:pPr>
      <w:r>
        <w:t xml:space="preserve">13. Encaje en cartera</w:t>
      </w:r>
    </w:p>
    <w:p>
      <w:pPr>
        <w:numPr>
          <w:ilvl w:val="0"/>
          <w:numId w:val="1010"/>
        </w:numPr>
        <w:pStyle w:val="Compact"/>
      </w:pPr>
      <w:r>
        <w:rPr>
          <w:bCs/>
          <w:b/>
        </w:rPr>
        <w:t xml:space="preserve">Frente a la cartera value</w:t>
      </w:r>
      <w:r>
        <w:t xml:space="preserve"> </w:t>
      </w:r>
      <w:r>
        <w:t xml:space="preserve">(</w:t>
      </w:r>
      <w:r>
        <w:rPr>
          <w:rStyle w:val="VerbatimChar"/>
        </w:rPr>
        <w:t xml:space="preserve">MEMORIA.md</w:t>
      </w:r>
      <w:r>
        <w:t xml:space="preserve">): no hay ninguna empresa de ortopedia. Medacta no choca con ninguna exclusión: no es juego, ni comercio minorista, ni ninguna de las vetadas. Alphabet se vende mañana; en cualquier caso, Medacta no añade exposición a la IA.</w:t>
      </w:r>
    </w:p>
    <w:p>
      <w:pPr>
        <w:numPr>
          <w:ilvl w:val="0"/>
          <w:numId w:val="1010"/>
        </w:numPr>
        <w:pStyle w:val="Compact"/>
      </w:pPr>
      <w:r>
        <w:rPr>
          <w:bCs/>
          <w:b/>
        </w:rPr>
        <w:t xml:space="preserve">Frente al bolsillo growth</w:t>
      </w:r>
      <w:r>
        <w:t xml:space="preserve"> </w:t>
      </w:r>
      <w:r>
        <w:t xml:space="preserve">(</w:t>
      </w:r>
      <w:r>
        <w:rPr>
          <w:rStyle w:val="VerbatimChar"/>
        </w:rPr>
        <w:t xml:space="preserve">informes-growth/cartera-growth.md</w:t>
      </w:r>
      <w:r>
        <w:t xml:space="preserve">): está</w:t>
      </w:r>
      <w:r>
        <w:t xml:space="preserve"> </w:t>
      </w:r>
      <w:r>
        <w:rPr>
          <w:bCs/>
          <w:b/>
        </w:rPr>
        <w:t xml:space="preserve">lleno</w:t>
      </w:r>
      <w:r>
        <w:t xml:space="preserve">, con un ~20 % de la cartera. Rentabilidades al precio actual con v11: Nu +19 %, Axon +36 %, Shopify +18 %, Snowflake +13 % y Samsara +15 %. La liquidez libre es casi nula, así que solo cabe sustituir. Medacta sale</w:t>
      </w:r>
      <w:r>
        <w:t xml:space="preserve"> </w:t>
      </w:r>
      <w:r>
        <w:rPr>
          <w:bCs/>
          <w:b/>
        </w:rPr>
        <w:t xml:space="preserve">Mantener</w:t>
      </w:r>
      <w:r>
        <w:t xml:space="preserve"> </w:t>
      </w:r>
      <w:r>
        <w:t xml:space="preserve">con +4,8 % al precio actual:</w:t>
      </w:r>
      <w:r>
        <w:t xml:space="preserve"> </w:t>
      </w:r>
      <w:r>
        <w:rPr>
          <w:bCs/>
          <w:b/>
        </w:rPr>
        <w:t xml:space="preserve">no sustituye a ninguna</w:t>
      </w:r>
      <w:r>
        <w:t xml:space="preserve">.</w:t>
      </w:r>
    </w:p>
    <w:p>
      <w:pPr>
        <w:numPr>
          <w:ilvl w:val="0"/>
          <w:numId w:val="1010"/>
        </w:numPr>
        <w:pStyle w:val="Compact"/>
      </w:pPr>
      <w:r>
        <w:rPr>
          <w:bCs/>
          <w:b/>
        </w:rPr>
        <w:t xml:space="preserve">Suplentes</w:t>
      </w:r>
      <w:r>
        <w:t xml:space="preserve"> </w:t>
      </w:r>
      <w:r>
        <w:t xml:space="preserve">(orden nuevo: MongoDB, Toast, Zscaler, dLocal, Dexcom, argenx, Datadog, Saab, Natera, Ypsomed):</w:t>
      </w:r>
      <w:r>
        <w:t xml:space="preserve"> </w:t>
      </w:r>
      <w:r>
        <w:rPr>
          <w:bCs/>
          <w:b/>
        </w:rPr>
        <w:t xml:space="preserve">no entra en la lista</w:t>
      </w:r>
      <w:r>
        <w:t xml:space="preserve">, porque solo la forman empresas con señal de Comprar. Va al grupo de Mantener.</w:t>
      </w:r>
    </w:p>
    <w:p>
      <w:pPr>
        <w:numPr>
          <w:ilvl w:val="0"/>
          <w:numId w:val="1010"/>
        </w:numPr>
        <w:pStyle w:val="Compact"/>
      </w:pPr>
      <w:r>
        <w:rPr>
          <w:bCs/>
          <w:b/>
        </w:rPr>
        <w:t xml:space="preserve">Qué la haría Comprar:</w:t>
      </w:r>
      <w:r>
        <w:t xml:space="preserve"> </w:t>
      </w:r>
      <w:r>
        <w:t xml:space="preserve">subir de 50 a 60 puntos, y eso no se consigue con el precio. Haría falta que el crecimiento vuelva a acelerar (un 2S 2026 por encima del 12 %) y que se enciendan señales de giro: revisiones al alza, precio por encima de su media de 200 sesiones y mejor comportamiento que el índice. Se revisa con las ventas de febrero de 2027. Es una propuesta: no se emite ninguna orden sin que el usuario la pida explícitamente en el chat y la confirme.</w:t>
      </w:r>
    </w:p>
    <w:bookmarkEnd w:id="32"/>
    <w:bookmarkStart w:id="33" w:name="puntuación"/>
    <w:p>
      <w:pPr>
        <w:pStyle w:val="Heading2"/>
      </w:pPr>
      <w:r>
        <w:t xml:space="preserve">14. Puntuación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Bloque</w:t>
            </w:r>
          </w:p>
        </w:tc>
        <w:tc>
          <w:tcPr/>
          <w:p>
            <w:pPr>
              <w:pStyle w:val="Compact"/>
              <w:jc w:val="left"/>
            </w:pPr>
            <w:r>
              <w:t xml:space="preserve">Puntos</w:t>
            </w:r>
          </w:p>
        </w:tc>
        <w:tc>
          <w:tcPr/>
          <w:p>
            <w:pPr>
              <w:pStyle w:val="Compact"/>
              <w:jc w:val="left"/>
            </w:pPr>
            <w:r>
              <w:t xml:space="preserve">Máximo</w:t>
            </w:r>
          </w:p>
        </w:tc>
        <w:tc>
          <w:tcPr/>
          <w:p>
            <w:pPr>
              <w:pStyle w:val="Compact"/>
              <w:jc w:val="left"/>
            </w:pPr>
            <w:r>
              <w:t xml:space="preserve">Comentario</w:t>
            </w:r>
          </w:p>
        </w:tc>
      </w:tr>
      <w:tr>
        <w:tc>
          <w:tcPr/>
          <w:p>
            <w:pPr>
              <w:pStyle w:val="Compact"/>
              <w:jc w:val="left"/>
            </w:pPr>
            <w:r>
              <w:t xml:space="preserve">A. Crecimiento</w:t>
            </w:r>
          </w:p>
        </w:tc>
        <w:tc>
          <w:tcPr/>
          <w:p>
            <w:pPr>
              <w:pStyle w:val="Compact"/>
              <w:jc w:val="left"/>
            </w:pPr>
            <w:r>
              <w:t xml:space="preserve">6,7</w:t>
            </w:r>
          </w:p>
        </w:tc>
        <w:tc>
          <w:tcPr/>
          <w:p>
            <w:pPr>
              <w:pStyle w:val="Compact"/>
              <w:jc w:val="left"/>
            </w:pPr>
            <w:r>
              <w:t xml:space="preserve">25</w:t>
            </w:r>
          </w:p>
        </w:tc>
        <w:tc>
          <w:tcPr/>
          <w:p>
            <w:pPr>
              <w:pStyle w:val="Compact"/>
              <w:jc w:val="left"/>
            </w:pPr>
            <w:r>
              <w:t xml:space="preserve">Crecimiento del 13,2 % en 12 meses y del 16 % anual a 2 años, con frenazo de −8,9 puntos</w:t>
            </w:r>
          </w:p>
        </w:tc>
      </w:tr>
      <w:tr>
        <w:tc>
          <w:tcPr/>
          <w:p>
            <w:pPr>
              <w:pStyle w:val="Compact"/>
              <w:jc w:val="left"/>
            </w:pPr>
            <w:r>
              <w:t xml:space="preserve">B. Mercado y tecnología</w:t>
            </w:r>
          </w:p>
        </w:tc>
        <w:tc>
          <w:tcPr/>
          <w:p>
            <w:pPr>
              <w:pStyle w:val="Compact"/>
              <w:jc w:val="left"/>
            </w:pPr>
            <w:r>
              <w:t xml:space="preserve">13,3</w:t>
            </w:r>
          </w:p>
        </w:tc>
        <w:tc>
          <w:tcPr/>
          <w:p>
            <w:pPr>
              <w:pStyle w:val="Compact"/>
              <w:jc w:val="left"/>
            </w:pPr>
            <w:r>
              <w:t xml:space="preserve">20</w:t>
            </w:r>
          </w:p>
        </w:tc>
        <w:tc>
          <w:tcPr/>
          <w:p>
            <w:pPr>
              <w:pStyle w:val="Compact"/>
              <w:jc w:val="left"/>
            </w:pPr>
            <w:r>
              <w:t xml:space="preserve">Penetración del 2,7 %; tecnología 3 y posición 3</w:t>
            </w:r>
          </w:p>
        </w:tc>
      </w:tr>
      <w:tr>
        <w:tc>
          <w:tcPr/>
          <w:p>
            <w:pPr>
              <w:pStyle w:val="Compact"/>
              <w:jc w:val="left"/>
            </w:pPr>
            <w:r>
              <w:t xml:space="preserve">C. Cambio de tendencia</w:t>
            </w:r>
          </w:p>
        </w:tc>
        <w:tc>
          <w:tcPr/>
          <w:p>
            <w:pPr>
              <w:pStyle w:val="Compact"/>
              <w:jc w:val="left"/>
            </w:pPr>
            <w:r>
              <w:t xml:space="preserve">5</w:t>
            </w:r>
          </w:p>
        </w:tc>
        <w:tc>
          <w:tcPr/>
          <w:p>
            <w:pPr>
              <w:pStyle w:val="Compact"/>
              <w:jc w:val="left"/>
            </w:pPr>
            <w:r>
              <w:t xml:space="preserve">20</w:t>
            </w:r>
          </w:p>
        </w:tc>
        <w:tc>
          <w:tcPr/>
          <w:p>
            <w:pPr>
              <w:pStyle w:val="Compact"/>
              <w:jc w:val="left"/>
            </w:pPr>
            <w:r>
              <w:t xml:space="preserve">2 de 8 señales</w:t>
            </w:r>
          </w:p>
        </w:tc>
      </w:tr>
      <w:tr>
        <w:tc>
          <w:tcPr/>
          <w:p>
            <w:pPr>
              <w:pStyle w:val="Compact"/>
              <w:jc w:val="left"/>
            </w:pPr>
            <w:r>
              <w:t xml:space="preserve">D. Economía unitaria</w:t>
            </w:r>
          </w:p>
        </w:tc>
        <w:tc>
          <w:tcPr/>
          <w:p>
            <w:pPr>
              <w:pStyle w:val="Compact"/>
              <w:jc w:val="left"/>
            </w:pPr>
            <w:r>
              <w:t xml:space="preserve">7</w:t>
            </w:r>
          </w:p>
        </w:tc>
        <w:tc>
          <w:tcPr/>
          <w:p>
            <w:pPr>
              <w:pStyle w:val="Compact"/>
              <w:jc w:val="left"/>
            </w:pPr>
            <w:r>
              <w:t xml:space="preserve">15</w:t>
            </w:r>
          </w:p>
        </w:tc>
        <w:tc>
          <w:tcPr/>
          <w:p>
            <w:pPr>
              <w:pStyle w:val="Compact"/>
              <w:jc w:val="left"/>
            </w:pPr>
            <w:r>
              <w:t xml:space="preserve">Margen bruto del 65,5 %; regla del 40 de 11,6; FCF en equilibrio en 12 meses</w:t>
            </w:r>
          </w:p>
        </w:tc>
      </w:tr>
      <w:tr>
        <w:tc>
          <w:tcPr/>
          <w:p>
            <w:pPr>
              <w:pStyle w:val="Compact"/>
              <w:jc w:val="left"/>
            </w:pPr>
            <w:r>
              <w:t xml:space="preserve">E. Caja y dilución</w:t>
            </w:r>
          </w:p>
        </w:tc>
        <w:tc>
          <w:tcPr/>
          <w:p>
            <w:pPr>
              <w:pStyle w:val="Compact"/>
              <w:jc w:val="left"/>
            </w:pPr>
            <w:r>
              <w:t xml:space="preserve">10</w:t>
            </w:r>
          </w:p>
        </w:tc>
        <w:tc>
          <w:tcPr/>
          <w:p>
            <w:pPr>
              <w:pStyle w:val="Compact"/>
              <w:jc w:val="left"/>
            </w:pPr>
            <w:r>
              <w:t xml:space="preserve">10</w:t>
            </w:r>
          </w:p>
        </w:tc>
        <w:tc>
          <w:tcPr/>
          <w:p>
            <w:pPr>
              <w:pStyle w:val="Compact"/>
              <w:jc w:val="left"/>
            </w:pPr>
            <w:r>
              <w:t xml:space="preserve">Pista de 38 meses y sin dilución</w:t>
            </w:r>
          </w:p>
        </w:tc>
      </w:tr>
      <w:tr>
        <w:tc>
          <w:tcPr/>
          <w:p>
            <w:pPr>
              <w:pStyle w:val="Compact"/>
              <w:jc w:val="left"/>
            </w:pPr>
            <w:r>
              <w:t xml:space="preserve">F. Ejecución y dirección</w:t>
            </w:r>
          </w:p>
        </w:tc>
        <w:tc>
          <w:tcPr/>
          <w:p>
            <w:pPr>
              <w:pStyle w:val="Compact"/>
              <w:jc w:val="left"/>
            </w:pPr>
            <w:r>
              <w:t xml:space="preserve">8</w:t>
            </w:r>
          </w:p>
        </w:tc>
        <w:tc>
          <w:tcPr/>
          <w:p>
            <w:pPr>
              <w:pStyle w:val="Compact"/>
              <w:jc w:val="left"/>
            </w:pPr>
            <w:r>
              <w:t xml:space="preserve">10</w:t>
            </w:r>
          </w:p>
        </w:tc>
        <w:tc>
          <w:tcPr/>
          <w:p>
            <w:pPr>
              <w:pStyle w:val="Compact"/>
              <w:jc w:val="left"/>
            </w:pPr>
            <w:r>
              <w:t xml:space="preserve">Historial 4 y dirección 4</w:t>
            </w:r>
          </w:p>
        </w:tc>
      </w:tr>
      <w:tr>
        <w:tc>
          <w:tcPr/>
          <w:p>
            <w:pPr>
              <w:pStyle w:val="Compact"/>
              <w:jc w:val="left"/>
            </w:pPr>
            <w:r>
              <w:rPr>
                <w:bCs/>
                <w:b/>
              </w:rPr>
              <w:t xml:space="preserve">Total</w:t>
            </w:r>
          </w:p>
        </w:tc>
        <w:tc>
          <w:tcPr/>
          <w:p>
            <w:pPr>
              <w:pStyle w:val="Compact"/>
              <w:jc w:val="left"/>
            </w:pPr>
            <w:r>
              <w:rPr>
                <w:bCs/>
                <w:b/>
              </w:rPr>
              <w:t xml:space="preserve">50</w:t>
            </w:r>
          </w:p>
        </w:tc>
        <w:tc>
          <w:tcPr/>
          <w:p>
            <w:pPr>
              <w:pStyle w:val="Compact"/>
              <w:jc w:val="left"/>
            </w:pPr>
            <w:r>
              <w:t xml:space="preserve">100</w:t>
            </w:r>
          </w:p>
        </w:tc>
        <w:tc>
          <w:tcPr/>
          <w:p>
            <w:pPr>
              <w:pStyle w:val="Compact"/>
              <w:jc w:val="left"/>
            </w:pPr>
            <w:r>
              <w:t xml:space="preserve">Compra desde 60; venta por debajo de 50</w:t>
            </w:r>
          </w:p>
        </w:tc>
      </w:tr>
    </w:tbl>
    <w:p>
      <w:pPr>
        <w:pStyle w:val="BodyText"/>
      </w:pPr>
      <w:r>
        <w:rPr>
          <w:bCs/>
          <w:b/>
        </w:rPr>
        <w:t xml:space="preserve">Mejoras de método que deja este informe</w:t>
      </w:r>
      <w:r>
        <w:t xml:space="preserve"> </w:t>
      </w:r>
      <w:r>
        <w:t xml:space="preserve">(propuestas, no aplicadas):</w:t>
      </w:r>
      <w:r>
        <w:t xml:space="preserve"> </w:t>
      </w:r>
      <w:r>
        <w:t xml:space="preserve">1.</w:t>
      </w:r>
      <w:r>
        <w:t xml:space="preserve"> </w:t>
      </w:r>
      <w:r>
        <w:rPr>
          <w:bCs/>
          <w:b/>
        </w:rPr>
        <w:t xml:space="preserve">Fallo en</w:t>
      </w:r>
      <w:r>
        <w:rPr>
          <w:bCs/>
          <w:b/>
        </w:rPr>
        <w:t xml:space="preserve"> </w:t>
      </w:r>
      <w:r>
        <w:rPr>
          <w:rStyle w:val="VerbatimChar"/>
          <w:bCs/>
          <w:b/>
        </w:rPr>
        <w:t xml:space="preserve">herramientas/robustez-growth.mjs</w:t>
      </w:r>
      <w:r>
        <w:rPr>
          <w:bCs/>
          <w:b/>
        </w:rPr>
        <w:t xml:space="preserve">:</w:t>
      </w:r>
      <w:r>
        <w:t xml:space="preserve"> </w:t>
      </w:r>
      <w:r>
        <w:t xml:space="preserve">la tabla de sufijos de bolsa no incluye la suiza (SIX → «.SW»). Con un ticker que existe en EE. UU. (MOVE), la prueba compara con otra empresa y bloquea la señal («CORREGIR», −92 %). Habría que añadir SIX y otras bolsas europeas (Copenhague «.CO», Oslo «.OL», Milán «.MI», París «.PA», Madrid «.MC», Helsinki «.HE») o un campo</w:t>
      </w:r>
      <w:r>
        <w:t xml:space="preserve"> </w:t>
      </w:r>
      <w:r>
        <w:rPr>
          <w:rStyle w:val="VerbatimChar"/>
        </w:rPr>
        <w:t xml:space="preserve">simbolo_yahoo</w:t>
      </w:r>
      <w:r>
        <w:t xml:space="preserve"> </w:t>
      </w:r>
      <w:r>
        <w:t xml:space="preserve">en</w:t>
      </w:r>
      <w:r>
        <w:t xml:space="preserve"> </w:t>
      </w:r>
      <w:r>
        <w:rPr>
          <w:rStyle w:val="VerbatimChar"/>
        </w:rPr>
        <w:t xml:space="preserve">datos.json</w:t>
      </w:r>
      <w:r>
        <w:t xml:space="preserve">. Ypsomed tiene el mismo riesgo.</w:t>
      </w:r>
      <w:r>
        <w:t xml:space="preserve"> </w:t>
      </w:r>
      <w:r>
        <w:t xml:space="preserve">2.</w:t>
      </w:r>
      <w:r>
        <w:t xml:space="preserve"> </w:t>
      </w:r>
      <w:r>
        <w:rPr>
          <w:bCs/>
          <w:b/>
        </w:rPr>
        <w:t xml:space="preserve">Divisa de las cuentas distinta de la de cotización:</w:t>
      </w:r>
      <w:r>
        <w:t xml:space="preserve"> </w:t>
      </w:r>
      <w:r>
        <w:t xml:space="preserve">hoy el método no dice si el crecimiento va a tipo constante o publicado, y aquí decide entre Mantener (50) y Vender (46,7). Se propone un campo</w:t>
      </w:r>
      <w:r>
        <w:t xml:space="preserve"> </w:t>
      </w:r>
      <w:r>
        <w:rPr>
          <w:rStyle w:val="VerbatimChar"/>
        </w:rPr>
        <w:t xml:space="preserve">crecimiento.ventas_12m_publicado_pct</w:t>
      </w:r>
      <w:r>
        <w:t xml:space="preserve">, puntuar con el constante y avisar en</w:t>
      </w:r>
      <w:r>
        <w:t xml:space="preserve"> </w:t>
      </w:r>
      <w:r>
        <w:rPr>
          <w:rStyle w:val="VerbatimChar"/>
        </w:rPr>
        <w:t xml:space="preserve">calc.alertas</w:t>
      </w:r>
      <w:r>
        <w:t xml:space="preserve"> </w:t>
      </w:r>
      <w:r>
        <w:t xml:space="preserve">si la diferencia pasa de 2 puntos o si la puntuación cruza un listón con el publicado.</w:t>
      </w:r>
      <w:r>
        <w:t xml:space="preserve"> </w:t>
      </w:r>
      <w:r>
        <w:t xml:space="preserve">3.</w:t>
      </w:r>
      <w:r>
        <w:t xml:space="preserve"> </w:t>
      </w:r>
      <w:r>
        <w:rPr>
          <w:bCs/>
          <w:b/>
        </w:rPr>
        <w:t xml:space="preserve">Bajista en empresas rentables con el múltiplo en mínimos:</w:t>
      </w:r>
      <w:r>
        <w:t xml:space="preserve"> </w:t>
      </w:r>
      <w:r>
        <w:t xml:space="preserve">×0,6 sobre un múltiplo que ya es el mínimo de 3 años da 7x el EBITDA, por debajo de lo que se paga por los grandes que crecen al 3 %. Se propone probar en el backtest un suelo para el bajista en las valoradas por EBITDA (por ejemplo, el mayor entre base × 0,6 y mínimo de 3 años × 0,8). Es solo hipótesis: no se aplica sin backtest.</w:t>
      </w:r>
    </w:p>
    <w:bookmarkEnd w:id="33"/>
    <w:bookmarkStart w:id="34" w:name="fuentes"/>
    <w:p>
      <w:pPr>
        <w:pStyle w:val="Heading2"/>
      </w:pPr>
      <w:r>
        <w:t xml:space="preserve">Fuentes</w:t>
      </w:r>
    </w:p>
    <w:p>
      <w:pPr>
        <w:pStyle w:val="FirstParagraph"/>
      </w:pPr>
      <w:r>
        <w:t xml:space="preserve">[1] Medacta, «Medacta Group reports record results in Full Year 2025 and upgrades mid-term guidance» (ad hoc, 13-mar-2026; aws-media.medacta.com/media/2025-press-release-ad-hoc-announcement.pdf): ventas, líneas y regiones, márgenes, FCF, inversión, deuda neta sobre EBITDA, dividendo, guía 2026 y a medio plazo, Parcus.</w:t>
      </w:r>
      <w:r>
        <w:t xml:space="preserve"> </w:t>
      </w:r>
      <w:r>
        <w:t xml:space="preserve">[2] Medacta, Half-Year Report 2026 (aws-media.medacta.com/media/2026-half-year-report.pdf, 9-sep-2026) y nota de resultados (EQS, 9-sep-2026): ventas por región y línea, márgenes, FCF, balance, acciones, guía confirmada, EE. UU., India, NextAR Hip, MyShoulder Planner con IA, Tennessee, aranceles.</w:t>
      </w:r>
      <w:r>
        <w:t xml:space="preserve"> </w:t>
      </w:r>
      <w:r>
        <w:t xml:space="preserve">[3] Medacta, nota de resultados del 1S 2025 (aws-media.medacta.com/media/2025-half-year-report-press-release.pdf, 8-sep-2025): 1S 2024 y 1S 2025, guía 2025 subida de 13-15 % a 16-18 %.</w:t>
      </w:r>
      <w:r>
        <w:t xml:space="preserve"> </w:t>
      </w:r>
      <w:r>
        <w:t xml:space="preserve">[4] Medacta, nota de resultados del 1S 2024 (aws-media.medacta.com/media/2024-half-year-report-press-release.pdf) y nota preliminar de 2024 (finanzen.ch, 4-feb-2025): 1S 2024 +14,3 %, guía 2024 13-15 %, 2024 +16,2 % a tipo constante.</w:t>
      </w:r>
      <w:r>
        <w:t xml:space="preserve"> </w:t>
      </w:r>
      <w:r>
        <w:t xml:space="preserve">[5] Yahoo Finance chart API (MOVE.SW, EURCHF=X, ^SSHI; diarios a 2 años y mensuales a 4 años): cierre de 114,00 CHF el 13-oct-2026 y 114,40 CHF el 14-oct a las 15:30 UTC; máximo de 12 meses 176,0 (23-ene-2026) y mínimo 109,0 (18-sep-2026); EUR/CHF 0,9308; media de 200 sesiones, fuerza relativa y múltiplos de 3 años, cálculo propio. Segunda fuente del precio: cash.ch y MarketScreener (114,40 CHF el 14-oct, +0,35 %) [6][8].</w:t>
      </w:r>
      <w:r>
        <w:t xml:space="preserve"> </w:t>
      </w:r>
      <w:r>
        <w:t xml:space="preserve">[6] MarketScreener, Medacta Group SA, finanzas (14-oct-2026): consenso de ventas, EBITDA, deuda neta, FCF e inversión de 2026 a 2028; 19,95 M acciones; 6 analistas; objetivo medio de 166,5 EUR.</w:t>
      </w:r>
      <w:r>
        <w:t xml:space="preserve"> </w:t>
      </w:r>
      <w:r>
        <w:t xml:space="preserve">[7] Simply Wall St vía Webull (13-sep-2026): caída del 9,8 % y revisión del consenso; investing.com: UBS Mantener, 151 → 148 CHF (21-jul-2026).</w:t>
      </w:r>
      <w:r>
        <w:t xml:space="preserve"> </w:t>
      </w:r>
      <w:r>
        <w:t xml:space="preserve">[8] cash.ch, ficha de Medacta (14-oct-2026): objetivos de 6 analistas (media 154,83 CHF), indicadores de theScreener, foro sin mensajes, nuevo responsable de relación con inversores (5-oct-2026).</w:t>
      </w:r>
      <w:r>
        <w:t xml:space="preserve"> </w:t>
      </w:r>
      <w:r>
        <w:t xml:space="preserve">[9] SIX Exchange Regulation, registro de transacciones de directivos (ser-ag.com, ISIN CH0468525222, consultado el 14-oct-2026).</w:t>
      </w:r>
      <w:r>
        <w:t xml:space="preserve"> </w:t>
      </w:r>
      <w:r>
        <w:t xml:space="preserve">[10] Medacta, Annual Report 2025 (aws-media.medacta.com/media/2025-annual-report.pdf): accionistas de la familia Siccardi, plan de incentivos en acciones, operaciones con partes vinculadas.</w:t>
      </w:r>
      <w:r>
        <w:t xml:space="preserve"> </w:t>
      </w:r>
      <w:r>
        <w:t xml:space="preserve">[11] Zimmer Biomet, 10-Q del 2T 2026 (SEC) y resumen de la conferencia de resultados (ago-2026): rodilla y cadera en EE. UU.</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2026-10-14T21:41:55Z</dcterms:created>
  <dcterms:modified xsi:type="dcterms:W3CDTF">2026-10-14T21:41:55Z</dcterms:modified>
</cp:coreProperties>
</file>

<file path=docProps/custom.xml><?xml version="1.0" encoding="utf-8"?>
<Properties xmlns="http://schemas.openxmlformats.org/officeDocument/2006/custom-properties" xmlns:vt="http://schemas.openxmlformats.org/officeDocument/2006/docPropsVTypes"/>
</file>