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ngodb-mdb-análisis-growth-14-oct-2026"/>
    <w:p>
      <w:pPr>
        <w:pStyle w:val="Heading1"/>
      </w:pPr>
      <w:r>
        <w:t xml:space="preserve">MongoDB (MDB):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baja)</w:t>
      </w:r>
      <w:r>
        <w:t xml:space="preserve"> </w:t>
      </w:r>
      <w:r>
        <w:t xml:space="preserve">· Puntuación 74,5/100 · Señales de cambio de tendencia 5/8 · EV/beneficio bruto 12,1x</w:t>
      </w:r>
      <w:r>
        <w:t xml:space="preserve"> </w:t>
      </w:r>
      <w:r>
        <w:t xml:space="preserve">Precio 373,07 USD (cierre del 13-oct; 365,53 USD intradía el 14-oct a las ~16:20 UTC) · Objetivo 12 m 465,1 USD (ponderada +24,7 %, base +18,7 %, bajista −38,0 %, alcista +99,4 %) · Compra hasta 442,8 USD</w:t>
      </w:r>
      <w:r>
        <w:t xml:space="preserve"> </w:t>
      </w:r>
      <w:r>
        <w:t xml:space="preserve">Peso orientativo: 3,5 % por la regla, pero</w:t>
      </w:r>
      <w:r>
        <w:t xml:space="preserve"> </w:t>
      </w:r>
      <w:r>
        <w:rPr>
          <w:bCs/>
          <w:b/>
        </w:rPr>
        <w:t xml:space="preserve">hoy no entra</w:t>
      </w:r>
      <w:r>
        <w:t xml:space="preserve"> </w:t>
      </w:r>
      <w:r>
        <w:t xml:space="preserve">(bolsillo growth lleno, ~20 %, y sin liquidez):</w:t>
      </w:r>
      <w:r>
        <w:t xml:space="preserve"> </w:t>
      </w:r>
      <w:r>
        <w:rPr>
          <w:bCs/>
          <w:b/>
        </w:rPr>
        <w:t xml:space="preserve">suplente n.º 2</w:t>
      </w:r>
      <w:r>
        <w:t xml:space="preserve">, detrás de Dexcom (sección 13)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). Las ventas del año objetivo salen de la regla mecánica (4.272 M USD en el base, partiendo de un crecimiento del 25,8 %) y el múltiplo, del de hoy rebajado por la desaceleración (5,0x / 8,4x / 13,4x EV/ventas NTM). La proyección propia (3.600 / 4.000 / 4.300 M USD) es solo contraste.</w:t>
      </w:r>
      <w:r>
        <w:t xml:space="preserve"> </w:t>
      </w:r>
      <w:r>
        <w:rPr>
          <w:bCs/>
          <w:b/>
        </w:rPr>
        <w:t xml:space="preserve">Con la guía</w:t>
      </w:r>
      <w:r>
        <w:t xml:space="preserve">: partiendo de min(mecánico 25,8 %, guía 18,7 % + exceso medio 6,0 pp = 24,7 %) =</w:t>
      </w:r>
      <w:r>
        <w:t xml:space="preserve"> </w:t>
      </w:r>
      <w:r>
        <w:rPr>
          <w:bCs/>
          <w:b/>
        </w:rPr>
        <w:t xml:space="preserve">24,7 %</w:t>
      </w:r>
      <w:r>
        <w:t xml:space="preserve">, la ponderada queda en</w:t>
      </w:r>
      <w:r>
        <w:t xml:space="preserve"> </w:t>
      </w:r>
      <w:r>
        <w:rPr>
          <w:bCs/>
          <w:b/>
        </w:rPr>
        <w:t xml:space="preserve">+22,6 %</w:t>
      </w:r>
      <w:r>
        <w:t xml:space="preserve"> </w:t>
      </w:r>
      <w:r>
        <w:t xml:space="preserve">(base +16,8 %, bajista −38,6 %) y la compra hasta ~436 USD:</w:t>
      </w:r>
      <w:r>
        <w:t xml:space="preserve"> </w:t>
      </w:r>
      <w:r>
        <w:rPr>
          <w:bCs/>
          <w:b/>
        </w:rPr>
        <w:t xml:space="preserve">la señal no cambia</w:t>
      </w:r>
      <w:r>
        <w:t xml:space="preserve">. Lo que sí la mueve es el alcista, que se apoya en comparables en parte de memoria (sección 9).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MongoDB es la base de datos documental líder (la más usada fuera de las relacionales) y vende sobre todo</w:t>
      </w:r>
      <w:r>
        <w:t xml:space="preserve"> </w:t>
      </w:r>
      <w:r>
        <w:rPr>
          <w:bCs/>
          <w:b/>
        </w:rPr>
        <w:t xml:space="preserve">Atlas</w:t>
      </w:r>
      <w:r>
        <w:t xml:space="preserve">, su servicio gestionado en AWS, Azure y Google (73 % de la suscripción). Factura</w:t>
      </w:r>
      <w:r>
        <w:t xml:space="preserve"> </w:t>
      </w:r>
      <w:r>
        <w:rPr>
          <w:bCs/>
          <w:b/>
        </w:rPr>
        <w:t xml:space="preserve">2.783 M USD en 12 meses (+25,5 %)</w:t>
      </w:r>
      <w:r>
        <w:t xml:space="preserve"> </w:t>
      </w:r>
      <w:r>
        <w:t xml:space="preserve">con un 73 % de margen bruto y un 23 % de FCF, sin deuda.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 acelerado</w:t>
      </w:r>
      <w:r>
        <w:t xml:space="preserve">: del +19 % (3T FY26) al</w:t>
      </w:r>
      <w:r>
        <w:t xml:space="preserve"> </w:t>
      </w:r>
      <w:r>
        <w:rPr>
          <w:bCs/>
          <w:b/>
        </w:rPr>
        <w:t xml:space="preserve">+30,5 % en el 2T FY27</w:t>
      </w:r>
      <w:r>
        <w:t xml:space="preserve"> </w:t>
      </w:r>
      <w:r>
        <w:t xml:space="preserve">(a jul-2026), con Atlas estable en ~29 %, retención neta subiendo al 122 %, récord de altas de clientes y su</w:t>
      </w:r>
      <w:r>
        <w:t xml:space="preserve"> </w:t>
      </w:r>
      <w:r>
        <w:rPr>
          <w:bCs/>
          <w:b/>
        </w:rPr>
        <w:t xml:space="preserve">primer trimestre con beneficio operativo GAAP</w:t>
      </w:r>
      <w:r>
        <w:t xml:space="preserve"> </w:t>
      </w:r>
      <w:r>
        <w:t xml:space="preserve">claro.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Está barata para lo que crece</w:t>
      </w:r>
      <w:r>
        <w:t xml:space="preserve">: 8,8x ventas NTM y 12x beneficio bruto (Snowflake 18,6x y Datadog 20,3x), en su mediana de 3 años. El DCF inverso solo descuenta un ~14 % anual de crecimiento a 10 años.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Pero el relato se ha torcido</w:t>
      </w:r>
      <w:r>
        <w:t xml:space="preserve">: guía del 3T floja (−13,5 % el 2-sep), el CEO se fue a Meta a los 11 meses (−18,5 % el 28-sep) y el 13-oct se supo que salían la directora de clientes y el jefe de producto de IA. Y queda la pregunta de fondo:</w:t>
      </w:r>
      <w:r>
        <w:t xml:space="preserve"> </w:t>
      </w:r>
      <w:r>
        <w:rPr>
          <w:bCs/>
          <w:b/>
        </w:rPr>
        <w:t xml:space="preserve">¿la IA juega a favor o en contra?</w:t>
      </w:r>
      <w:r>
        <w:t xml:space="preserve"> </w:t>
      </w:r>
      <w:r>
        <w:t xml:space="preserve">(los agentes de programación recomiendan Postgres por defecto).</w:t>
      </w:r>
    </w:p>
    <w:p>
      <w:pPr>
        <w:numPr>
          <w:ilvl w:val="0"/>
          <w:numId w:val="1001"/>
        </w:numPr>
        <w:pStyle w:val="Compact"/>
      </w:pPr>
      <w:r>
        <w:t xml:space="preserve">Conclusión: la regla dice</w:t>
      </w:r>
      <w:r>
        <w:t xml:space="preserve"> </w:t>
      </w:r>
      <w:r>
        <w:rPr>
          <w:bCs/>
          <w:b/>
        </w:rPr>
        <w:t xml:space="preserve">Comprar (baja)</w:t>
      </w:r>
      <w:r>
        <w:t xml:space="preserve"> </w:t>
      </w:r>
      <w:r>
        <w:t xml:space="preserve">por debajo de 443 USD, con buen margen (+24,7 %, +22,6 % con la guía). Riesgo de IA</w:t>
      </w:r>
      <w:r>
        <w:t xml:space="preserve"> </w:t>
      </w:r>
      <w:r>
        <w:rPr>
          <w:bCs/>
          <w:b/>
        </w:rPr>
        <w:t xml:space="preserve">medio, no existencial</w:t>
      </w:r>
      <w:r>
        <w:t xml:space="preserve">.</w:t>
      </w:r>
      <w:r>
        <w:t xml:space="preserve"> </w:t>
      </w:r>
      <w:r>
        <w:rPr>
          <w:bCs/>
          <w:b/>
        </w:rPr>
        <w:t xml:space="preserve">No cabe hoy</w:t>
      </w:r>
      <w:r>
        <w:t xml:space="preserve"> </w:t>
      </w:r>
      <w:r>
        <w:t xml:space="preserve">en el bolsillo growth: queda como</w:t>
      </w:r>
      <w:r>
        <w:t xml:space="preserve"> </w:t>
      </w:r>
      <w:r>
        <w:rPr>
          <w:bCs/>
          <w:b/>
        </w:rPr>
        <w:t xml:space="preserve">suplente n.º 2</w:t>
      </w:r>
      <w:r>
        <w:t xml:space="preserve">, y podría sustituir a Snowflake si se nombra un CEO creíble y el 3T confirma Atlas ≥ 26 %.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MongoDB vende una base de datos de documentos (JSON) con búsqueda, búsqueda vectorial, procesamiento de flujos y, desde la compra de Voyage AI (2025), modelos propios de</w:t>
      </w:r>
      <w:r>
        <w:t xml:space="preserve"> </w:t>
      </w:r>
      <w:r>
        <w:rPr>
          <w:iCs/>
          <w:i/>
        </w:rPr>
        <w:t xml:space="preserve">embeddings</w:t>
      </w:r>
      <w:r>
        <w:t xml:space="preserve"> </w:t>
      </w:r>
      <w:r>
        <w:t xml:space="preserve">y reordenación [1][4]. Tres formas de venta:</w:t>
      </w:r>
      <w:r>
        <w:t xml:space="preserve"> </w:t>
      </w:r>
      <w:r>
        <w:rPr>
          <w:bCs/>
          <w:b/>
        </w:rPr>
        <w:t xml:space="preserve">Atlas</w:t>
      </w:r>
      <w:r>
        <w:t xml:space="preserve"> </w:t>
      </w:r>
      <w:r>
        <w:t xml:space="preserve">(nube gestionada, por consumo; 565,9 M USD en el 2T, ~+29 %),</w:t>
      </w:r>
      <w:r>
        <w:t xml:space="preserve"> </w:t>
      </w:r>
      <w:r>
        <w:rPr>
          <w:bCs/>
          <w:b/>
        </w:rPr>
        <w:t xml:space="preserve">Enterprise Advanced</w:t>
      </w:r>
      <w:r>
        <w:t xml:space="preserve"> </w:t>
      </w:r>
      <w:r>
        <w:t xml:space="preserve">(licencia para instalar en casa o en nube privada; EA y otros 181,2 M, +36 %, con contratos plurianuales que se reconocen de golpe) y servicios [1]. 70.600 clientes (69.300 de Atlas) y ~75 % de la Fortune 100; 2.999 clientes de más de 100.000 USD de ARR (+17 %) [1].</w:t>
      </w:r>
    </w:p>
    <w:p>
      <w:pPr>
        <w:pStyle w:val="BodyText"/>
      </w:pPr>
      <w:r>
        <w:t xml:space="preserve">Lo nuevo (Investor Day del 29-sep):</w:t>
      </w:r>
      <w:r>
        <w:t xml:space="preserve"> </w:t>
      </w:r>
      <w:r>
        <w:rPr>
          <w:bCs/>
          <w:b/>
        </w:rPr>
        <w:t xml:space="preserve">Atlas Infinite</w:t>
      </w:r>
      <w:r>
        <w:t xml:space="preserve"> </w:t>
      </w:r>
      <w:r>
        <w:t xml:space="preserve">(separa cómputo y almacenamiento para cargas de agentes «a ráfagas»),</w:t>
      </w:r>
      <w:r>
        <w:t xml:space="preserve"> </w:t>
      </w:r>
      <w:r>
        <w:rPr>
          <w:bCs/>
          <w:b/>
        </w:rPr>
        <w:t xml:space="preserve">Atlas Agent Engine</w:t>
      </w:r>
      <w:r>
        <w:t xml:space="preserve"> </w:t>
      </w:r>
      <w:r>
        <w:t xml:space="preserve">(memoria persistente, gobierno y seguridad para agentes),</w:t>
      </w:r>
      <w:r>
        <w:t xml:space="preserve"> </w:t>
      </w:r>
      <w:r>
        <w:rPr>
          <w:bCs/>
          <w:b/>
        </w:rPr>
        <w:t xml:space="preserve">MongoDB 9.0</w:t>
      </w:r>
      <w:r>
        <w:t xml:space="preserve"> </w:t>
      </w:r>
      <w:r>
        <w:t xml:space="preserve">(+20-35 % de rendimiento), servidor</w:t>
      </w:r>
      <w:r>
        <w:t xml:space="preserve"> </w:t>
      </w:r>
      <w:r>
        <w:rPr>
          <w:bCs/>
          <w:b/>
        </w:rPr>
        <w:t xml:space="preserve">MCP gestionado</w:t>
      </w:r>
      <w:r>
        <w:t xml:space="preserve"> </w:t>
      </w:r>
      <w:r>
        <w:t xml:space="preserve">que conecta Claude Code, Codex o Devin a los datos de Atlas, y</w:t>
      </w:r>
      <w:r>
        <w:t xml:space="preserve"> </w:t>
      </w:r>
      <w:r>
        <w:rPr>
          <w:iCs/>
          <w:i/>
        </w:rPr>
        <w:t xml:space="preserve">embeddings</w:t>
      </w:r>
      <w:r>
        <w:t xml:space="preserve"> </w:t>
      </w:r>
      <w:r>
        <w:t xml:space="preserve">automáticos de Voyage [1][4].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3/5</w:t>
      </w:r>
      <w:r>
        <w:t xml:space="preserve">: el modelo documental, la escala horizontal y el «funciona en cualquier sitio» (nube, casa, híbrido) son buenos y tienen años de ventaja en operaciones de misión crítica. Pero</w:t>
      </w:r>
      <w:r>
        <w:t xml:space="preserve"> </w:t>
      </w:r>
      <w:r>
        <w:rPr>
          <w:bCs/>
          <w:b/>
        </w:rPr>
        <w:t xml:space="preserve">hay alternativas serias</w:t>
      </w:r>
      <w:r>
        <w:t xml:space="preserve">: Postgres con JSONB y pgvector, DocumentDB de AWS y de Microsoft (compatibles con la API de MongoDB) y las bases de los hiperescaladores. No es 4 porque no es irreplicable en 3 años.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4/5</w:t>
      </w:r>
      <w:r>
        <w:t xml:space="preserve">: líder indiscutido en bases documentales y Leader en la Forrester Wave de plataformas multimodelo (2T 2026) [1]; gana cuota (Atlas crece ~29 % frente a un mercado de ~15 %). No es 5 porque en el mercado total va detrás de Oracle, Microsoft, AWS y el ecosistema Postgres.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 (año fiscal a enero)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FY26 (abr-2025)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FY26 (jul-2025)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 FY26 (oct-2025)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FY26 (ene-2026)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 FY27 (abr-2026)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 FY27 (jul-2026)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771,8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Guía 3T FY27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756-761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 FY27 implícito en la guía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~14,0 %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FY24 (ene-2024)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FY27 (guía de septiembre)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2.990-3.030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~22 %</w:t>
            </w:r>
          </w:p>
        </w:tc>
      </w:tr>
    </w:tbl>
    <w:p>
      <w:pPr>
        <w:pStyle w:val="BodyText"/>
      </w:pPr>
      <w:r>
        <w:t xml:space="preserve">Fuente: SEC XBRL y notas de resultados [1][2][11].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12 meses</w:t>
      </w:r>
      <w:r>
        <w:t xml:space="preserve"> </w:t>
      </w:r>
      <w:r>
        <w:t xml:space="preserve">(3T FY26-2T FY27):</w:t>
      </w:r>
      <w:r>
        <w:t xml:space="preserve"> </w:t>
      </w:r>
      <w:r>
        <w:rPr>
          <w:bCs/>
          <w:b/>
        </w:rPr>
        <w:t xml:space="preserve">2.783 M USD, +25,5 %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23,7 %</w:t>
      </w:r>
      <w:r>
        <w:t xml:space="preserve"> </w:t>
      </w:r>
      <w:r>
        <w:t xml:space="preserve">(12 m a jul-2024: 1.820 M).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</w:t>
      </w:r>
      <w:r>
        <w:t xml:space="preserve">: 2T FY27 (+30,5 %) frente a la media de los cuatro anteriores (+23,6 %):</w:t>
      </w:r>
      <w:r>
        <w:t xml:space="preserve"> </w:t>
      </w:r>
      <w:r>
        <w:rPr>
          <w:bCs/>
          <w:b/>
        </w:rPr>
        <w:t xml:space="preserve">+6,9 pp</w:t>
      </w:r>
      <w:r>
        <w:t xml:space="preserve">. Ojo: el EA (+36 %) lleva contratos plurianuales reconocidos de una vez; la dirección dice que no hubo grandes acuerdos agrupados en el trimestre [10].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 neta</w:t>
      </w:r>
      <w:r>
        <w:t xml:space="preserve">:</w:t>
      </w:r>
      <w:r>
        <w:t xml:space="preserve"> </w:t>
      </w:r>
      <w:r>
        <w:rPr>
          <w:bCs/>
          <w:b/>
        </w:rPr>
        <w:t xml:space="preserve">122 %</w:t>
      </w:r>
      <w:r>
        <w:t xml:space="preserve"> </w:t>
      </w:r>
      <w:r>
        <w:t xml:space="preserve">(119 % un año antes) [10].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</w:t>
      </w:r>
      <w:r>
        <w:t xml:space="preserve">: año subido dos veces (2.880 → 2.940 → 3.010 M en el punto medio, +4,3 %), Atlas ~27 % en el año y ~26 % en el 3T;</w:t>
      </w:r>
      <w:r>
        <w:t xml:space="preserve"> </w:t>
      </w:r>
      <w:r>
        <w:rPr>
          <w:bCs/>
          <w:b/>
        </w:rPr>
        <w:t xml:space="preserve">EA plano en el segundo semestre</w:t>
      </w:r>
      <w:r>
        <w:t xml:space="preserve">, por eso la guía del 3T y el 4T cae a +21 % y +14 % [1][2][10]. Investor Day:</w:t>
      </w:r>
      <w:r>
        <w:t xml:space="preserve"> </w:t>
      </w:r>
      <w:r>
        <w:rPr>
          <w:bCs/>
          <w:b/>
        </w:rPr>
        <w:t xml:space="preserve">+20 % o más anual en FY28-FY30</w:t>
      </w:r>
      <w:r>
        <w:t xml:space="preserve">, Atlas en la mitad de los 20 [4].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Crecimiento que implica la guía en los 12 meses siguientes (</w:t>
      </w:r>
      <w:r>
        <w:rPr>
          <w:rStyle w:val="VerbatimChar"/>
          <w:bCs/>
          <w:b/>
        </w:rPr>
        <w:t xml:space="preserve">guia_12m_pct</w:t>
      </w:r>
      <w:r>
        <w:rPr>
          <w:bCs/>
          <w:b/>
        </w:rPr>
        <w:t xml:space="preserve">): 18,7 %</w:t>
      </w:r>
      <w:r>
        <w:t xml:space="preserve"> </w:t>
      </w:r>
      <w:r>
        <w:t xml:space="preserve">= segundo semestre guiado (1.551 M, +17,2 %) más el primer semestre FY28 al +20 % del objetivo a 3 años (1.751 M), sobre 2.783 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Exceso medio sobre la guía (</w:t>
      </w:r>
      <w:r>
        <w:rPr>
          <w:rStyle w:val="VerbatimChar"/>
          <w:bCs/>
          <w:b/>
        </w:rPr>
        <w:t xml:space="preserve">exceso_guia_pp</w:t>
      </w:r>
      <w:r>
        <w:rPr>
          <w:bCs/>
          <w:b/>
        </w:rPr>
        <w:t xml:space="preserve">): 6,0 pp</w:t>
      </w:r>
      <w:r>
        <w:t xml:space="preserve"> </w:t>
      </w:r>
      <w:r>
        <w:t xml:space="preserve">de crecimiento en los últimos 4 trimestres: 3T FY26 +7,3 pp (guía 587-592 M, real 628,3), 4T +5,0 pp (665-670, real 695,1), 1T FY27 +4,8 pp (659-664, real 687,6), 2T +6,8 pp (729-734, real 771,8) [1][2]. MongoDB guía de forma muy conservadora, sobre todo el consumo de Atlas más allá de un trimestre.</w:t>
      </w:r>
    </w:p>
    <w:bookmarkEnd w:id="22"/>
    <w:bookmarkStart w:id="24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~100.000 M USD en 2028</w:t>
      </w:r>
      <w:r>
        <w:t xml:space="preserve">: el mercado de software de bases de datos (IDC/Gartner, de memoria, sin verificar en esta sesión) [14]. Con cualquier cifra entre 56.000 y 139.000 M la penetración puntúa igual.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2.783 / 100.000 =</w:t>
      </w:r>
      <w:r>
        <w:t xml:space="preserve"> </w:t>
      </w:r>
      <w:r>
        <w:rPr>
          <w:bCs/>
          <w:b/>
        </w:rPr>
        <w:t xml:space="preserve">2,8 %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Postgres y sus versiones gestionadas (Amazon Aurora y RDS, Neon de Databricks, Crunchy Data de Snowflake, Supabase), DocumentDB de AWS y Microsoft, Cosmos DB, Oracle, bases vectoriales especializadas (Pinecone) y, en analítica, Snowflake y Databricks.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es la opción por defecto para datos con estructura cambiante y para aplicaciones de cara al cliente que escalan; las empresas de IA que crecen (ElevenLabs, Harvey) migran a MongoDB cuando chocan con los límites de Postgres o de las bases de los hiperescaladores [13]. La mitad de las ventas pasan por algún hiperescalador y las de</w:t>
      </w:r>
      <w:r>
        <w:t xml:space="preserve"> </w:t>
      </w:r>
      <w:r>
        <w:rPr>
          <w:iCs/>
          <w:i/>
        </w:rPr>
        <w:t xml:space="preserve">marketplace</w:t>
      </w:r>
      <w:r>
        <w:t xml:space="preserve"> </w:t>
      </w:r>
      <w:r>
        <w:t xml:space="preserve">crecen más que el total [4].</w:t>
      </w:r>
    </w:p>
    <w:bookmarkStart w:id="23" w:name="Xcab6d25fb7368eae30c9d5d3e9d95cb56d949d8"/>
    <w:p>
      <w:pPr>
        <w:pStyle w:val="Heading3"/>
      </w:pPr>
      <w:r>
        <w:t xml:space="preserve">El riesgo de que la IA se coma el negocio (valoración explícita)</w:t>
      </w:r>
    </w:p>
    <w:p>
      <w:pPr>
        <w:pStyle w:val="FirstParagraph"/>
      </w:pPr>
      <w:r>
        <w:rPr>
          <w:bCs/>
          <w:b/>
        </w:rPr>
        <w:t xml:space="preserve">Veredicto: riesgo medio, no existencial. Distinto de Duolingo.</w:t>
      </w:r>
      <w:r>
        <w:t xml:space="preserve"> </w:t>
      </w:r>
      <w:r>
        <w:t xml:space="preserve">En Duolingo la IA sustituye el producto (un modelo de lenguaje enseña idiomas gratis); en MongoDB la IA</w:t>
      </w:r>
      <w:r>
        <w:t xml:space="preserve"> </w:t>
      </w:r>
      <w:r>
        <w:rPr>
          <w:bCs/>
          <w:b/>
        </w:rPr>
        <w:t xml:space="preserve">necesita</w:t>
      </w:r>
      <w:r>
        <w:t xml:space="preserve"> </w:t>
      </w:r>
      <w:r>
        <w:t xml:space="preserve">el producto: cada agente o aplicación de IA guarda su estado, su memoria y sus datos operativos en una base de datos. El peligro no es que desaparezca la categoría, sino</w:t>
      </w:r>
      <w:r>
        <w:t xml:space="preserve"> </w:t>
      </w:r>
      <w:r>
        <w:rPr>
          <w:bCs/>
          <w:b/>
        </w:rPr>
        <w:t xml:space="preserve">perder cuota frente a Postgres</w:t>
      </w:r>
      <w:r>
        <w:t xml:space="preserve">. Argumentos: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 contra (la IA le quita)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favor (la IA le suma)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Los agentes de programación eligen Postgres por defecto</w:t>
            </w:r>
            <w:r>
              <w:t xml:space="preserve">: el propio CEO lo admitió en Citi el 9-sep («si no usas ciertas palabras, recomienda Postgres») [13]. El foso de MongoDB era la preferencia de los programadores, y ahora la decide cada vez más el agente.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software escrito = más aplicaciones = más bases de datos; las que escalan en producción migran a MongoDB [13].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 plataformas de «vibe coding» (Lovable, Replit, Bolt) usan Supabase/Postgres; Databricks y Snowflake compraron Neon y Crunchy Data para cubrir esa demanda [13].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Cohorte de IA nativa y laboratorios: 3-5 % de Atlas pero</w:t>
            </w:r>
            <w:r>
              <w:t xml:space="preserve"> </w:t>
            </w:r>
            <w:r>
              <w:rPr>
                <w:bCs/>
                <w:b/>
              </w:rPr>
              <w:t xml:space="preserve">+165 % interanual</w:t>
            </w:r>
            <w:r>
              <w:t xml:space="preserve"> </w:t>
            </w:r>
            <w:r>
              <w:t xml:space="preserve">[4]; un laboratorio de frontera usa MongoDB como memoria de conversación [10].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IA abarata reescribir código, así que</w:t>
            </w:r>
            <w:r>
              <w:t xml:space="preserve"> </w:t>
            </w:r>
            <w:r>
              <w:rPr>
                <w:bCs/>
                <w:b/>
              </w:rPr>
              <w:t xml:space="preserve">baja el coste de cambiar de base de datos</w:t>
            </w:r>
            <w:r>
              <w:t xml:space="preserve"> </w:t>
            </w:r>
            <w:r>
              <w:t xml:space="preserve">(hacia Postgres o desde Postgres).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usa esa misma IA para migrar aplicaciones de Oracle y SQL Server (programa de modernización).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 con pgvector cubre la búsqueda vectorial «suficiente» sin otra 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Voyage AI: las altas llegan sobre todo</w:t>
            </w:r>
            <w:r>
              <w:t xml:space="preserve"> </w:t>
            </w:r>
            <w:r>
              <w:rPr>
                <w:bCs/>
                <w:b/>
              </w:rPr>
              <w:t xml:space="preserve">desde Claude Code y Codex</w:t>
            </w:r>
            <w:r>
              <w:t xml:space="preserve">, que recomiendan sus</w:t>
            </w:r>
            <w:r>
              <w:t xml:space="preserve"> </w:t>
            </w:r>
            <w:r>
              <w:rPr>
                <w:iCs/>
                <w:i/>
              </w:rPr>
              <w:t xml:space="preserve">embeddings</w:t>
            </w:r>
            <w:r>
              <w:t xml:space="preserve"> </w:t>
            </w:r>
            <w:r>
              <w:t xml:space="preserve">[13]; búsqueda vectorial ya en EA.</w:t>
            </w:r>
          </w:p>
        </w:tc>
      </w:tr>
    </w:tbl>
    <w:p>
      <w:pPr>
        <w:pStyle w:val="BodyText"/>
      </w:pPr>
      <w:r>
        <w:rPr>
          <w:bCs/>
          <w:b/>
        </w:rPr>
        <w:t xml:space="preserve">Lo que dicen los datos hoy</w:t>
      </w:r>
      <w:r>
        <w:t xml:space="preserve">: ninguna señal de erosión. Atlas lleva tres trimestres en ~29 %, la retención neta sube (119 → 122 %), las altas de clientes son récord (2.900 en el 2T) y la guía de Atlas del año pasó del ~24 % al ~27 % [1][10].</w:t>
      </w:r>
      <w:r>
        <w:t xml:space="preserve"> </w:t>
      </w:r>
      <w:r>
        <w:rPr>
          <w:bCs/>
          <w:b/>
        </w:rPr>
        <w:t xml:space="preserve">Lo que vigilar</w:t>
      </w:r>
      <w:r>
        <w:t xml:space="preserve">: altas de clientes por trimestre (si bajan de ~2.000, los nuevos proyectos se van a Postgres), crecimiento de Atlas por debajo del 22 % y retención neta por debajo del 115 %. La salida del jefe de producto de IA (13-oct) justo cuando la empresa quiere que los agentes la elijan por defecto es una mala noticia para este frente.</w:t>
      </w:r>
    </w:p>
    <w:bookmarkEnd w:id="23"/>
    <w:bookmarkEnd w:id="24"/>
    <w:bookmarkStart w:id="25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(dudosa)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FY27 de 2.880 a 3.010 M USD (+4,3 %) en dos subidas; objetivos al alza en ago-sep (Goldman 520, Canaccord 480, Bernstein 484), pero cinco recortes el 30-sep tras la salida del CEO (Stifel 385, UBS 375). Basada en guía y precios objetivo.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373,07 USD sobre una media de 340,8 USD, pero la media no sube: 343,9 hace dos semanas, 333,7 hace tres meses.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+58,0 % desde el 13-abr (236,14 USD) frente a +20,4 % del Nasdaq-100.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EV/ventas NTM de ~5,7x (mínimo del 10-abr) a 8,8x (+54 %). Sigue en su mediana de 3 años (8,7x): con la v8 también contaría.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[5][12]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operativo GAAP de +3,7 % frente a −11,0 % un año antes (+14,7 pp); no GAAP del 15 % al 24 %; FCF del trimestre casi doble.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Empeora: −13,5 % por la guía (2-sep), −18,5 % por la salida del CEO (28-sep), salidas de directivos (13-oct) y recortes de objetivos.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[7][8][9][10]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ventas y retenciones; la empresa recompra (200 M en el semestre, 1.000 M más autorizados), pero no cuenta.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Infinite, Agent Engine, MongoDB 9.0 y MCP gestionado; nombramiento del CEO definitivo; resultados del 3T a principios de diciembre.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[3][4]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</w:t>
      </w:r>
      <w:r>
        <w:t xml:space="preserve"> </w:t>
      </w:r>
      <w:r>
        <w:t xml:space="preserve">(+16,9 % en 12 meses; EV/beneficio bruto 12,1x). Es el caso contrario a Datadog y Snowflake: el negocio acelera pero la percepción se ha enfriado.</w:t>
      </w:r>
    </w:p>
    <w:bookmarkEnd w:id="25"/>
    <w:bookmarkStart w:id="26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72,7 %</w:t>
      </w:r>
      <w:r>
        <w:t xml:space="preserve"> </w:t>
      </w:r>
      <w:r>
        <w:t xml:space="preserve">en 12 meses (beneficio bruto 2.023 M sobre 2.783 M); 74 % en el 2T (no GAAP 76 %), mejorando por la escala de Atlas [1][11].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~</w:t>
      </w:r>
      <w:r>
        <w:rPr>
          <w:bCs/>
          <w:b/>
        </w:rPr>
        <w:t xml:space="preserve">652 M USD, 23,4 %</w:t>
      </w:r>
      <w:r>
        <w:t xml:space="preserve"> </w:t>
      </w:r>
      <w:r>
        <w:t xml:space="preserve">de las ventas (FY25 ~115 M; FY26 ~480 M):</w:t>
      </w:r>
      <w:r>
        <w:t xml:space="preserve"> </w:t>
      </w:r>
      <w:r>
        <w:rPr>
          <w:bCs/>
          <w:b/>
        </w:rPr>
        <w:t xml:space="preserve">FCF creciente</w:t>
      </w:r>
      <w:r>
        <w:t xml:space="preserve"> </w:t>
      </w:r>
      <w:r>
        <w:t xml:space="preserve">[1][2][11].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25,5 + 23,4 =</w:t>
      </w:r>
      <w:r>
        <w:t xml:space="preserve"> </w:t>
      </w:r>
      <w:r>
        <w:rPr>
          <w:bCs/>
          <w:b/>
        </w:rPr>
        <w:t xml:space="preserve">48,9</w:t>
      </w:r>
      <w:r>
        <w:t xml:space="preserve">. Con FCF menos pagos en acciones (652 − 565 = 87 M, 3,1 %) sería</w:t>
      </w:r>
      <w:r>
        <w:t xml:space="preserve"> </w:t>
      </w:r>
      <w:r>
        <w:rPr>
          <w:bCs/>
          <w:b/>
        </w:rPr>
        <w:t xml:space="preserve">28,6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margen operativo no GAAP del 24 % en el 2T (15 % un año antes); guía del año ~21 %; objetivo de +100-200 pb al año [1][4]. GAAP: tres trimestres seguidos con beneficio por acción.</w:t>
      </w:r>
    </w:p>
    <w:bookmarkEnd w:id="26"/>
    <w:bookmarkStart w:id="27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y valores</w:t>
      </w:r>
      <w:r>
        <w:t xml:space="preserve">:</w:t>
      </w:r>
      <w:r>
        <w:t xml:space="preserve"> </w:t>
      </w:r>
      <w:r>
        <w:rPr>
          <w:bCs/>
          <w:b/>
        </w:rPr>
        <w:t xml:space="preserve">2.411 M USD</w:t>
      </w:r>
      <w:r>
        <w:t xml:space="preserve"> </w:t>
      </w:r>
      <w:r>
        <w:t xml:space="preserve">a 31-jul-2026;</w:t>
      </w:r>
      <w:r>
        <w:t xml:space="preserve"> </w:t>
      </w:r>
      <w:r>
        <w:rPr>
          <w:bCs/>
          <w:b/>
        </w:rPr>
        <w:t xml:space="preserve">sin deuda financiera</w:t>
      </w:r>
      <w:r>
        <w:t xml:space="preserve"> </w:t>
      </w:r>
      <w:r>
        <w:t xml:space="preserve">(los convertibles de 2026 se convirtieron en acciones a finales de 2024) [1][11].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Acciones</w:t>
      </w:r>
      <w:r>
        <w:t xml:space="preserve">:</w:t>
      </w:r>
      <w:r>
        <w:t xml:space="preserve"> </w:t>
      </w:r>
      <w:r>
        <w:rPr>
          <w:bCs/>
          <w:b/>
        </w:rPr>
        <w:t xml:space="preserve">86,4 M</w:t>
      </w:r>
      <w:r>
        <w:t xml:space="preserve"> </w:t>
      </w:r>
      <w:r>
        <w:t xml:space="preserve">diluidas (guía no GAAP del año, con todas las acciones restringidas); 80,56 M en circulación a 28-ago [1][11].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~0 %</w:t>
      </w:r>
      <w:r>
        <w:t xml:space="preserve"> </w:t>
      </w:r>
      <w:r>
        <w:t xml:space="preserve">neta: las recompras (400 M USD en FY26, 200 M en el semestre) compensan los pagos en acciones (básicas medias de 81,1 a 80,5 M; totalmente diluidas no GAAP de 87,1 a 85,8 M). Se usa 0 % para no contar dos veces la caja de las recompras.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acciones: 20,3 % de las ventas</w:t>
      </w:r>
      <w:r>
        <w:t xml:space="preserve"> </w:t>
      </w:r>
      <w:r>
        <w:t xml:space="preserve">(565 M USD en 12 meses).</w:t>
      </w:r>
      <w:r>
        <w:t xml:space="preserve"> </w:t>
      </w:r>
      <w:r>
        <w:rPr>
          <w:bCs/>
          <w:b/>
        </w:rPr>
        <w:t xml:space="preserve">En rojo: por encima del 15 % del método.</w:t>
      </w:r>
      <w:r>
        <w:t xml:space="preserve"> </w:t>
      </w:r>
      <w:r>
        <w:t xml:space="preserve">Bajan en proporción (22 % un año antes), pero el FCF «real» para el accionista es solo del 3 %.</w:t>
      </w:r>
    </w:p>
    <w:bookmarkEnd w:id="27"/>
    <w:bookmarkStart w:id="28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(5/5)</w:t>
      </w:r>
      <w:r>
        <w:t xml:space="preserve">: ha batido su guía trimestral de ventas en todos los trimestres revisados (8 de 8, y de memoria desde su salida a bolsa en 2017), de media en 6 pp de crecimiento en el último año [1][2]. Pero su</w:t>
      </w:r>
      <w:r>
        <w:t xml:space="preserve"> </w:t>
      </w:r>
      <w:r>
        <w:rPr>
          <w:bCs/>
          <w:b/>
        </w:rPr>
        <w:t xml:space="preserve">guía anual inicial</w:t>
      </w:r>
      <w:r>
        <w:t xml:space="preserve"> </w:t>
      </w:r>
      <w:r>
        <w:t xml:space="preserve">decepcionó dos marzos seguidos (−22 % en mar-2026) [10].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(2/5)</w:t>
      </w:r>
      <w:r>
        <w:t xml:space="preserve">: CJ Desai, fichado en nov-2025,</w:t>
      </w:r>
      <w:r>
        <w:t xml:space="preserve"> </w:t>
      </w:r>
      <w:r>
        <w:rPr>
          <w:bCs/>
          <w:b/>
        </w:rPr>
        <w:t xml:space="preserve">se fue a Meta a los 11 meses</w:t>
      </w:r>
      <w:r>
        <w:t xml:space="preserve"> </w:t>
      </w:r>
      <w:r>
        <w:t xml:space="preserve">(28-sep). Vuelve como interino Dev Ittycheria (CEO de 2014 a 2025, conoce la empresa y llevó las ventas de 35 a 2.300 M USD), ahora también socio de Sequoia, y el consejo busca CEO definitivo [3]. El 13-oct salieron la directora de clientes (Erica Volini, fichada en marzo) y el jefe de producto de IA (Pablo Stern-Plaza); siguen el CTO, el director comercial y el director financiero [8]. A favor: asignación de capital sensata (caja neta, recompras de 600 M en 18 meses, beneficio GAAP). En contra: rotación en la cúpula, pagos en acciones del 20 % y solo ventas de directivos.</w:t>
      </w:r>
    </w:p>
    <w:bookmarkEnd w:id="28"/>
    <w:bookmarkStart w:id="29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</w:t>
      </w:r>
      <w:r>
        <w:t xml:space="preserve">: 12 meses a jul-2028 (ventas de los 12 meses siguientes dentro de un año; 2 años sobre los 12 m a jul-2026, como en el backtest).</w:t>
      </w:r>
      <w:r>
        <w:t xml:space="preserve"> </w:t>
      </w:r>
      <w:r>
        <w:rPr>
          <w:bCs/>
          <w:b/>
        </w:rPr>
        <w:t xml:space="preserve">Métrica: EV/ventas NTM</w:t>
      </w:r>
      <w:r>
        <w:t xml:space="preserve"> </w:t>
      </w:r>
      <w:r>
        <w:t xml:space="preserve">(el margen GAAP acaba de pasar a positivo; el EBITDA aún no es estable).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373,07 × 86,4 − 2.411 =</w:t>
      </w:r>
      <w:r>
        <w:t xml:space="preserve"> </w:t>
      </w:r>
      <w:r>
        <w:rPr>
          <w:bCs/>
          <w:b/>
        </w:rPr>
        <w:t xml:space="preserve">29.822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~3.395 M (12 m × 1,22: guía del semestre más el ritmo habitual de batirla).</w:t>
      </w:r>
      <w:r>
        <w:t xml:space="preserve"> </w:t>
      </w:r>
      <w:r>
        <w:rPr>
          <w:bCs/>
          <w:b/>
        </w:rPr>
        <w:t xml:space="preserve">EV/ventas NTM 8,8x; EV/beneficio bruto NTM 12,1x</w:t>
      </w:r>
      <w:r>
        <w:t xml:space="preserve"> </w:t>
      </w:r>
      <w:r>
        <w:t xml:space="preserve">(tope del método: 35x).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~8,7x</w:t>
      </w:r>
      <w:r>
        <w:t xml:space="preserve">;</w:t>
      </w:r>
      <w:r>
        <w:t xml:space="preserve"> </w:t>
      </w:r>
      <w:r>
        <w:rPr>
          <w:bCs/>
          <w:b/>
        </w:rPr>
        <w:t xml:space="preserve">mínimo: ~4,6x</w:t>
      </w:r>
      <w:r>
        <w:t xml:space="preserve"> </w:t>
      </w:r>
      <w:r>
        <w:t xml:space="preserve">(abril de 2025) [12].</w:t>
      </w:r>
      <w:r>
        <w:t xml:space="preserve"> </w:t>
      </w:r>
      <w:r>
        <w:rPr>
          <w:bCs/>
          <w:b/>
        </w:rPr>
        <w:t xml:space="preserve">Comparables: ~14x</w:t>
      </w:r>
      <w:r>
        <w:t xml:space="preserve"> </w:t>
      </w:r>
      <w:r>
        <w:t xml:space="preserve">(Snowflake 18,6x, Datadog 20,3x, ServiceNow ~9,9x, Elastic ~5x; los dos últimos de memoria o de terceros) [14].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22 % NTM frente al 20 % del año objetivo → factor 0,95.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año objetivo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+99,4 %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465,1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+24,7 %</w:t>
            </w:r>
          </w:p>
        </w:tc>
      </w:tr>
    </w:tbl>
    <w:p>
      <w:pPr>
        <w:pStyle w:val="BodyText"/>
      </w:pPr>
      <w:r>
        <w:t xml:space="preserve">Acciones dentro de 12 meses: 86,4 M (dilución neta 0 %); caja de hoy sin sumar el FCF futuro, por la regla.</w:t>
      </w:r>
      <w:r>
        <w:t xml:space="preserve"> </w:t>
      </w:r>
      <w:r>
        <w:rPr>
          <w:bCs/>
          <w:b/>
        </w:rPr>
        <w:t xml:space="preserve">Asimetría: 2,6.</w:t>
      </w:r>
      <w:r>
        <w:t xml:space="preserve"> </w:t>
      </w:r>
      <w:r>
        <w:rPr>
          <w:bCs/>
          <w:b/>
        </w:rPr>
        <w:t xml:space="preserve">Precio máximo de compra: 442,8 USD</w:t>
      </w:r>
      <w:r>
        <w:t xml:space="preserve"> </w:t>
      </w:r>
      <w:r>
        <w:t xml:space="preserve">(el que deja el base en 0 %; el tope de 35x beneficio bruto queda muy por encima).</w:t>
      </w:r>
    </w:p>
    <w:p>
      <w:pPr>
        <w:pStyle w:val="BodyText"/>
      </w:pPr>
      <w:r>
        <w:rPr>
          <w:bCs/>
          <w:b/>
        </w:rPr>
        <w:t xml:space="preserve">Cálculo a mano partiendo de min(mecánico, guía + exceso)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Partida del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(ventas, precio, rent.)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 hasta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Mecánica (regla v7): 25,8 %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4.272 M, 442,8 USD, +18,7 %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442,8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min(25,8; 18,7 + 6,0) = 24,7 %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4.199 M, 435,6 USD, +16,8 %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la guía, sin exceso: 18,7 %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3.828 M, 399,7 USD, +7,1 %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−41,2 %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~399</w:t>
            </w:r>
          </w:p>
        </w:tc>
      </w:tr>
    </w:tbl>
    <w:p>
      <w:pPr>
        <w:pStyle w:val="BodyText"/>
      </w:pPr>
      <w:r>
        <w:t xml:space="preserve">Con la guía más su exceso habitual la señal</w:t>
      </w:r>
      <w:r>
        <w:t xml:space="preserve"> </w:t>
      </w:r>
      <w:r>
        <w:rPr>
          <w:bCs/>
          <w:b/>
        </w:rPr>
        <w:t xml:space="preserve">sigue en Comprar</w:t>
      </w:r>
      <w:r>
        <w:t xml:space="preserve"> </w:t>
      </w:r>
      <w:r>
        <w:t xml:space="preserve">(cambia 2 pp). Incluso con la guía pelada pasaría.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Sensibilidad que sí importa: el alcista.</w:t>
      </w:r>
      <w:r>
        <w:t xml:space="preserve"> </w:t>
      </w:r>
      <w:r>
        <w:t xml:space="preserve">Sale de la mediana de comparables (~14x, parte de memoria), que lleva el múltiplo alcista al techo (base × 1,6). Sin comparables (alcista = base × 1,3 = 10,9x): ponderada</w:t>
      </w:r>
      <w:r>
        <w:t xml:space="preserve"> </w:t>
      </w:r>
      <w:r>
        <w:rPr>
          <w:bCs/>
          <w:b/>
        </w:rPr>
        <w:t xml:space="preserve">+15,7 %</w:t>
      </w:r>
      <w:r>
        <w:t xml:space="preserve">, compra hasta ~411 USD. Con probabilidades 35/50/15 (por la rotación en la dirección):</w:t>
      </w:r>
      <w:r>
        <w:t xml:space="preserve"> </w:t>
      </w:r>
      <w:r>
        <w:rPr>
          <w:bCs/>
          <w:b/>
        </w:rPr>
        <w:t xml:space="preserve">+10,9 %</w:t>
      </w:r>
      <w:r>
        <w:t xml:space="preserve">. Todo junto (guía + exceso, sin comparables y 35/50/15):</w:t>
      </w:r>
      <w:r>
        <w:t xml:space="preserve"> </w:t>
      </w:r>
      <w:r>
        <w:rPr>
          <w:bCs/>
          <w:b/>
        </w:rPr>
        <w:t xml:space="preserve">+3,9 %</w:t>
      </w:r>
      <w:r>
        <w:t xml:space="preserve"> </w:t>
      </w:r>
      <w:r>
        <w:t xml:space="preserve">→ Mantener (en vigilancia), compra hasta ~369 USD.</w:t>
      </w:r>
      <w:r>
        <w:t xml:space="preserve"> </w:t>
      </w:r>
      <w:r>
        <w:rPr>
          <w:bCs/>
          <w:b/>
        </w:rPr>
        <w:t xml:space="preserve">La compra aguanta cualquiera de los ajustes por separado, no todos a la vez.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Proyección propia (contraste)</w:t>
      </w:r>
      <w:r>
        <w:t xml:space="preserve">: 3.600 / 4.000 / 4.300 M USD (base: +21 % hasta jul-2027 y +19 % después). Un 6 % menor que la mecánica.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Al precio de hoy</w:t>
      </w:r>
      <w:r>
        <w:t xml:space="preserve"> </w:t>
      </w:r>
      <w:r>
        <w:t xml:space="preserve">(365,53 USD intradía): ponderada +27,2 % (+25,2 % con la guía), por debajo del límite; la señal sigue vigente.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objetivo medio 462,91 USD (37 analistas, MarketBeat), +24 %; máximo 565, mínimo 372 [7]. Consenso de ventas del año objetivo: no encontrado (null).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FCF del 23 % al 30 % y crecimiento terminal del 4 %, el precio descuenta</w:t>
      </w:r>
      <w:r>
        <w:t xml:space="preserve"> </w:t>
      </w:r>
      <w:r>
        <w:rPr>
          <w:bCs/>
          <w:b/>
        </w:rPr>
        <w:t xml:space="preserve">~14 % anual durante 10 años</w:t>
      </w:r>
      <w:r>
        <w:t xml:space="preserve">; con FCF después de pagos en acciones (del 3 % al 20 %), ~20 %.</w:t>
      </w:r>
      <w:r>
        <w:t xml:space="preserve"> </w:t>
      </w:r>
      <w:r>
        <w:rPr>
          <w:bCs/>
          <w:b/>
        </w:rPr>
        <w:t xml:space="preserve">Poco exigente</w:t>
      </w:r>
      <w:r>
        <w:t xml:space="preserve"> </w:t>
      </w:r>
      <w:r>
        <w:t xml:space="preserve">frente al objetivo de +20 % y el +25 % actual.</w:t>
      </w:r>
    </w:p>
    <w:bookmarkEnd w:id="29"/>
    <w:bookmarkStart w:id="30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tras el 2T, titulares de «bate pero cae por Atlas estable y guía prudente» (Quartz, Finviz) [10]; tras la salida del CEO, recortes de objetivos (Stifel, UBS, BMO, DA Davidson, Stephens) y dudas sobre la continuidad; tras el Investor Day, BofA («tiene el impulso de la IA de su lado», objetivo 540) y Wolfe («las salidas van más rápido de lo esperado», 440) [4][7][8]. Consenso aún en compra (30 de 37).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(21.935 seguidores): dividido y nervioso: «the C suite is dropping like flies», «clowns all the way up», junto a «solid buy at these levels» y «500+ by EOY»; muchas operaciones con opciones. No hay euforia 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no se encontraron artículos de octubre; los de marzo-abril giraban en torno a la guía floja de Atlas [10].</w:t>
      </w:r>
      <w:r>
        <w:t xml:space="preserve"> </w:t>
      </w:r>
      <w:r>
        <w:rPr>
          <w:bCs/>
          <w:b/>
        </w:rPr>
        <w:t xml:space="preserve">Laguna parcial.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r/investing, r/mongodb)</w:t>
      </w:r>
      <w:r>
        <w:t xml:space="preserve">: la API no devolvió datos y la búsqueda no encontró hilos recientes.</w:t>
      </w:r>
      <w:r>
        <w:t xml:space="preserve"> </w:t>
      </w:r>
      <w:r>
        <w:rPr>
          <w:bCs/>
          <w:b/>
        </w:rPr>
        <w:t xml:space="preserve">Laguna.</w:t>
      </w:r>
      <w:r>
        <w:t xml:space="preserve"> </w:t>
      </w:r>
      <w:r>
        <w:t xml:space="preserve">Entre programadores, el debate «Postgres lo hace todo» es frecuente (DEV Community, blogs de 2026) [13].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castellano</w:t>
      </w:r>
      <w:r>
        <w:t xml:space="preserve">: sin hilos en Rankia ni Investing ES sobre la salida del CEO; solo notas de la caída de marzo.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sentimiento va peor que el negocio (aceleración, margen y retención al alza). Es el terreno en el que el método busca compras, con el matiz de que la rotación directiva es un riesgo real, no solo de percepción.</w:t>
      </w:r>
    </w:p>
    <w:bookmarkEnd w:id="30"/>
    <w:bookmarkStart w:id="31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Dirección</w:t>
      </w:r>
      <w:r>
        <w:t xml:space="preserve">: CEO interino y salidas en cadena; un mal nombramiento o más salidas (CTO, director comercial, director financiero) frenarían la ejecución comercial.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IA y Postgres</w:t>
      </w:r>
      <w:r>
        <w:t xml:space="preserve"> </w:t>
      </w:r>
      <w:r>
        <w:t xml:space="preserve">(sección 4): pérdida de los nuevos proyectos frente a Postgres por la elección de los agentes de programación.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Consumo</w:t>
      </w:r>
      <w:r>
        <w:t xml:space="preserve">: Atlas se cobra por uso; los clientes optimizan en las recesiones (2022-2023).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EA irregular</w:t>
      </w:r>
      <w:r>
        <w:t xml:space="preserve">: los contratos plurianuales hinchan unos trimestres y deprimen otros (la guía del 4T implica +14 %).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Pagos en acciones del 20 %</w:t>
      </w:r>
      <w:r>
        <w:t xml:space="preserve"> </w:t>
      </w:r>
      <w:r>
        <w:t xml:space="preserve">de las ventas, compensados con recompras que consumen caja.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Hiperescaladores</w:t>
      </w:r>
      <w:r>
        <w:t xml:space="preserve">: socios y rivales a la vez (DocumentDB de AWS, Cosmos DB).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Atlas por debajo del 22 % dos trimestres seguidos o retención neta por debajo del 115 %.</w:t>
      </w:r>
      <w:r>
        <w:t xml:space="preserve"> </w:t>
      </w:r>
      <w:r>
        <w:t xml:space="preserve">- Altas netas de clientes por debajo de ~2.000 por trimestre dos veces seguidas.</w:t>
      </w:r>
      <w:r>
        <w:t xml:space="preserve"> </w:t>
      </w:r>
      <w:r>
        <w:t xml:space="preserve">- Salida del director financiero o del CTO, o CEO definitivo sin experiencia en software empresarial antes de mediados de 2027.</w:t>
      </w:r>
      <w:r>
        <w:t xml:space="preserve"> </w:t>
      </w:r>
      <w:r>
        <w:t xml:space="preserve">- Vuelta a pérdidas operativas GAAP por algo distinto de una compra.</w:t>
      </w:r>
    </w:p>
    <w:p>
      <w:pPr>
        <w:pStyle w:val="BodyText"/>
      </w:pPr>
      <w:r>
        <w:t xml:space="preserve">Hoy no hay tesis rota.</w:t>
      </w:r>
    </w:p>
    <w:bookmarkEnd w:id="31"/>
    <w:bookmarkStart w:id="32" w:name="catalizadores-con-fecha"/>
    <w:p>
      <w:pPr>
        <w:pStyle w:val="Heading2"/>
      </w:pPr>
      <w:r>
        <w:t xml:space="preserve">12. Catalizadores con fecha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Principios de dic-2026 (sin anunciar; el año pasado, 1-dic)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3T FY27: Atlas frente al ~26 % guiado; altas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fecha (búsqueda en marcha)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Nombramiento del CEO definitivo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re:Invent (Atlas Infinite en AWS)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Principios de mar-2027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del 4T y guía FY28: la guía de marzo hundió la acción dos años seguidos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FY27-FY28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 general de Atlas Agent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</w:tbl>
    <w:bookmarkEnd w:id="32"/>
    <w:bookmarkStart w:id="33" w:name="encaje-en-cartera"/>
    <w:p>
      <w:pPr>
        <w:pStyle w:val="Heading2"/>
      </w:pPr>
      <w:r>
        <w:t xml:space="preserve">13. Encaje en cartera</w:t>
      </w:r>
    </w:p>
    <w:p>
      <w:pPr>
        <w:pStyle w:val="FirstParagraph"/>
      </w:pPr>
      <w:r>
        <w:rPr>
          <w:bCs/>
          <w:b/>
        </w:rPr>
        <w:t xml:space="preserve">Cartera value vigente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informes/cartera-2026-10-14-15h.md</w:t>
      </w:r>
      <w:r>
        <w:t xml:space="preserve">): IGLN, Edenred, Daiichi Sankyo, Uber, Viscofan, Alphabet, Netflix, SAP, Intuit, Nemetschek, LVMH y Bureau Veritas, con órdenes con límite hasta el 7-nov.</w:t>
      </w:r>
      <w:r>
        <w:t xml:space="preserve"> </w:t>
      </w:r>
      <w:r>
        <w:rPr>
          <w:bCs/>
          <w:b/>
        </w:rPr>
        <w:t xml:space="preserve">Bolsillo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): Nu (4 %), argenx (4,9 %), Shopify (4 %), Axon (3,7 %) y Snowflake (4 %),</w:t>
      </w:r>
      <w:r>
        <w:t xml:space="preserve"> </w:t>
      </w:r>
      <w:r>
        <w:rPr>
          <w:bCs/>
          <w:b/>
        </w:rPr>
        <w:t xml:space="preserve">~20 %, lleno y sin liquidez</w:t>
      </w:r>
      <w:r>
        <w:t xml:space="preserve">. Suplentes: Dexcom, Datadog, Samsara, Zscaler y Wise.</w:t>
      </w:r>
    </w:p>
    <w:p>
      <w:pPr>
        <w:pStyle w:val="BodyText"/>
      </w:pPr>
      <w:r>
        <w:rPr>
          <w:bCs/>
          <w:b/>
        </w:rPr>
        <w:t xml:space="preserve">Precio actual antes de proponer nada</w:t>
      </w:r>
      <w:r>
        <w:t xml:space="preserve"> </w:t>
      </w:r>
      <w:r>
        <w:t xml:space="preserve">(regla del 14-oct): 365,53 USD a las ~16:20 UTC del 14-oct, por debajo del límite de 442,8 USD; ponderada +27,2 % (+25,2 % con la guía): la señal sigue en Comprar (baja).</w:t>
      </w:r>
    </w:p>
    <w:p>
      <w:pPr>
        <w:pStyle w:val="BodyText"/>
      </w:pPr>
      <w:r>
        <w:rPr>
          <w:bCs/>
          <w:b/>
        </w:rPr>
        <w:t xml:space="preserve">¿Sustituye a alguna growth? Hoy no.</w:t>
      </w:r>
      <w:r>
        <w:t xml:space="preserve"> </w:t>
      </w:r>
      <w:r>
        <w:t xml:space="preserve">El único candidato razonable es</w:t>
      </w:r>
      <w:r>
        <w:t xml:space="preserve"> </w:t>
      </w:r>
      <w:r>
        <w:rPr>
          <w:bCs/>
          <w:b/>
        </w:rPr>
        <w:t xml:space="preserve">Snowflake</w:t>
      </w:r>
      <w:r>
        <w:t xml:space="preserve">, por ser el mismo tipo de negocio (datos para IA) y la de menor ponderada del bolsillo: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Ponderada (regla / 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EV/beneficio bruto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 (precio de las 16:15)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+16,8 % (la guía va por encima de la 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(media)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Múltiplo exigente; IA a favor hoy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+24,7 % / +22,6 %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+18,7 % / +16,8 %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74,5 (baja)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interino, salidas, Postgres</w:t>
            </w:r>
          </w:p>
        </w:tc>
      </w:tr>
    </w:tbl>
    <w:p>
      <w:pPr>
        <w:pStyle w:val="BodyText"/>
      </w:pPr>
      <w:r>
        <w:t xml:space="preserve">Sobre el papel, MongoDB gana por ~6 pp y es mucho más barata. Pero</w:t>
      </w:r>
      <w:r>
        <w:t xml:space="preserve"> </w:t>
      </w:r>
      <w:r>
        <w:rPr>
          <w:bCs/>
          <w:b/>
        </w:rPr>
        <w:t xml:space="preserve">no se cambia</w:t>
      </w:r>
      <w:r>
        <w:t xml:space="preserve">: (1) la ventaja depende del alcista por comparables (en parte de memoria); sin él, +15,7 %, por debajo de Snowflake; (2) la convicción es baja y la dirección está en el aire; (3) Snowflake acaba de entrar con un motivo de negocio que se mantiene, así que cambiarla ahora sería rotar por una diferencia que la incertidumbre se come; (4) al usuario le preocupa la IA, y en MongoDB el riesgo de cuota frente a Postgres es más directo que en Snowflake. Las otras (Nu, argenx, Axon, Shopify) tienen ponderadas con la guía iguales o mayores (Shopify +17,6 %, pero diversifica) y no son del mismo sector.</w:t>
      </w:r>
    </w:p>
    <w:p>
      <w:pPr>
        <w:pStyle w:val="BodyText"/>
      </w:pPr>
      <w:r>
        <w:rPr>
          <w:bCs/>
          <w:b/>
        </w:rPr>
        <w:t xml:space="preserve">Queda como suplente growth n.º 2</w:t>
      </w:r>
      <w:r>
        <w:t xml:space="preserve">, detrás de Dexcom (que diversifica fuera del software y tiene el menor bajista) y por delante de Datadog (con la guía, ~+9 %).</w:t>
      </w:r>
      <w:r>
        <w:t xml:space="preserve"> </w:t>
      </w:r>
      <w:r>
        <w:rPr>
          <w:bCs/>
          <w:b/>
        </w:rPr>
        <w:t xml:space="preserve">Pasaría a sustituir a Snowflake</w:t>
      </w:r>
      <w:r>
        <w:t xml:space="preserve"> </w:t>
      </w:r>
      <w:r>
        <w:t xml:space="preserve">si, con los resultados del 3T (principios de diciembre), se cumplen tres cosas: CEO definitivo con experiencia en software empresarial, Atlas ≥ 26 % y altas de clientes ≥ 2.500; y siempre que Snowflake no haya cumplido su condición del tramo 2. Entonces, 3,5 %, unas 3 acciones) en dos tramos, con límite de</w:t>
      </w:r>
      <w:r>
        <w:t xml:space="preserve"> </w:t>
      </w:r>
      <w:r>
        <w:rPr>
          <w:bCs/>
          <w:b/>
        </w:rPr>
        <w:t xml:space="preserve">~411 USD</w:t>
      </w:r>
      <w:r>
        <w:t xml:space="preserve"> </w:t>
      </w:r>
      <w:r>
        <w:t xml:space="preserve">(el máximo de compra sin contar los comparables, más prudente que los 443 de la regla).</w:t>
      </w:r>
    </w:p>
    <w:bookmarkEnd w:id="33"/>
    <w:bookmarkStart w:id="34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+25,5 % (3), CAGR a 2 años 23,7 % (3), aceleración +6,9 pp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2,8 % (4), tecnología 3, posición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72,7 % (4), regla del 40 = 48,9 (3), FCF creciente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(5), dilución neta ~0 % 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5, dirección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74,5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Señal:</w:t>
            </w:r>
            <w:r>
              <w:t xml:space="preserve"> </w:t>
            </w:r>
            <w:r>
              <w:rPr>
                <w:bCs/>
                <w:b/>
              </w:rPr>
              <w:t xml:space="preserve">Comprar (baja)</w:t>
            </w:r>
            <w:r>
              <w:t xml:space="preserve">; cumple todos los requisitos de compra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Propuestas de mejora del método</w:t>
      </w:r>
      <w:r>
        <w:t xml:space="preserve"> </w:t>
      </w:r>
      <w:r>
        <w:t xml:space="preserve">(sin tocar el código; para probar con el backtest):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Comparables verificados o fuera.</w:t>
      </w:r>
      <w:r>
        <w:t xml:space="preserve"> </w:t>
      </w:r>
      <w:r>
        <w:t xml:space="preserve">Aquí la mediana de comparables (en parte de memoria) sube el alcista hasta el techo y aporta 9 pp de ponderada. Propuesta: que solo cuenten comparables con fuente del día, o limitar su efecto a base × 1,3 cuando la empresa cotiza en su mediana de 3 años.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Rotación en la dirección → probabilidades 35/50/15.</w:t>
      </w:r>
      <w:r>
        <w:t xml:space="preserve"> </w:t>
      </w:r>
      <w:r>
        <w:t xml:space="preserve">Salida del CEO o de dos altos directivos en 3 meses como caso de «ejecución dudosa» explícito (aquí, ponderada de +24,7 % a +10,9 %; sigue en Comprar).</w:t>
      </w:r>
      <w:r>
        <w:t xml:space="preserve"> </w:t>
      </w:r>
      <w:r>
        <w:t xml:space="preserve">3. La regla min(mecánico, guía + exceso) se confirma útil y poco agresiva: en MongoDB resta solo 2 pp porque la empresa guía muy por debajo de lo que hace.</w:t>
      </w:r>
    </w:p>
    <w:bookmarkEnd w:id="34"/>
    <w:bookmarkStart w:id="35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MongoDB, nota de resultados del 2T FY27 (1-sep-2026), 8-K ex. 99.1 (SEC EDGAR).</w:t>
      </w:r>
      <w:r>
        <w:t xml:space="preserve"> </w:t>
      </w:r>
      <w:r>
        <w:t xml:space="preserve">[2] MongoDB, notas de resultados del 1T FY27 (28-may-2026), 4T FY26 (2-mar-2026), 3T FY26 (1-dic-2025) y 2T FY26 (26-ago-2025), 8-K ex. 99.1 (SEC EDGAR): guías trimestrales y anuales.</w:t>
      </w:r>
      <w:r>
        <w:t xml:space="preserve"> </w:t>
      </w:r>
      <w:r>
        <w:t xml:space="preserve">[3] MongoDB, 8-K del 28-sep-2026 (salida del CEO, consejero delegado interino, guía reafirmada) y del 29-sep-2026 (Investor Day; 1.000 M USD más de recompra).</w:t>
      </w:r>
      <w:r>
        <w:t xml:space="preserve"> </w:t>
      </w:r>
      <w:r>
        <w:t xml:space="preserve">[4] Investor Day del 29-sep-2026: Yahoo Finance («MongoDB unveils AI products, raises long-term targets amid CEO transition»), BofA vía Yahoo, transcripción de StockAnalysis, CoreValue Research.</w:t>
      </w:r>
      <w:r>
        <w:t xml:space="preserve"> </w:t>
      </w:r>
      <w:r>
        <w:t xml:space="preserve">[5] Yahoo Finance chart API (MDB y ^NDX) y Nasdaq.com (histórico): cierre de 373,07 USD el 13-oct-2026 en las dos; medias y subidas calculadas.</w:t>
      </w:r>
      <w:r>
        <w:t xml:space="preserve"> </w:t>
      </w:r>
      <w:r>
        <w:t xml:space="preserve">[6] SEC EDGAR, formularios 4, 144 y 13G de MongoDB (jun-oct 2026).</w:t>
      </w:r>
      <w:r>
        <w:t xml:space="preserve"> </w:t>
      </w:r>
      <w:r>
        <w:t xml:space="preserve">[7] MarketBeat, previsiones de analistas de MDB (14-oct-2026).</w:t>
      </w:r>
      <w:r>
        <w:t xml:space="preserve"> </w:t>
      </w:r>
      <w:r>
        <w:t xml:space="preserve">[8] TipRanks, «MongoDB stock swung widely today, October 13»; Investing.com, «Why is MongoDB stock rallying today?».</w:t>
      </w:r>
      <w:r>
        <w:t xml:space="preserve"> </w:t>
      </w:r>
      <w:r>
        <w:t xml:space="preserve">[9] StockTwits, flujo de mensajes de $MDB (9-14 oct-2026).</w:t>
      </w:r>
      <w:r>
        <w:t xml:space="preserve"> </w:t>
      </w:r>
      <w:r>
        <w:t xml:space="preserve">[10] Quartz y Finviz (2-sep-2026); Motley Fool, transcripción de la llamada del 2T FY27; TIKR (mar-2026); Diginomica, Blocks and Files y Constellation Research (sep-2026).</w:t>
      </w:r>
      <w:r>
        <w:t xml:space="preserve"> </w:t>
      </w:r>
      <w:r>
        <w:t xml:space="preserve">[11] MongoDB, 10-Q del 2T FY27 y SEC XBRL companyfacts (CIK 1441816).</w:t>
      </w:r>
      <w:r>
        <w:t xml:space="preserve"> </w:t>
      </w:r>
      <w:r>
        <w:t xml:space="preserve">[12] Cálculo propio de EV, múltiplos de hoy, mínimo de 12 meses, mediana y mínimo de 3 años y DCF inverso.</w:t>
      </w:r>
      <w:r>
        <w:t xml:space="preserve"> </w:t>
      </w:r>
      <w:r>
        <w:t xml:space="preserve">[13] Citi Global TMT Conference (9-sep-2026), transcripción en Investing.com; VentureBeat, «6 data predictions for 2026»; DEV Community y blogs técnicos de 2026 sobre Postgres frente a MongoDB.</w:t>
      </w:r>
      <w:r>
        <w:t xml:space="preserve"> </w:t>
      </w:r>
      <w:r>
        <w:t xml:space="preserve">[14]</w:t>
      </w:r>
      <w:r>
        <w:t xml:space="preserve"> </w:t>
      </w:r>
      <w:r>
        <w:rPr>
          <w:bCs/>
          <w:b/>
        </w:rPr>
        <w:t xml:space="preserve">De memoria o de terceros, sin verificar en esta sesión</w:t>
      </w:r>
      <w:r>
        <w:t xml:space="preserve">: tamaño del mercado de bases de datos (IDC/Gartner); múltiplos de Elastic y ServiceNow (este, de un mensaje de StockTwits); Snowflake y Datadog salen de los informes growth del repo del 14-oct.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2026-10-14T21:44:26Z</dcterms:created>
  <dcterms:modified xsi:type="dcterms:W3CDTF">2026-10-14T21:44:26Z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