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natera-ntra-análisis-growth-14-oct-2026"/>
    <w:p>
      <w:pPr>
        <w:pStyle w:val="Heading1"/>
      </w:pPr>
      <w:r>
        <w:t xml:space="preserve">Natera (NTRA): análisis growth, 14-oct-2026</w:t>
      </w:r>
    </w:p>
    <w:p>
      <w:pPr>
        <w:pStyle w:val="FirstParagraph"/>
      </w:pPr>
      <w:r>
        <w:rPr>
          <w:bCs/>
          <w:b/>
        </w:rPr>
        <w:t xml:space="preserve">Señal (método v7, vigente): Comprar (convicción baja)</w:t>
      </w:r>
      <w:r>
        <w:t xml:space="preserve"> </w:t>
      </w:r>
      <w:r>
        <w:t xml:space="preserve">· Puntuación 74,7/100 · Señales de cambio de tendencia 6/8 · EV/beneficio bruto 27,3x</w:t>
      </w:r>
      <w:r>
        <w:t xml:space="preserve"> </w:t>
      </w:r>
      <w:r>
        <w:t xml:space="preserve">Precio 395,66 USD (cierre del 13-oct; 400,32 USD intradía el 14-oct a las 16:40 UTC) · Objetivo 12 m 498,1 USD (ponderada +25,9 %, base +29,3 %, bajista −41,2 %, alcista +86,1 %) · Compra hasta 474,4 USD</w:t>
      </w:r>
      <w:r>
        <w:t xml:space="preserve"> </w:t>
      </w:r>
      <w:r>
        <w:rPr>
          <w:bCs/>
          <w:b/>
        </w:rPr>
        <w:t xml:space="preserve">Con la candidata v9 (la recomendación mientras se decide si se adopta): Comprar (convicción baja)</w:t>
      </w:r>
      <w:r>
        <w:t xml:space="preserve"> </w:t>
      </w:r>
      <w:r>
        <w:t xml:space="preserve">· Objetivo 482,0 USD (ponderada +21,8 %, base +25,1 %, bajista −42,3 %, alcista +79,2 %) · Compra hasta 459,1 USD</w:t>
      </w:r>
      <w:r>
        <w:t xml:space="preserve"> </w:t>
      </w:r>
      <w:r>
        <w:t xml:space="preserve">Peso orientativo: 3,5 % por la regla, pero</w:t>
      </w:r>
      <w:r>
        <w:t xml:space="preserve"> </w:t>
      </w:r>
      <w:r>
        <w:rPr>
          <w:bCs/>
          <w:b/>
        </w:rPr>
        <w:t xml:space="preserve">hoy no entra</w:t>
      </w:r>
      <w:r>
        <w:t xml:space="preserve">: el bolsillo growth está lleno (~20 %) y la liquidez libre es casi nula. No sustituye a ninguna y queda como</w:t>
      </w:r>
      <w:r>
        <w:t xml:space="preserve"> </w:t>
      </w:r>
      <w:r>
        <w:rPr>
          <w:bCs/>
          <w:b/>
        </w:rPr>
        <w:t xml:space="preserve">suplente growth n.º 3</w:t>
      </w:r>
      <w:r>
        <w:t xml:space="preserve">, detrás de Samsara y Datadog (sección 13) · Por qué: cumple todos los requisitos de compra</w:t>
      </w:r>
    </w:p>
    <w:p>
      <w:pPr>
        <w:pStyle w:val="BlockText"/>
      </w:pPr>
      <w:r>
        <w:rPr>
          <w:bCs/>
          <w:b/>
        </w:rPr>
        <w:t xml:space="preserve">Calculado con el método v7</w:t>
      </w:r>
      <w:r>
        <w:t xml:space="preserve"> </w:t>
      </w:r>
      <w:r>
        <w:t xml:space="preserve">(</w:t>
      </w:r>
      <w:r>
        <w:rPr>
          <w:rStyle w:val="VerbatimChar"/>
        </w:rPr>
        <w:t xml:space="preserve">verticales/growth/metodo.md</w:t>
      </w:r>
      <w:r>
        <w:t xml:space="preserve">)</w:t>
      </w:r>
      <w:r>
        <w:t xml:space="preserve"> </w:t>
      </w:r>
      <w:r>
        <w:rPr>
          <w:bCs/>
          <w:b/>
        </w:rPr>
        <w:t xml:space="preserve">por EV/ventas de los 12 meses siguientes</w:t>
      </w:r>
      <w:r>
        <w:t xml:space="preserve">, porque Natera todavía pierde dinero en GAAP y su FCF es solo del 3 %. Las ventas del año objetivo salen de la regla mecánica: 5.039 M USD en el base, partiendo de un crecimiento del 39,4 %. Los múltiplos son 9,8x / 16,3x / 21,2x, el de hoy (17,8x) rebajado un 8 % por la desaceleración.</w:t>
      </w:r>
    </w:p>
    <w:p>
      <w:pPr>
        <w:pStyle w:val="BlockText"/>
      </w:pPr>
      <w:r>
        <w:rPr>
          <w:bCs/>
          <w:b/>
        </w:rPr>
        <w:t xml:space="preserve">v9</w:t>
      </w:r>
      <w:r>
        <w:t xml:space="preserve"> </w:t>
      </w:r>
      <w:r>
        <w:t xml:space="preserve">parte de mín(39,4 %; guía 13,7 % + exceso habitual 23,3 pp = 37,0 %) =</w:t>
      </w:r>
      <w:r>
        <w:t xml:space="preserve"> </w:t>
      </w:r>
      <w:r>
        <w:rPr>
          <w:bCs/>
          <w:b/>
        </w:rPr>
        <w:t xml:space="preserve">37,0 %</w:t>
      </w:r>
      <w:r>
        <w:t xml:space="preserve">. El recorte es pequeño porque Natera guía muy por debajo de lo que luego hace: su guía no incluye los cobros extra de pruebas antiguas (</w:t>
      </w:r>
      <w:r>
        <w:rPr>
          <w:iCs/>
          <w:i/>
        </w:rPr>
        <w:t xml:space="preserve">true-ups</w:t>
      </w:r>
      <w:r>
        <w:t xml:space="preserve">). Ponderada +21,8 %.</w:t>
      </w:r>
    </w:p>
    <w:p>
      <w:pPr>
        <w:pStyle w:val="BlockText"/>
      </w:pPr>
      <w:r>
        <w:rPr>
          <w:bCs/>
          <w:b/>
        </w:rPr>
        <w:t xml:space="preserve">Al precio actual</w:t>
      </w:r>
      <w:r>
        <w:t xml:space="preserve"> </w:t>
      </w:r>
      <w:r>
        <w:t xml:space="preserve">(400,32 USD, 16:40 UTC) sigue en Comprar (baja): ponderada +24,4 % con v7 y +20,4 % con v9.</w:t>
      </w:r>
    </w:p>
    <w:p>
      <w:pPr>
        <w:pStyle w:val="BlockText"/>
      </w:pPr>
      <w:r>
        <w:rPr>
          <w:bCs/>
          <w:b/>
        </w:rPr>
        <w:t xml:space="preserve">El punto débil</w:t>
      </w:r>
      <w:r>
        <w:t xml:space="preserve">: con las ventas del consenso (+25 % anual), la ponderada baja a</w:t>
      </w:r>
      <w:r>
        <w:t xml:space="preserve"> </w:t>
      </w:r>
      <w:r>
        <w:rPr>
          <w:bCs/>
          <w:b/>
        </w:rPr>
        <w:t xml:space="preserve">≈ +8 %</w:t>
      </w:r>
      <w:r>
        <w:t xml:space="preserve"> </w:t>
      </w:r>
      <w:r>
        <w:t xml:space="preserve">(sección 9). Con un bajista que cayera hasta su mediana de 3 años (7,9x), saldría Mantener.</w:t>
      </w:r>
    </w:p>
    <w:bookmarkStart w:id="20" w:name="la-tesis-en-cinco-líneas"/>
    <w:p>
      <w:pPr>
        <w:pStyle w:val="Heading2"/>
      </w:pPr>
      <w:r>
        <w:t xml:space="preserve">1. La tesis en cinco líneas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Qué es.</w:t>
      </w:r>
      <w:r>
        <w:t xml:space="preserve"> </w:t>
      </w:r>
      <w:r>
        <w:t xml:space="preserve">Natera es el líder de los análisis genéticos en sangre (ADN libre circulante). Hace cribado prenatal (Panorama, Fetal Focus), seguimiento de trasplantes (Prospera) y, sobre todo,</w:t>
      </w:r>
      <w:r>
        <w:t xml:space="preserve"> </w:t>
      </w:r>
      <w:r>
        <w:rPr>
          <w:bCs/>
          <w:b/>
        </w:rPr>
        <w:t xml:space="preserve">Signatera</w:t>
      </w:r>
      <w:r>
        <w:t xml:space="preserve">, el test de enfermedad residual mínima (MRD) que detecta si un cáncer operado vuelve meses antes que la imagen. Factura</w:t>
      </w:r>
      <w:r>
        <w:t xml:space="preserve"> </w:t>
      </w:r>
      <w:r>
        <w:rPr>
          <w:bCs/>
          <w:b/>
        </w:rPr>
        <w:t xml:space="preserve">2.707 M USD en 12 meses (+37,8 %)</w:t>
      </w:r>
      <w:r>
        <w:t xml:space="preserve">, con un margen bruto del 65 % y un FCF ligeramente positivo.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Signatera es el motor.</w:t>
      </w:r>
      <w:r>
        <w:t xml:space="preserve"> </w:t>
      </w:r>
      <w:r>
        <w:t xml:space="preserve">Sus unidades clínicas crecen un</w:t>
      </w:r>
      <w:r>
        <w:t xml:space="preserve"> </w:t>
      </w:r>
      <w:r>
        <w:rPr>
          <w:bCs/>
          <w:b/>
        </w:rPr>
        <w:t xml:space="preserve">+56 %</w:t>
      </w:r>
      <w:r>
        <w:t xml:space="preserve"> </w:t>
      </w:r>
      <w:r>
        <w:t xml:space="preserve">y su precio medio sube con cada nueva cobertura de Medicare y de las aseguradoras (1.275 USD hoy; el objetivo es 2.000). En 2026 ha conseguido la aprobación de la FDA como diagnóstico complementario, la aprobación en Japón y la recomendación NCCN de categoría 1 en vejiga. Además, tiene siete indicaciones pendientes en MolDX.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 acción ya lo ha descontado en buena parte.</w:t>
      </w:r>
      <w:r>
        <w:t xml:space="preserve"> </w:t>
      </w:r>
      <w:r>
        <w:t xml:space="preserve">Ha subido un</w:t>
      </w:r>
      <w:r>
        <w:t xml:space="preserve"> </w:t>
      </w:r>
      <w:r>
        <w:rPr>
          <w:bCs/>
          <w:b/>
        </w:rPr>
        <w:t xml:space="preserve">+127 % en 12 meses</w:t>
      </w:r>
      <w:r>
        <w:t xml:space="preserve"> </w:t>
      </w:r>
      <w:r>
        <w:t xml:space="preserve">y el EV/ventas NTM ha pasado de ~8,5x a</w:t>
      </w:r>
      <w:r>
        <w:t xml:space="preserve"> </w:t>
      </w:r>
      <w:r>
        <w:rPr>
          <w:bCs/>
          <w:b/>
        </w:rPr>
        <w:t xml:space="preserve">17,8x</w:t>
      </w:r>
      <w:r>
        <w:t xml:space="preserve">, 2,3 veces su mediana de 3 años. El DCF inverso exige ~29 % de crecimiento anual durante 10 años.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 regla dice Comprar porque el crecimiento sigue siendo enorme y no frena.</w:t>
      </w:r>
      <w:r>
        <w:t xml:space="preserve"> </w:t>
      </w:r>
      <w:r>
        <w:t xml:space="preserve">El último trimestre creció un +37,7 %, 1,3 pp por encima de la media. La empresa bate su guía por más de 20 puntos cada año, y el EV/beneficio bruto (27x) queda por debajo del tope de 35x.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Conclusión: Comprar (baja) según la regla, pero no sustituye a ninguna growth.</w:t>
      </w:r>
      <w:r>
        <w:t xml:space="preserve"> </w:t>
      </w:r>
      <w:r>
        <w:t xml:space="preserve">La ventaja sobre Shopify o Snowflake (+4-6 pp) depende de que mantenga el ~37 % de crecimiento, la convicción es baja y el sentimiento ya roza la euforia. Queda como</w:t>
      </w:r>
      <w:r>
        <w:t xml:space="preserve"> </w:t>
      </w:r>
      <w:r>
        <w:rPr>
          <w:bCs/>
          <w:b/>
        </w:rPr>
        <w:t xml:space="preserve">suplente n.º 3</w:t>
      </w:r>
      <w:r>
        <w:t xml:space="preserve">. Tiene a favor que diversifica fuera del software y que el riesgo de IA es bajo.</w:t>
      </w:r>
    </w:p>
    <w:bookmarkEnd w:id="20"/>
    <w:bookmarkStart w:id="21" w:name="negocio-y-tecnología"/>
    <w:p>
      <w:pPr>
        <w:pStyle w:val="Heading2"/>
      </w:pPr>
      <w:r>
        <w:t xml:space="preserve">2. Negocio y tecnología</w:t>
      </w:r>
    </w:p>
    <w:p>
      <w:pPr>
        <w:pStyle w:val="FirstParagraph"/>
      </w:pPr>
      <w:r>
        <w:t xml:space="preserve">Natera tiene laboratorios propios certificados CLIA/CAP en Austin, San Carlos y Boulder (este último, de Foresight). Vende servicios de análisis, no aparatos, y cobra a Medicare (16,5 % de las ventas del 2T26), a aseguradoras privadas y a pacientes [1][3]. Tiene tres líneas: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Salud de la mujer</w:t>
      </w:r>
      <w:r>
        <w:t xml:space="preserve"> </w:t>
      </w:r>
      <w:r>
        <w:t xml:space="preserve">(la mayor por volumen): Panorama (cribado prenatal no invasivo), Fetal Focus (cribado de 21 genes desde enero de 2026), Horizon (portadores) y Spectrum (preimplantacional). Gana cuota con la nueva versión de Panorama [5].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Oncología</w:t>
      </w:r>
      <w:r>
        <w:t xml:space="preserve">: Signatera (MRD a medida del tumor de cada paciente), Signatera Genome y Latitude (sin tejido). 296.700 pruebas en el 2T26, un +57 % [1]. Con Foresight (dic-2025, 424,5 M en acciones y contingente) suma la tecnología de variantes en fase, ultrasensible y fuerte en linfomas [3].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Salud de órganos</w:t>
      </w:r>
      <w:r>
        <w:t xml:space="preserve">: Prospera (rechazo de trasplantes). Medicare amplió su cobertura con la LCD L40060, en vigor desde el 30-ago-2026 [11].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Detección precoz</w:t>
      </w:r>
      <w:r>
        <w:t xml:space="preserve"> </w:t>
      </w:r>
      <w:r>
        <w:t xml:space="preserve">(sin ventas todavía): ~100 M de I+D en 2026, ensayo FIND casi lleno y designación de dispositivo innovador de la FDA para el test multicáncer (9-oct) [5][19].</w:t>
      </w:r>
    </w:p>
    <w:p>
      <w:pPr>
        <w:pStyle w:val="FirstParagraph"/>
      </w:pPr>
      <w:r>
        <w:rPr>
          <w:bCs/>
          <w:b/>
        </w:rPr>
        <w:t xml:space="preserve">Tecnología 4/5.</w:t>
      </w:r>
      <w:r>
        <w:t xml:space="preserve"> </w:t>
      </w:r>
      <w:r>
        <w:t xml:space="preserve">El método a medida del tumor de Signatera es el estándar de facto en MRD, con más de 400 publicaciones, más de 70 estudios prospectivos y cobertura de Medicare en colorrectal, mama, vejiga y pulmón. Además, sus patentes han sacado del mercado a RaDaR, de NeoGenomics, por orden judicial [20]. No es un 5 por tres razones:</w:t>
      </w:r>
      <w:r>
        <w:t xml:space="preserve"> </w:t>
      </w:r>
      <w:r>
        <w:t xml:space="preserve">- dos patentes de MRD fueron invalidadas en 2025 frente a NeoGenomics y las de CareDx en trasplantes, y estas últimas están en apelación;</w:t>
      </w:r>
      <w:r>
        <w:t xml:space="preserve"> </w:t>
      </w:r>
      <w:r>
        <w:t xml:space="preserve">- hay alternativas creíbles: Guardant Reveal (sin tejido), Personalis/Tempus, Haystack de Quest y RaDaR ST;</w:t>
      </w:r>
      <w:r>
        <w:t xml:space="preserve"> </w:t>
      </w:r>
      <w:r>
        <w:t xml:space="preserve">- la secuenciación se abarata para todos.</w:t>
      </w:r>
    </w:p>
    <w:p>
      <w:pPr>
        <w:pStyle w:val="BodyText"/>
      </w:pPr>
      <w:r>
        <w:rPr>
          <w:bCs/>
          <w:b/>
        </w:rPr>
        <w:t xml:space="preserve">Posición 5/5.</w:t>
      </w:r>
      <w:r>
        <w:t xml:space="preserve"> </w:t>
      </w:r>
      <w:r>
        <w:t xml:space="preserve">Es el líder claro en MRD y en cribado prenatal en EE. UU., y gana cuota en ambos: unidades de MRD +56 % y récord de aumento trimestral (+34.000) [5].</w:t>
      </w:r>
    </w:p>
    <w:p>
      <w:pPr>
        <w:pStyle w:val="BodyText"/>
      </w:pPr>
      <w:r>
        <w:rPr>
          <w:bCs/>
          <w:b/>
        </w:rPr>
        <w:t xml:space="preserve">Riesgo IA: bajo, por cuatro razones.</w:t>
      </w:r>
      <w:r>
        <w:t xml:space="preserve"> </w:t>
      </w:r>
      <w:r>
        <w:t xml:space="preserve">1. El producto es un análisis de laboratorio físico, con muestras, secuenciación y validación clínica.</w:t>
      </w:r>
      <w:r>
        <w:t xml:space="preserve"> </w:t>
      </w:r>
      <w:r>
        <w:t xml:space="preserve">2. Su foso son los datos clínicos prospectivos, las coberturas de Medicare (MolDX), las guías NCCN y las autorizaciones de la FDA y de Japón, que tardan años y que un modelo de IA no replica.</w:t>
      </w:r>
      <w:r>
        <w:t xml:space="preserve"> </w:t>
      </w:r>
      <w:r>
        <w:t xml:space="preserve">3. La IA le ayuda: la usa en la gestión de cobros, y eso ha aumentado los</w:t>
      </w:r>
      <w:r>
        <w:t xml:space="preserve"> </w:t>
      </w:r>
      <w:r>
        <w:rPr>
          <w:iCs/>
          <w:i/>
        </w:rPr>
        <w:t xml:space="preserve">true-ups</w:t>
      </w:r>
      <w:r>
        <w:t xml:space="preserve"> </w:t>
      </w:r>
      <w:r>
        <w:t xml:space="preserve">[3].</w:t>
      </w:r>
      <w:r>
        <w:t xml:space="preserve"> </w:t>
      </w:r>
      <w:r>
        <w:t xml:space="preserve">4. La IA en imagen médica o en análisis de datos genómicos complementa el ADN circulante; no lo sustituye.</w:t>
      </w:r>
    </w:p>
    <w:p>
      <w:pPr>
        <w:pStyle w:val="BodyText"/>
      </w:pPr>
      <w:r>
        <w:t xml:space="preserve">El riesgo residual es que la IA abarate el diseño de paneles a medida para los rivales. Eso ya lo hace la competencia sin IA.</w:t>
      </w:r>
    </w:p>
    <w:bookmarkEnd w:id="21"/>
    <w:bookmarkStart w:id="22" w:name="crecimiento"/>
    <w:p>
      <w:pPr>
        <w:pStyle w:val="Heading2"/>
      </w:pPr>
      <w:r>
        <w:t xml:space="preserve">3. Crecimiento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Trimestre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 interanual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bruto GAAP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operativo GAAP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True-ups (M 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3T24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439,8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−8,9 %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4T24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476,1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501,8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−15,8 %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546,6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−20,2 %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592,2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~64,9 %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−16,5 %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 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665,5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~−3,4 %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696,6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−13,4 %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752,75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−10,1 %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52,3</w:t>
            </w:r>
          </w:p>
        </w:tc>
      </w:tr>
    </w:tbl>
    <w:p>
      <w:pPr>
        <w:pStyle w:val="BodyText"/>
      </w:pPr>
      <w:r>
        <w:t xml:space="preserve">Fuentes: [1][2][3][4][9][10]. El</w:t>
      </w:r>
      <w:r>
        <w:t xml:space="preserve"> </w:t>
      </w:r>
      <w:r>
        <w:rPr>
          <w:iCs/>
          <w:i/>
        </w:rPr>
        <w:t xml:space="preserve">true-up</w:t>
      </w:r>
      <w:r>
        <w:t xml:space="preserve"> </w:t>
      </w:r>
      <w:r>
        <w:t xml:space="preserve">del 1T25 sale de restar los 45,3 M del 2T25 a los 79,6 M del 1S25. El margen operativo del 4T25 se obtiene por diferencia 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Ejercicio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Primera guía (punto medio)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Exceso sobre la primera guía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1.082,6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1.696,9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1.335 (+23 %)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+33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2.306,1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1.910 (+12,6 %)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+23,3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 (guía)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2.850-2.910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+24-26 %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2.660 (+15 %)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 +8 % por encima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Últimos 12 meses</w:t>
      </w:r>
      <w:r>
        <w:t xml:space="preserve">: 2.707,1 M,</w:t>
      </w:r>
      <w:r>
        <w:t xml:space="preserve"> </w:t>
      </w:r>
      <w:r>
        <w:rPr>
          <w:bCs/>
          <w:b/>
        </w:rPr>
        <w:t xml:space="preserve">+37,8 %</w:t>
      </w:r>
      <w:r>
        <w:t xml:space="preserve">.</w:t>
      </w:r>
      <w:r>
        <w:t xml:space="preserve"> </w:t>
      </w:r>
      <w:r>
        <w:rPr>
          <w:bCs/>
          <w:b/>
        </w:rPr>
        <w:t xml:space="preserve">CAGR propio a 2 años: 41,1 %</w:t>
      </w:r>
      <w:r>
        <w:t xml:space="preserve">.</w:t>
      </w:r>
      <w:r>
        <w:t xml:space="preserve"> </w:t>
      </w:r>
      <w:r>
        <w:rPr>
          <w:bCs/>
          <w:b/>
        </w:rPr>
        <w:t xml:space="preserve">Aceleración: +1,3 pp</w:t>
      </w:r>
      <w:r>
        <w:t xml:space="preserve"> </w:t>
      </w:r>
      <w:r>
        <w:t xml:space="preserve">(2T26 +37,7 % frente a una media de +36,4 %).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Volumen frente a precio</w:t>
      </w:r>
      <w:r>
        <w:t xml:space="preserve">: pruebas totales +22,4 % y precio medio +13,3 % en el 2T26. Sube por la mezcla (más Signatera) y por la cobertura [3].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True-ups</w:t>
      </w:r>
      <w:r>
        <w:t xml:space="preserve">: son cobros por encima de lo que se había devengado de pruebas antiguas. Ya sumaban 113 M en el 1S26 (el 7,8 % de las ventas), y la empresa los atribuye a mejores cobros y a más cobertura. Se repiten cada trimestre, pero no se pueden prever.</w:t>
      </w:r>
      <w:r>
        <w:t xml:space="preserve"> </w:t>
      </w:r>
      <w:r>
        <w:rPr>
          <w:bCs/>
          <w:b/>
        </w:rPr>
        <w:t xml:space="preserve">Sin ellos, el 2T26 crece ~40 %</w:t>
      </w:r>
      <w:r>
        <w:t xml:space="preserve"> </w:t>
      </w:r>
      <w:r>
        <w:t xml:space="preserve">[3][5].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Guía (v9)</w:t>
      </w:r>
      <w:r>
        <w:t xml:space="preserve">: el 2S26 implícito es +13,7 %. La guía excluye los</w:t>
      </w:r>
      <w:r>
        <w:t xml:space="preserve"> </w:t>
      </w:r>
      <w:r>
        <w:rPr>
          <w:iCs/>
          <w:i/>
        </w:rPr>
        <w:t xml:space="preserve">true-ups</w:t>
      </w:r>
      <w:r>
        <w:t xml:space="preserve"> </w:t>
      </w:r>
      <w:r>
        <w:t xml:space="preserve">y equivale a ~+31 % sin ellos. Como solo hay guía anual, el exceso es real 2025 − primera guía 2025 =</w:t>
      </w:r>
      <w:r>
        <w:t xml:space="preserve"> </w:t>
      </w:r>
      <w:r>
        <w:rPr>
          <w:bCs/>
          <w:b/>
        </w:rPr>
        <w:t xml:space="preserve">+23,3 pp</w:t>
      </w:r>
      <w:r>
        <w:t xml:space="preserve">, así que v9 parte del 37,0 %.</w:t>
      </w:r>
      <w:r>
        <w:t xml:space="preserve"> </w:t>
      </w:r>
      <w:r>
        <w:rPr>
          <w:bCs/>
          <w:b/>
        </w:rPr>
        <w:t xml:space="preserve">Retención</w:t>
      </w:r>
      <w:r>
        <w:t xml:space="preserve">: no aplica (null).</w:t>
      </w:r>
    </w:p>
    <w:bookmarkEnd w:id="22"/>
    <w:bookmarkStart w:id="23" w:name="mercado-y-competencia"/>
    <w:p>
      <w:pPr>
        <w:pStyle w:val="Heading2"/>
      </w:pPr>
      <w:r>
        <w:t xml:space="preserve">4. Mercado y competencia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Mercado alcanzable 2028: ~25.000 M USD</w:t>
      </w:r>
      <w:r>
        <w:t xml:space="preserve"> </w:t>
      </w:r>
      <w:r>
        <w:t xml:space="preserve">(estimación propia, sin contar la detección precoz):</w:t>
      </w:r>
    </w:p>
    <w:p>
      <w:pPr>
        <w:numPr>
          <w:ilvl w:val="1"/>
          <w:numId w:val="1005"/>
        </w:numPr>
        <w:pStyle w:val="Compact"/>
      </w:pPr>
      <w:r>
        <w:t xml:space="preserve">MRD de tumores sólidos: ~14.000-16.000 M, con ~1,5-2 M de pacientes al año en EE. UU. y fuera, y varias pruebas de seguimiento a 1.300-2.000 USD;</w:t>
      </w:r>
    </w:p>
    <w:p>
      <w:pPr>
        <w:numPr>
          <w:ilvl w:val="1"/>
          <w:numId w:val="1005"/>
        </w:numPr>
        <w:pStyle w:val="Compact"/>
      </w:pPr>
      <w:r>
        <w:t xml:space="preserve">cribado prenatal y de portadores: ~6.000 M;</w:t>
      </w:r>
    </w:p>
    <w:p>
      <w:pPr>
        <w:numPr>
          <w:ilvl w:val="1"/>
          <w:numId w:val="1005"/>
        </w:numPr>
        <w:pStyle w:val="Compact"/>
      </w:pPr>
      <w:r>
        <w:t xml:space="preserve">trasplantes: ~2.000 M.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Penetración</w:t>
      </w:r>
      <w:r>
        <w:t xml:space="preserve">: 2.707 / 25.000 =</w:t>
      </w:r>
      <w:r>
        <w:t xml:space="preserve"> </w:t>
      </w:r>
      <w:r>
        <w:rPr>
          <w:bCs/>
          <w:b/>
        </w:rPr>
        <w:t xml:space="preserve">10,8 %</w:t>
      </w:r>
      <w:r>
        <w:t xml:space="preserve">. La empresa dice que en MRD está en «un dígito medio» [5].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Rivales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Guardant Health</w:t>
      </w:r>
      <w:r>
        <w:t xml:space="preserve">: Reveal, sin tejido, y Shield en cribado de colon. EV de 22.470 M, ~14x ventas adelantadas, FCF −241 M [21].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Exact Sciences</w:t>
      </w:r>
      <w:r>
        <w:t xml:space="preserve">: Oncodetect; ahora es de Abbott, que la compró por ~23.000 M de EV, ~7x ventas.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CareDx</w:t>
      </w:r>
      <w:r>
        <w:t xml:space="preserve">: líder rival en trasplantes, 6,6x [21].</w:t>
      </w:r>
    </w:p>
    <w:p>
      <w:pPr>
        <w:numPr>
          <w:ilvl w:val="1"/>
          <w:numId w:val="1006"/>
        </w:numPr>
        <w:pStyle w:val="Compact"/>
      </w:pPr>
      <w:r>
        <w:t xml:space="preserve">Personalis/Tempus, Quest (Haystack), NeoGenomics (RaDaR ST), BillionToOne y Labcorp en prenatal.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Por qué gana</w:t>
      </w:r>
      <w:r>
        <w:t xml:space="preserve">: tiene más datos prospectivos que nadie, está en las guías y en la cobertura de Medicare y tiene un canal comercial en oncología y obstetricia. Además, defiende sus patentes.</w:t>
      </w:r>
      <w:r>
        <w:t xml:space="preserve"> </w:t>
      </w:r>
      <w:r>
        <w:rPr>
          <w:bCs/>
          <w:b/>
        </w:rPr>
        <w:t xml:space="preserve">Por qué podría perder</w:t>
      </w:r>
      <w:r>
        <w:t xml:space="preserve">: Abbott, con Exact Sciences, es un rival con mucho más balance; un test sin tejido «suficientemente bueno» abarataría el mercado; y la presión de precio de los pagadores puede crecer.</w:t>
      </w:r>
    </w:p>
    <w:bookmarkEnd w:id="23"/>
    <w:bookmarkStart w:id="24" w:name="cambio-de-tendencia"/>
    <w:p>
      <w:pPr>
        <w:pStyle w:val="Heading2"/>
      </w:pPr>
      <w:r>
        <w:t xml:space="preserve">5. Cambio de tendencia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Sí/No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Revisiones al alza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Guía 2026 subida dos veces (punto medio de 2.660 a 2.880 M). Consenso 2026 de 2.900 M. Subidas de objetivo esta semana: Barclays de 340 a 475, Morgan Stanley de 355 a 435, TD Cowen de 340 a 480 y JPMorgan de 360 a 460.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[1][9][12]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sobre la media de 200 sesiones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395,66 frente a 255,0 USD, y la media sube (216,4 → 238,8 → 255,0 en 60 sesiones).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Fuerza relativa a 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+96,0 % desde el 13-abr, frente a +20,4 % del QQQ y +11,2 % del XBI.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Mejora del múltiplo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EV/ventas NTM de ~8,5x (14-oct-2025) a 17,8x (+110 %). Ya está a 2,3 veces su mediana de 3 años, así que con la señal con tope de v8 no contaría.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[6][13]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Inflexión operativa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operativo GAAP del 2T26 de −10,1 % frente a −20,2 % (+10 pp). FCF positivo desde 2024.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[1][4]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Sentimiento mejorando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 está en zona eufórica: +127 %, máximos históricos, 23 analistas en «Strong Buy» con un objetivo medio (399 USD) igual al precio, Cramer aconseja esperar a un recorte y Seeking Alpha avisa del máximo histórico.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[12][14][15][16]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Compras de directivos o institucionales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abr-oct no hay compras, solo ventas: el fundador M. Rabinowitz ~265.000 acciones y otros diez directivos. Los 13G son de tenedores ya presentes.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[17][18]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Catalizador nuevo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del 3T (principios de noviembre), siete solicitudes a MolDX, lanzamiento en Japón, Prospera con más cobertura, designación de la FDA para el test multicáncer.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[5][11][19]</w:t>
            </w:r>
          </w:p>
        </w:tc>
      </w:tr>
    </w:tbl>
    <w:p>
      <w:pPr>
        <w:pStyle w:val="BodyText"/>
      </w:pPr>
      <w:r>
        <w:rPr>
          <w:bCs/>
          <w:b/>
        </w:rPr>
        <w:t xml:space="preserve">Euforia según la regla: no.</w:t>
      </w:r>
      <w:r>
        <w:t xml:space="preserve"> </w:t>
      </w:r>
      <w:r>
        <w:t xml:space="preserve">Sube un +127 %, por debajo del +150 % del veto, con 27,3x de EV/beneficio bruto. Está cerca: con un +150 % (≈ 435 USD, su máximo intradía) y EV/beneficio bruto &gt; 20, la regla</w:t>
      </w:r>
      <w:r>
        <w:t xml:space="preserve"> </w:t>
      </w:r>
      <w:r>
        <w:rPr>
          <w:bCs/>
          <w:b/>
        </w:rPr>
        <w:t xml:space="preserve">vetaría la compra</w:t>
      </w:r>
      <w:r>
        <w:t xml:space="preserve">. Las señales 2, 3 y 4 son la misma subida vista de tres maneras.</w:t>
      </w:r>
    </w:p>
    <w:bookmarkEnd w:id="24"/>
    <w:bookmarkStart w:id="25" w:name="X6a3ced9ea5ed5bb9ac58f5e7c1bb09ad4718b77"/>
    <w:p>
      <w:pPr>
        <w:pStyle w:val="Heading2"/>
      </w:pPr>
      <w:r>
        <w:t xml:space="preserve">6. Economía unitaria y camino a la rentabilidad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Margen bruto</w:t>
      </w:r>
      <w:r>
        <w:t xml:space="preserve">:</w:t>
      </w:r>
      <w:r>
        <w:t xml:space="preserve"> </w:t>
      </w:r>
      <w:r>
        <w:rPr>
          <w:bCs/>
          <w:b/>
        </w:rPr>
        <w:t xml:space="preserve">65,2 %</w:t>
      </w:r>
      <w:r>
        <w:t xml:space="preserve"> </w:t>
      </w:r>
      <w:r>
        <w:t xml:space="preserve">en 12 meses, frente al 60,3 % de 2024. La guía es del 64-66 % y el objetivo a largo plazo, más del 70 %. Los</w:t>
      </w:r>
      <w:r>
        <w:t xml:space="preserve"> </w:t>
      </w:r>
      <w:r>
        <w:rPr>
          <w:iCs/>
          <w:i/>
        </w:rPr>
        <w:t xml:space="preserve">true-ups</w:t>
      </w:r>
      <w:r>
        <w:t xml:space="preserve"> </w:t>
      </w:r>
      <w:r>
        <w:t xml:space="preserve">aportan ~2-3 pp; sin ellos, ~62-63 %. Los lanzamientos nuevos (Fetal Focus, Latitude, Signatera Genome) aún encarecen el coste, y la empresa espera abaratarlos en 12-18 meses [1][5].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FCF de 12 meses</w:t>
      </w:r>
      <w:r>
        <w:t xml:space="preserve">: 228,3 de flujo operativo − 144,1 de inversiones =</w:t>
      </w:r>
      <w:r>
        <w:t xml:space="preserve"> </w:t>
      </w:r>
      <w:r>
        <w:rPr>
          <w:bCs/>
          <w:b/>
        </w:rPr>
        <w:t xml:space="preserve">84,2 M (3,1 %)</w:t>
      </w:r>
      <w:r>
        <w:t xml:space="preserve">. Un año antes era de 104,6 M; ha bajado por la inversión en laboratorios. Por eso la rentabilidad se califica de «FCF positivo» y no de «creciente» [4].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Regla del 40</w:t>
      </w:r>
      <w:r>
        <w:t xml:space="preserve">: 37,8 + 3,1 =</w:t>
      </w:r>
      <w:r>
        <w:t xml:space="preserve"> </w:t>
      </w:r>
      <w:r>
        <w:rPr>
          <w:bCs/>
          <w:b/>
        </w:rPr>
        <w:t xml:space="preserve">40,9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Apalancamiento operativo</w:t>
      </w:r>
      <w:r>
        <w:t xml:space="preserve">: la pérdida GAAP (−292 M en 12 meses) es casi toda</w:t>
      </w:r>
      <w:r>
        <w:t xml:space="preserve"> </w:t>
      </w:r>
      <w:r>
        <w:rPr>
          <w:bCs/>
          <w:b/>
        </w:rPr>
        <w:t xml:space="preserve">pagos en acciones (381 M)</w:t>
      </w:r>
      <w:r>
        <w:t xml:space="preserve">. Sin ellos, el resultado operativo ya es positivo. Aun así, la empresa reinvierte en I+D lo que gana: 800-900 M en 2026, +40 %, con ensayos clínicos y detección precoz. Los analistas no esperan beneficio GAAP hasta ~2028 [12][14].</w:t>
      </w:r>
    </w:p>
    <w:bookmarkEnd w:id="25"/>
    <w:bookmarkStart w:id="26" w:name="caja-deuda-y-dilución"/>
    <w:p>
      <w:pPr>
        <w:pStyle w:val="Heading2"/>
      </w:pPr>
      <w:r>
        <w:t xml:space="preserve">7. Caja, deuda y dilución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Caja</w:t>
      </w:r>
      <w:r>
        <w:t xml:space="preserve">:</w:t>
      </w:r>
      <w:r>
        <w:t xml:space="preserve"> </w:t>
      </w:r>
      <w:r>
        <w:rPr>
          <w:bCs/>
          <w:b/>
        </w:rPr>
        <w:t xml:space="preserve">1.091,5 M</w:t>
      </w:r>
      <w:r>
        <w:t xml:space="preserve">, de los que 150 M están pignorados.</w:t>
      </w:r>
      <w:r>
        <w:t xml:space="preserve"> </w:t>
      </w:r>
      <w:r>
        <w:rPr>
          <w:bCs/>
          <w:b/>
        </w:rPr>
        <w:t xml:space="preserve">Deuda financiera</w:t>
      </w:r>
      <w:r>
        <w:t xml:space="preserve">: 80,3 M, de una línea de UBS a SOFR + 50 pb [1].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Litigios tratados como deuda por prudencia: 349,5 M.</w:t>
      </w:r>
      <w:r>
        <w:t xml:space="preserve"> </w:t>
      </w:r>
      <w:r>
        <w:t xml:space="preserve">La condena de Guardant por publicidad engañosa es de 292,5 M (sentencia final de junio de 2026, recurrida al Noveno Circuito) y la de Ravgen por patentes, de 57,0 M (recurrida). La provisión contable es de solo 33,2 M [3].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Pista</w:t>
      </w:r>
      <w:r>
        <w:t xml:space="preserve">: FCF positivo, sin quema.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Dilución</w:t>
      </w:r>
      <w:r>
        <w:t xml:space="preserve">:</w:t>
      </w:r>
      <w:r>
        <w:t xml:space="preserve"> </w:t>
      </w:r>
      <w:r>
        <w:rPr>
          <w:bCs/>
          <w:b/>
        </w:rPr>
        <w:t xml:space="preserve">+5,1 %</w:t>
      </w:r>
      <w:r>
        <w:t xml:space="preserve"> </w:t>
      </w:r>
      <w:r>
        <w:t xml:space="preserve">en 12 meses (≈ 0,9 pp por Foresight). Hay 7,3 M de RSU/PSU y 3,1 M de opciones pendientes, que ya van en las 154,1 M de acciones del cálculo [3].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Pagos en acciones</w:t>
      </w:r>
      <w:r>
        <w:t xml:space="preserve">:</w:t>
      </w:r>
      <w:r>
        <w:t xml:space="preserve"> </w:t>
      </w:r>
      <w:r>
        <w:rPr>
          <w:bCs/>
          <w:b/>
        </w:rPr>
        <w:t xml:space="preserve">14,1 % de las ventas</w:t>
      </w:r>
      <w:r>
        <w:t xml:space="preserve"> </w:t>
      </w:r>
      <w:r>
        <w:t xml:space="preserve">(381 M), al borde de la línea roja del 15 %. Es el coste oculto del caso: diluye ~4-5 % al año.</w:t>
      </w:r>
    </w:p>
    <w:bookmarkEnd w:id="26"/>
    <w:bookmarkStart w:id="27" w:name="dirección-y-ejecución"/>
    <w:p>
      <w:pPr>
        <w:pStyle w:val="Heading2"/>
      </w:pPr>
      <w:r>
        <w:t xml:space="preserve">8. Dirección y ejecución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Historial (5/5)</w:t>
      </w:r>
      <w:r>
        <w:t xml:space="preserve">: bate y sube la guía siempre. 2024 terminó un 27 % por encima de la primera guía, 2025 un 21 % por encima y 2026 lleva dos subidas. También ha cumplido el compromiso de caja positiva [9].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Dirección (3/5)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A favor</w:t>
      </w:r>
      <w:r>
        <w:t xml:space="preserve">: los fundadores siguen en el puesto (Matthew Rabinowitz, presidente ejecutivo; Jonathan Sheena) y el consejero delegado, Steve Chapman, está desde 2019. Ha asignado bien el capital: Foresight se pagó en acciones y la inversión va al laboratorio y a los ensayos.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En contra</w:t>
      </w:r>
      <w:r>
        <w:t xml:space="preserve">:</w:t>
      </w:r>
    </w:p>
    <w:p>
      <w:pPr>
        <w:numPr>
          <w:ilvl w:val="2"/>
          <w:numId w:val="1011"/>
        </w:numPr>
        <w:pStyle w:val="Compact"/>
      </w:pPr>
      <w:r>
        <w:t xml:space="preserve">venden de forma constante, sin comprar;</w:t>
      </w:r>
    </w:p>
    <w:p>
      <w:pPr>
        <w:numPr>
          <w:ilvl w:val="2"/>
          <w:numId w:val="1011"/>
        </w:numPr>
        <w:pStyle w:val="Compact"/>
      </w:pPr>
      <w:r>
        <w:t xml:space="preserve">los pagos en acciones son altos;</w:t>
      </w:r>
    </w:p>
    <w:p>
      <w:pPr>
        <w:numPr>
          <w:ilvl w:val="2"/>
          <w:numId w:val="1011"/>
        </w:numPr>
        <w:pStyle w:val="Compact"/>
      </w:pPr>
      <w:r>
        <w:t xml:space="preserve">tiene una cultura comercial y litigiosa agresiva: condena de 292,5 M frente a Guardant por publicidad engañosa, acuerdos de 8,25 y 9,5 M por el marketing y la facturación de Panorama, una demanda colectiva de accionistas certificada (que nace del informe corto de 2022, de memoria [22]) y demandas derivadas [3][16][20].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Patentes</w:t>
      </w:r>
      <w:r>
        <w:t xml:space="preserve">: gana unas (ArcherDX/Invitae, con una regalía del 30 %; RaDaR fuera del mercado) y pierde otras (CareDx y NeoGenomics invalidaron patentes suyas; Ravgen la condenó). El saldo es favorable en MRD, pero cuesta dinero y no es seguro.</w:t>
      </w:r>
    </w:p>
    <w:bookmarkEnd w:id="27"/>
    <w:bookmarkStart w:id="28" w:name="valoración"/>
    <w:p>
      <w:pPr>
        <w:pStyle w:val="Heading2"/>
      </w:pPr>
      <w:r>
        <w:t xml:space="preserve">9. Valoración</w:t>
      </w:r>
    </w:p>
    <w:p>
      <w:pPr>
        <w:pStyle w:val="FirstParagraph"/>
      </w:pPr>
      <w:r>
        <w:rPr>
          <w:bCs/>
          <w:b/>
        </w:rPr>
        <w:t xml:space="preserve">Métrica: EV/ventas NTM.</w:t>
      </w:r>
      <w:r>
        <w:t xml:space="preserve"> </w:t>
      </w:r>
      <w:r>
        <w:t xml:space="preserve">El EV de hoy es 395,66 × 154,1 + 429,8 − 1.091,5 =</w:t>
      </w:r>
      <w:r>
        <w:t xml:space="preserve"> </w:t>
      </w:r>
      <w:r>
        <w:rPr>
          <w:bCs/>
          <w:b/>
        </w:rPr>
        <w:t xml:space="preserve">60.308 M</w:t>
      </w:r>
      <w:r>
        <w:t xml:space="preserve">. Con unas ventas NTM de ~3.384 M (+25 %), sale</w:t>
      </w:r>
      <w:r>
        <w:t xml:space="preserve"> </w:t>
      </w:r>
      <w:r>
        <w:rPr>
          <w:bCs/>
          <w:b/>
        </w:rPr>
        <w:t xml:space="preserve">17,8x EV/ventas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27,3x EV/beneficio bruto</w:t>
      </w:r>
      <w:r>
        <w:t xml:space="preserve"> </w:t>
      </w:r>
      <w:r>
        <w:t xml:space="preserve">[13].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Mediana de 3 años: ~7,9x; mínimo ~3,1x</w:t>
      </w:r>
      <w:r>
        <w:t xml:space="preserve"> </w:t>
      </w:r>
      <w:r>
        <w:t xml:space="preserve">(sep-2023).</w:t>
      </w:r>
      <w:r>
        <w:t xml:space="preserve"> </w:t>
      </w:r>
      <w:r>
        <w:rPr>
          <w:bCs/>
          <w:b/>
        </w:rPr>
        <w:t xml:space="preserve">Comparables: ~7x</w:t>
      </w:r>
      <w:r>
        <w:t xml:space="preserve"> </w:t>
      </w:r>
      <w:r>
        <w:t xml:space="preserve">(CareDx 6,6x y Exact Sciences en la compra ~7x; Guardant ~14x) [13][21].</w:t>
      </w:r>
    </w:p>
    <w:p>
      <w:pPr>
        <w:numPr>
          <w:ilvl w:val="0"/>
          <w:numId w:val="1012"/>
        </w:numPr>
        <w:pStyle w:val="Compact"/>
      </w:pPr>
      <w:r>
        <w:t xml:space="preserve">El alcista lo fija el techo de base × 1,3 (21,2x): la historia y los comparables quedan muy por debajo.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Desaceleración</w:t>
      </w:r>
      <w:r>
        <w:t xml:space="preserve">: del 25 % NTM al 21 % del año objetivo, lo que da un factor de 0,92.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v7: ventas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Múltiplo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12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v9: ventas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Bajista (25 %)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9,8x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−41,2 %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−42,3 %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(50 %)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511,7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+29,3 %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+25,1 %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Alcista (25 %)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736,3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+86,1 %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709,2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+79,2 %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Ponderado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498,1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+25,9 %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482,0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+21,8 %</w:t>
            </w:r>
          </w:p>
        </w:tc>
      </w:tr>
    </w:tbl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Supuestos</w:t>
      </w:r>
      <w:r>
        <w:t xml:space="preserve">: acciones dentro de 12 meses 162,0 M (+5,1 %), caja de 1.091,5 M y deuda de 429,8 M.</w:t>
      </w:r>
      <w:r>
        <w:t xml:space="preserve"> </w:t>
      </w:r>
      <w:r>
        <w:rPr>
          <w:bCs/>
          <w:b/>
        </w:rPr>
        <w:t xml:space="preserve">Asimetría</w:t>
      </w:r>
      <w:r>
        <w:t xml:space="preserve"> </w:t>
      </w:r>
      <w:r>
        <w:t xml:space="preserve">2,1 en v7 y 1,9 en v9.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Precio máximo</w:t>
      </w:r>
      <w:r>
        <w:t xml:space="preserve">:</w:t>
      </w:r>
      <w:r>
        <w:t xml:space="preserve"> </w:t>
      </w:r>
      <w:r>
        <w:rPr>
          <w:bCs/>
          <w:b/>
        </w:rPr>
        <w:t xml:space="preserve">474,4 USD con v7 y 459,1 USD con v9</w:t>
      </w:r>
      <w:r>
        <w:t xml:space="preserve">, los que dan una ponderada del 5 %. El tope de 35x de beneficio bruto llega en ~510 USD.</w:t>
      </w:r>
    </w:p>
    <w:p>
      <w:pPr>
        <w:pStyle w:val="FirstParagraph"/>
      </w:pPr>
      <w:r>
        <w:rPr>
          <w:bCs/>
          <w:b/>
        </w:rPr>
        <w:t xml:space="preserve">Contrastes: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Supuesto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Ponderada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 hasta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Regla v9 (la recomendación)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+21,8 %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Comprar (baja)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459,1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 con probabilidades 35/50/15 (sentimiento que puede girar)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Comprar (baja)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413,3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Ventas de consenso (+25 % anual: 3.700 / 4.250 / 4.700 M), mismos múltiplos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+8 %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Comprar por poco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407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Bajista a su mediana de 3 años (7,9x) en vez de base × 0,6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Mantener (bajista ≈ −52 %)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Consenso</w:t>
      </w:r>
      <w:r>
        <w:t xml:space="preserve">: objetivo medio de</w:t>
      </w:r>
      <w:r>
        <w:t xml:space="preserve"> </w:t>
      </w:r>
      <w:r>
        <w:rPr>
          <w:bCs/>
          <w:b/>
        </w:rPr>
        <w:t xml:space="preserve">399,34 USD</w:t>
      </w:r>
      <w:r>
        <w:t xml:space="preserve"> </w:t>
      </w:r>
      <w:r>
        <w:t xml:space="preserve">(23 analistas, entre 280 y 490), igual al precio. Ventas del año siguiente: 3.520 M [12].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DCF inverso</w:t>
      </w:r>
      <w:r>
        <w:t xml:space="preserve">: con un WACC del 10 %, un margen FCF que sube del 3 % al 25 % en 10 años y un crecimiento terminal del 3 %, el precio descuenta</w:t>
      </w:r>
      <w:r>
        <w:t xml:space="preserve"> </w:t>
      </w:r>
      <w:r>
        <w:rPr>
          <w:bCs/>
          <w:b/>
        </w:rPr>
        <w:t xml:space="preserve">~29 % de crecimiento anual durante 10 años</w:t>
      </w:r>
      <w:r>
        <w:t xml:space="preserve"> </w:t>
      </w:r>
      <w:r>
        <w:t xml:space="preserve">(26 % con un margen del 30 %; 32 % con uno del 20 %). Es mucho: exige que Signatera sea el estándar en casi todos los cánceres operados y que el precio medio se acerque a 2.000 USD.</w:t>
      </w:r>
    </w:p>
    <w:p>
      <w:pPr>
        <w:pStyle w:val="FirstParagraph"/>
      </w:pPr>
      <w:r>
        <w:rPr>
          <w:bCs/>
          <w:b/>
        </w:rPr>
        <w:t xml:space="preserve">Lectura</w:t>
      </w:r>
      <w:r>
        <w:t xml:space="preserve">: la regla compra porque proyecta el crecimiento actual (37-39 %) y mantiene el múltiplo de hoy. Si Natera sigue batiendo la guía como en 2024-2025, gana. Si crece «solo» al ritmo del consenso, la rentabilidad cae a un dígito. Y si el múltiplo vuelve hacia su historia, pierde un 40-50 %.</w:t>
      </w:r>
    </w:p>
    <w:bookmarkEnd w:id="28"/>
    <w:bookmarkStart w:id="29" w:name="foros-y-sentimiento"/>
    <w:p>
      <w:pPr>
        <w:pStyle w:val="Heading2"/>
      </w:pPr>
      <w:r>
        <w:t xml:space="preserve">10. Foros y sentimiento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Analistas y prensa</w:t>
      </w:r>
      <w:r>
        <w:t xml:space="preserve">: unanimidad compradora. El 14-oct hay 23 analistas en «Strong Buy» y cuatro subidas de objetivo en una semana, hasta 460-480 USD. Druckenmiller la tiene como primera posición (16,6 % de su 13F) [12][16]. Las voces de cautela vienen de Cramer («esperar a un recorte», 3-sep), Seeking Alpha («máximo histórico, una advertencia», Hold) y Barchart (la guía «por fin alinearía expectativas») [14][15].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StockTwits</w:t>
      </w:r>
      <w:r>
        <w:t xml:space="preserve"> </w:t>
      </w:r>
      <w:r>
        <w:t xml:space="preserve">(14-oct): 5 alcistas y 0 bajistas en 30 mensajes. El tono es «so strong» y «el sector genómico va bien», con varios usuarios que esperan un recorte a 330-350 o incluso 160-180 USD. Se habla mucho de los acuerdos de 8,25 y 9,5 M con pacientes por Panorama [16].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Reddit</w:t>
      </w:r>
      <w:r>
        <w:t xml:space="preserve">: la API respondió «Blocked».</w:t>
      </w:r>
      <w:r>
        <w:t xml:space="preserve"> </w:t>
      </w:r>
      <w:r>
        <w:rPr>
          <w:bCs/>
          <w:b/>
        </w:rPr>
        <w:t xml:space="preserve">Laguna.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En castellano</w:t>
      </w:r>
      <w:r>
        <w:t xml:space="preserve">: no se encontraron hilos de Rankia ni de Investing ES sobre NTRA; solo resúmenes de analistas.</w:t>
      </w:r>
      <w:r>
        <w:t xml:space="preserve"> </w:t>
      </w:r>
      <w:r>
        <w:rPr>
          <w:bCs/>
          <w:b/>
        </w:rPr>
        <w:t xml:space="preserve">Laguna.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Contraste con los datos</w:t>
      </w:r>
      <w:r>
        <w:t xml:space="preserve">: el entusiasmo se apoya en datos reales (+38 % de ventas, guía subida dos veces, aprobaciones y coberturas). Pero el precio ya iguala al objetivo medio y el sector entero ha subido (Guardant +163 % y CareDx +350 % en 12 meses). El 6-oct, todo el sector cayó un ~6-9 % en un día, una muestra de lo rápido que puede girar.</w:t>
      </w:r>
    </w:p>
    <w:bookmarkEnd w:id="29"/>
    <w:bookmarkStart w:id="30" w:name="riesgos-y-qué-rompería-la-tesis"/>
    <w:p>
      <w:pPr>
        <w:pStyle w:val="Heading2"/>
      </w:pPr>
      <w:r>
        <w:t xml:space="preserve">11. Riesgos y qué rompería la tesis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Valoración y sentimiento</w:t>
      </w:r>
      <w:r>
        <w:t xml:space="preserve">: este es el riesgo principal. 17,8x ventas, más del doble de su historia, tras un +127 %. Un trimestre «solo bueno» puede costar un 20-30 %.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Reembolso</w:t>
      </w:r>
      <w:r>
        <w:t xml:space="preserve">: Medicare es el 16,5 % de las ventas y fija el precio de referencia (MolDX). Un recorte, un retraso en las siete solicitudes o un cambio en la ley de pruebas de laboratorio (PAMA) pesaría en el precio medio. Los</w:t>
      </w:r>
      <w:r>
        <w:t xml:space="preserve"> </w:t>
      </w:r>
      <w:r>
        <w:rPr>
          <w:iCs/>
          <w:i/>
        </w:rPr>
        <w:t xml:space="preserve">true-ups</w:t>
      </w:r>
      <w:r>
        <w:t xml:space="preserve"> </w:t>
      </w:r>
      <w:r>
        <w:t xml:space="preserve">(7,8 % de las ventas del 1S26) pueden desaparecer.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Litigios</w:t>
      </w:r>
      <w:r>
        <w:t xml:space="preserve">: hay 349,5 M de condenas recurridas (Guardant y Ravgen), demandas colectivas de pacientes y de accionistas y patentes de MRD invalidadas. Si en la apelación perdiera la protección de Signatera frente a los rivales, la tesis de foso se debilitaría.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Competencia</w:t>
      </w:r>
      <w:r>
        <w:t xml:space="preserve">: Abbott (con Exact Sciences), Guardant y Quest tienen tests sin tejido y balances grandes. El precio por prueba podría caer.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Dilución</w:t>
      </w:r>
      <w:r>
        <w:t xml:space="preserve">: los pagos en acciones son el 14 % de las ventas, con +5 % de acciones al año.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IA</w:t>
      </w:r>
      <w:r>
        <w:t xml:space="preserve">: riesgo bajo (sección 2).</w:t>
      </w:r>
    </w:p>
    <w:p>
      <w:pPr>
        <w:pStyle w:val="FirstParagraph"/>
      </w:pPr>
      <w:r>
        <w:rPr>
          <w:bCs/>
          <w:b/>
        </w:rPr>
        <w:t xml:space="preserve">Señales de venta concretas</w:t>
      </w:r>
      <w:r>
        <w:t xml:space="preserve">:</w:t>
      </w:r>
      <w:r>
        <w:t xml:space="preserve"> </w:t>
      </w:r>
      <w:r>
        <w:t xml:space="preserve">- Crecimiento sin</w:t>
      </w:r>
      <w:r>
        <w:t xml:space="preserve"> </w:t>
      </w:r>
      <w:r>
        <w:rPr>
          <w:iCs/>
          <w:i/>
        </w:rPr>
        <w:t xml:space="preserve">true-ups</w:t>
      </w:r>
      <w:r>
        <w:t xml:space="preserve"> </w:t>
      </w:r>
      <w:r>
        <w:t xml:space="preserve">por debajo del 20 % dos trimestres seguidos.</w:t>
      </w:r>
      <w:r>
        <w:t xml:space="preserve"> </w:t>
      </w:r>
      <w:r>
        <w:t xml:space="preserve">- Unidades de Signatera por debajo del +30 % interanual.</w:t>
      </w:r>
      <w:r>
        <w:t xml:space="preserve"> </w:t>
      </w:r>
      <w:r>
        <w:t xml:space="preserve">- MolDX deniega indicaciones clave.</w:t>
      </w:r>
      <w:r>
        <w:t xml:space="preserve"> </w:t>
      </w:r>
      <w:r>
        <w:t xml:space="preserve">- La apelación de Guardant se pierde y aparecen nuevas demandas por publicidad.</w:t>
      </w:r>
      <w:r>
        <w:t xml:space="preserve"> </w:t>
      </w:r>
      <w:r>
        <w:t xml:space="preserve">- Recorte de la guía anual.</w:t>
      </w:r>
      <w:r>
        <w:t xml:space="preserve"> </w:t>
      </w:r>
      <w:r>
        <w:t xml:space="preserve">- Vuelta a quemar caja.</w:t>
      </w:r>
    </w:p>
    <w:p>
      <w:pPr>
        <w:pStyle w:val="BodyText"/>
      </w:pPr>
      <w:r>
        <w:t xml:space="preserve">Hoy no hay tesis rota.</w:t>
      </w:r>
    </w:p>
    <w:bookmarkEnd w:id="30"/>
    <w:bookmarkStart w:id="31" w:name="catalizadores-con-fecha"/>
    <w:p>
      <w:pPr>
        <w:pStyle w:val="Heading2"/>
      </w:pPr>
      <w:r>
        <w:t xml:space="preserve">12. Catalizadores con fecha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Principios de noviembre de 2026</w:t>
      </w:r>
      <w:r>
        <w:t xml:space="preserve">: resultados del 3T. La fecha no está confirmada; en 2025 fue el 6-nov.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4T26</w:t>
      </w:r>
      <w:r>
        <w:t xml:space="preserve">: lanzamiento de Signatera en Japón, pendiente del precio de reembolso [5].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12-18 meses</w:t>
      </w:r>
      <w:r>
        <w:t xml:space="preserve">: decisiones de MolDX sobre siete indicaciones de Signatera. La empresa estima +150-200 USD de precio medio y «un par de cientos de millones» de ventas, sobre todo en 2027 [5].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Febrero de 2027</w:t>
      </w:r>
      <w:r>
        <w:t xml:space="preserve">: guía de 2027. Como siempre parte baja, el mercado mirará el exceso.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2026-2027</w:t>
      </w:r>
      <w:r>
        <w:t xml:space="preserve">: datos del ensayo FIND de detección precoz y la decisión de apelación de Guardant en el Noveno Circuito, sin fecha.</w:t>
      </w:r>
    </w:p>
    <w:bookmarkEnd w:id="31"/>
    <w:bookmarkStart w:id="32" w:name="encaje-en-cartera"/>
    <w:p>
      <w:pPr>
        <w:pStyle w:val="Heading2"/>
      </w:pPr>
      <w:r>
        <w:t xml:space="preserve">13. Encaje en cartera</w:t>
      </w:r>
    </w:p>
    <w:p>
      <w:pPr>
        <w:pStyle w:val="FirstParagraph"/>
      </w:pPr>
      <w:r>
        <w:rPr>
          <w:bCs/>
          <w:b/>
        </w:rPr>
        <w:t xml:space="preserve">Cartera value vigente</w:t>
      </w:r>
      <w:r>
        <w:t xml:space="preserve"> </w:t>
      </w:r>
      <w:r>
        <w:t xml:space="preserve">(</w:t>
      </w:r>
      <w:r>
        <w:rPr>
          <w:rStyle w:val="VerbatimChar"/>
        </w:rPr>
        <w:t xml:space="preserve">MEMORIA.md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informes/cartera-2026-10-14-15h.md</w:t>
      </w:r>
      <w:r>
        <w:t xml:space="preserve">): no tiene diagnóstico genético. En salud están Daiichi Sankyo y Zoetis, esta última en venta. Para la regla value no es una compra: pierde dinero en GAAP y no pasa ROIC − WACC ≥ 5. Aquí se mira solo como growth.</w:t>
      </w:r>
    </w:p>
    <w:p>
      <w:pPr>
        <w:pStyle w:val="BodyText"/>
      </w:pPr>
      <w:r>
        <w:rPr>
          <w:bCs/>
          <w:b/>
        </w:rPr>
        <w:t xml:space="preserve">Bolsillo growth</w:t>
      </w:r>
      <w:r>
        <w:t xml:space="preserve"> </w:t>
      </w:r>
      <w:r>
        <w:t xml:space="preserve">(</w:t>
      </w:r>
      <w:r>
        <w:rPr>
          <w:rStyle w:val="VerbatimChar"/>
        </w:rPr>
        <w:t xml:space="preserve">informes-growth/cartera-growth.md</w:t>
      </w:r>
      <w:r>
        <w:t xml:space="preserve">):</w:t>
      </w:r>
      <w:r>
        <w:t xml:space="preserve"> </w:t>
      </w:r>
      <w:r>
        <w:rPr>
          <w:bCs/>
          <w:b/>
        </w:rPr>
        <w:t xml:space="preserve">lleno (~20 %)</w:t>
      </w:r>
      <w:r>
        <w:t xml:space="preserve"> </w:t>
      </w:r>
      <w:r>
        <w:t xml:space="preserve">con Nu, argenx, Shopify, Axon y Snowflake, y una</w:t>
      </w:r>
      <w:r>
        <w:t xml:space="preserve"> </w:t>
      </w:r>
      <w:r>
        <w:rPr>
          <w:bCs/>
          <w:b/>
        </w:rPr>
        <w:t xml:space="preserve">liquidez libre casi nula</w:t>
      </w:r>
      <w:r>
        <w:t xml:space="preserve">. Solo cabe sustituir.</w:t>
      </w:r>
    </w:p>
    <w:p>
      <w:pPr>
        <w:pStyle w:val="BodyText"/>
      </w:pPr>
      <w:r>
        <w:rPr>
          <w:bCs/>
          <w:b/>
        </w:rPr>
        <w:t xml:space="preserve">Precio actual antes de proponer nada</w:t>
      </w:r>
      <w:r>
        <w:t xml:space="preserve"> </w:t>
      </w:r>
      <w:r>
        <w:t xml:space="preserve">(regla del 14-oct):</w:t>
      </w:r>
      <w:r>
        <w:t xml:space="preserve"> </w:t>
      </w:r>
      <w:r>
        <w:rPr>
          <w:bCs/>
          <w:b/>
        </w:rPr>
        <w:t xml:space="preserve">400,32 USD a las 16:40 UTC</w:t>
      </w:r>
      <w:r>
        <w:t xml:space="preserve">. Está por debajo de los límites (474,4 v7 y 459,1 v9), con una ponderada de +24,4 % (v7) / +20,4 % (v9). La señal sigue en Comprar (baja).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Ponderada al precio 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Convicción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EV/beneficio bruto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 propio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Shopify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+17,7 %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Múltiplo; consumo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Snowflake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+16,1 %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27,8x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Múltiplo; la IA hoy juega a favor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Natera (v9)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+20,4 %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−43 %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27,3x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+127 % en 12 m; litigios; depende de seguir al ~37 %</w:t>
            </w:r>
          </w:p>
        </w:tc>
      </w:tr>
    </w:tbl>
    <w:p>
      <w:pPr>
        <w:pStyle w:val="BodyText"/>
      </w:pPr>
      <w:r>
        <w:rPr>
          <w:bCs/>
          <w:b/>
        </w:rPr>
        <w:t xml:space="preserve">¿Sustituye a Shopify o a Snowflake? No.</w:t>
      </w:r>
      <w:r>
        <w:t xml:space="preserve"> </w:t>
      </w:r>
      <w:r>
        <w:t xml:space="preserve">Natera gana por 3-4 pp de ponderada, con el mismo bajista y el mismo múltiplo de beneficio bruto. No basta, por cuatro razones:</w:t>
      </w:r>
      <w:r>
        <w:t xml:space="preserve"> </w:t>
      </w:r>
      <w:r>
        <w:t xml:space="preserve">1. La ventaja depende de la proyección mecánica: con las ventas del consenso cae a ≈ +8 %, por debajo de ambas.</w:t>
      </w:r>
      <w:r>
        <w:t xml:space="preserve"> </w:t>
      </w:r>
      <w:r>
        <w:t xml:space="preserve">2. La convicción es baja frente a media.</w:t>
      </w:r>
      <w:r>
        <w:t xml:space="preserve"> </w:t>
      </w:r>
      <w:r>
        <w:t xml:space="preserve">3. El sentimiento está a un paso del veto por euforia (un +150 % estaría en ~435 USD) y el precio ya iguala al objetivo medio de los analistas.</w:t>
      </w:r>
      <w:r>
        <w:t xml:space="preserve"> </w:t>
      </w:r>
      <w:r>
        <w:t xml:space="preserve">4. Shopify y Snowflake acaban de entrar con un motivo de negocio que se mantiene. Rotar ahora, con los resultados del 3T de las tres a 3-7 semanas, sería pagar el coste de cambiar por una diferencia que la incertidumbre se come.</w:t>
      </w:r>
    </w:p>
    <w:p>
      <w:pPr>
        <w:pStyle w:val="BodyText"/>
      </w:pPr>
      <w:r>
        <w:t xml:space="preserve">A favor de Natera: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diversifica</w:t>
      </w:r>
      <w:r>
        <w:t xml:space="preserve"> </w:t>
      </w:r>
      <w:r>
        <w:t xml:space="preserve">fuera del software y del consumo digital;</w:t>
      </w:r>
      <w:r>
        <w:t xml:space="preserve"> </w:t>
      </w:r>
      <w:r>
        <w:t xml:space="preserve">- su</w:t>
      </w:r>
      <w:r>
        <w:t xml:space="preserve"> </w:t>
      </w:r>
      <w:r>
        <w:rPr>
          <w:bCs/>
          <w:b/>
        </w:rPr>
        <w:t xml:space="preserve">riesgo de IA es bajo</w:t>
      </w:r>
      <w:r>
        <w:t xml:space="preserve">, que es lo que preocupa al usuario.</w:t>
      </w:r>
    </w:p>
    <w:p>
      <w:pPr>
        <w:pStyle w:val="BodyText"/>
      </w:pPr>
      <w:r>
        <w:t xml:space="preserve">Por eso entra en la lista y no al final.</w:t>
      </w:r>
    </w:p>
    <w:p>
      <w:pPr>
        <w:pStyle w:val="BodyText"/>
      </w:pPr>
      <w:r>
        <w:rPr>
          <w:bCs/>
          <w:b/>
        </w:rPr>
        <w:t xml:space="preserve">Puesto: suplente growth n.º 3</w:t>
      </w:r>
      <w:r>
        <w:t xml:space="preserve">, detrás de Samsara (media, +20,4 %) y Datadog (media), y por delante de MongoDB (consejero delegado interino), Zscaler, Dexcom, Toast y Wise.</w:t>
      </w:r>
    </w:p>
    <w:p>
      <w:pPr>
        <w:pStyle w:val="BodyText"/>
      </w:pPr>
      <w:r>
        <w:rPr>
          <w:bCs/>
          <w:b/>
        </w:rPr>
        <w:t xml:space="preserve">Cuándo entraría</w:t>
      </w:r>
      <w:r>
        <w:t xml:space="preserve">: sustituiría a</w:t>
      </w:r>
      <w:r>
        <w:t xml:space="preserve"> </w:t>
      </w:r>
      <w:r>
        <w:rPr>
          <w:bCs/>
          <w:b/>
        </w:rPr>
        <w:t xml:space="preserve">Snowflake o a Shopify</w:t>
      </w:r>
      <w:r>
        <w:t xml:space="preserve"> </w:t>
      </w:r>
      <w:r>
        <w:t xml:space="preserve">si su 3T rompe la tesis, siempre que el 3T de Natera (principios de noviembre) confirme dos cosas:</w:t>
      </w:r>
      <w:r>
        <w:t xml:space="preserve"> </w:t>
      </w:r>
      <w:r>
        <w:t xml:space="preserve">- ventas de al menos ~780 M (≥ 30 % sin</w:t>
      </w:r>
      <w:r>
        <w:t xml:space="preserve"> </w:t>
      </w:r>
      <w:r>
        <w:rPr>
          <w:iCs/>
          <w:i/>
        </w:rPr>
        <w:t xml:space="preserve">true-ups</w:t>
      </w:r>
      <w:r>
        <w:t xml:space="preserve">);</w:t>
      </w:r>
      <w:r>
        <w:t xml:space="preserve"> </w:t>
      </w:r>
      <w:r>
        <w:t xml:space="preserve">- unidades de Signatera por encima del +40 %.</w:t>
      </w:r>
    </w:p>
    <w:p>
      <w:pPr>
        <w:pStyle w:val="BodyText"/>
      </w:pPr>
      <w:r>
        <w:t xml:space="preserve">Además, el precio tendría que seguir por debajo de la subida de +150 % que activa el veto (~435 USD). Entonces entraría con un 3,5 %, unas 3 acciones) en dos tramos, con un</w:t>
      </w:r>
      <w:r>
        <w:t xml:space="preserve"> </w:t>
      </w:r>
      <w:r>
        <w:rPr>
          <w:bCs/>
          <w:b/>
        </w:rPr>
        <w:t xml:space="preserve">límite prudente de ~407 USD</w:t>
      </w:r>
      <w:r>
        <w:t xml:space="preserve">: el que da una ponderada del 5 % con las ventas del consenso, más exigente que los 459 USD de la regla. Lo ideal sería comprar en un recorte hacia 330-350 USD.</w:t>
      </w:r>
    </w:p>
    <w:bookmarkEnd w:id="32"/>
    <w:bookmarkStart w:id="33" w:name="puntuación"/>
    <w:p>
      <w:pPr>
        <w:pStyle w:val="Heading2"/>
      </w:pPr>
      <w:r>
        <w:t xml:space="preserve">14. Puntuación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Crecimiento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12 m +37,8 % (4/5), CAGR 2 años 41,1 % (5/5), aceleración +1,3 pp (3/5)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Mercado y 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Penetración 10,8 % (2/5), tecnología 4/5, posición 5/5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Cambio de tendencia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de 8 señales, sin euforia por la regla (por poco)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Economía unitaria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bruto 65,2 % (4/5), regla del 40 = 40,9 (3/5), FCF positivo (4/5)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 Caja y dilución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positivo (5/5), dilución +5,1 % (1/5)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 Ejecución y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5/5, dirección 3/5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74,7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Comprar (baja), v7 y v9: cumple todos los requisitos de compra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Propuestas de mejora del método</w:t>
      </w:r>
      <w:r>
        <w:t xml:space="preserve"> </w:t>
      </w:r>
      <w:r>
        <w:t xml:space="preserve">(sin tocar el código; para probar con el backtest):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Bajista con suelo histórico cuando el múltiplo está muy por encima de su historia.</w:t>
      </w:r>
      <w:r>
        <w:t xml:space="preserve"> </w:t>
      </w:r>
      <w:r>
        <w:t xml:space="preserve">Hoy el bajista es base × 0,6 (9,8x), y eso aún queda por encima de la mediana de 3 años (7,9x). Propuesta: si el múltiplo actual supera 2 veces la mediana de 3 años, que el bajista sea el menor entre base × 0,6 y esa mediana. Aquí, Natera pasaría a Mantener (bajista ≈ −52 %), que es justo el caso Zoom 2020 / Snowflake 2021 que el método quiere evitar. Encaja con la señal de múltiplo con tope de v8.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Exceso sobre la guía con más de un año.</w:t>
      </w:r>
      <w:r>
        <w:t xml:space="preserve"> </w:t>
      </w:r>
      <w:r>
        <w:t xml:space="preserve">Con una sola guía anual, el exceso (+23 pp) sale de 2025. Si se usara la media de los dos últimos años (+28 pp), v9 no recortaría nada. Propuesta: la media de 2 años, y nunca más que el crecimiento del último trimestre.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Ingresos de ejercicios anteriores</w:t>
      </w:r>
      <w:r>
        <w:t xml:space="preserve"> </w:t>
      </w:r>
      <w:r>
        <w:t xml:space="preserve">(</w:t>
      </w:r>
      <w:r>
        <w:rPr>
          <w:iCs/>
          <w:i/>
        </w:rPr>
        <w:t xml:space="preserve">true-ups</w:t>
      </w:r>
      <w:r>
        <w:t xml:space="preserve"> </w:t>
      </w:r>
      <w:r>
        <w:t xml:space="preserve">en laboratorios, recuperaciones en aseguradoras): un campo opcional para proyectar sin ellos y decir cuánto pesan (aquí, el 7,8 % de las ventas).</w:t>
      </w:r>
    </w:p>
    <w:bookmarkEnd w:id="33"/>
    <w:bookmarkStart w:id="34" w:name="fuentes"/>
    <w:p>
      <w:pPr>
        <w:pStyle w:val="Heading2"/>
      </w:pPr>
      <w:r>
        <w:t xml:space="preserve">Fuentes</w:t>
      </w:r>
    </w:p>
    <w:p>
      <w:pPr>
        <w:pStyle w:val="FirstParagraph"/>
      </w:pPr>
      <w:r>
        <w:t xml:space="preserve">[1] Natera, resultados del 2T 2026 (6-ago-2026), 8-K ex. 99.1, SEC (leído directamente).</w:t>
      </w:r>
      <w:r>
        <w:t xml:space="preserve"> </w:t>
      </w:r>
      <w:r>
        <w:t xml:space="preserve">[2] Natera, resultados del 1T 2026 (7-may-2026), 8-K ex. 99.1, SEC.</w:t>
      </w:r>
      <w:r>
        <w:t xml:space="preserve"> </w:t>
      </w:r>
      <w:r>
        <w:t xml:space="preserve">[3] Natera, 10-Q del 2T 2026 (7-ago-2026), SEC (leído directamente): litigios, Medicare, acciones, pagos en acciones, Foresight,</w:t>
      </w:r>
      <w:r>
        <w:t xml:space="preserve"> </w:t>
      </w:r>
      <w:r>
        <w:rPr>
          <w:iCs/>
          <w:i/>
        </w:rPr>
        <w:t xml:space="preserve">true-ups</w:t>
      </w:r>
      <w:r>
        <w:t xml:space="preserve">, flujo de caja.</w:t>
      </w:r>
      <w:r>
        <w:t xml:space="preserve"> </w:t>
      </w:r>
      <w:r>
        <w:t xml:space="preserve">[4] SEC XBRL companyfacts (CIK 1604821), 2023 a jun-2026.</w:t>
      </w:r>
      <w:r>
        <w:t xml:space="preserve"> </w:t>
      </w:r>
      <w:r>
        <w:t xml:space="preserve">[5] Resumen de la llamada del 2T 2026 (GuruFocus) y 360Dx.</w:t>
      </w:r>
      <w:r>
        <w:t xml:space="preserve"> </w:t>
      </w:r>
      <w:r>
        <w:t xml:space="preserve">[6] Yahoo Finance chart API (NTRA, QQQ, XBI, GH, CDNA, MYGN), diario a 2 y 5 años; intradía del 14-oct.</w:t>
      </w:r>
      <w:r>
        <w:t xml:space="preserve"> </w:t>
      </w:r>
      <w:r>
        <w:t xml:space="preserve">[7] Nasdaq.com, histórico de NTRA: cierre del 13-oct-2026 395,655 USD.</w:t>
      </w:r>
      <w:r>
        <w:t xml:space="preserve"> </w:t>
      </w:r>
      <w:r>
        <w:t xml:space="preserve">[8] StockAnalysis, estadísticas de NTRA (14-oct-2026).</w:t>
      </w:r>
      <w:r>
        <w:t xml:space="preserve"> </w:t>
      </w:r>
      <w:r>
        <w:t xml:space="preserve">[9] Natera, 8-K de resultados con las guías de 2024, 2025 y 2026 (feb-2024 a feb-2026), SEC.</w:t>
      </w:r>
      <w:r>
        <w:t xml:space="preserve"> </w:t>
      </w:r>
      <w:r>
        <w:t xml:space="preserve">[10] Natera, preliminares de 2025 (8-K del 12-ene-2026), SEC.</w:t>
      </w:r>
      <w:r>
        <w:t xml:space="preserve"> </w:t>
      </w:r>
      <w:r>
        <w:t xml:space="preserve">[11] Natera / Business Wire (16-jul-2026), LCD L40060 de MolDX (Prospera); RTTNews (sep-2026): FDA, Japón y NCCN.</w:t>
      </w:r>
      <w:r>
        <w:t xml:space="preserve"> </w:t>
      </w:r>
      <w:r>
        <w:t xml:space="preserve">[12] StockAnalysis, previsiones y cambios de precio objetivo de NTRA (14-oct-2026).</w:t>
      </w:r>
      <w:r>
        <w:t xml:space="preserve"> </w:t>
      </w:r>
      <w:r>
        <w:t xml:space="preserve">[13] Cálculo propio: EV, ventas NTM, EV/ventas histórico al cierre de cada trimestre (aproximado), DCF inverso y contrastes.</w:t>
      </w:r>
      <w:r>
        <w:t xml:space="preserve"> </w:t>
      </w:r>
      <w:r>
        <w:t xml:space="preserve">[14] TradingKey (17-sep-2026); Insider Monkey (Cramer, 3-sep-2026).</w:t>
      </w:r>
      <w:r>
        <w:t xml:space="preserve"> </w:t>
      </w:r>
      <w:r>
        <w:t xml:space="preserve">[15] Seeking Alpha (jun-2026, Hold); Barchart.</w:t>
      </w:r>
      <w:r>
        <w:t xml:space="preserve"> </w:t>
      </w:r>
      <w:r>
        <w:t xml:space="preserve">[16] StockTwits, flujo de NTRA (API pública, 14-oct-2026).</w:t>
      </w:r>
      <w:r>
        <w:t xml:space="preserve"> </w:t>
      </w:r>
      <w:r>
        <w:t xml:space="preserve">[17] SEC, 82 Formularios 4 de abr-oct 2026 (leídos directamente).</w:t>
      </w:r>
      <w:r>
        <w:t xml:space="preserve"> </w:t>
      </w:r>
      <w:r>
        <w:t xml:space="preserve">[18] SEC, Schedule 13G de Vanguard (mar-2026) y 13G/A de T. Rowe Price (jun-2026).</w:t>
      </w:r>
      <w:r>
        <w:t xml:space="preserve"> </w:t>
      </w:r>
      <w:r>
        <w:t xml:space="preserve">[19] Patient Care / GenomeWeb (9 y 13-oct-2026): FDA (multicáncer), TransCode, ensayos guiados por Signatera.</w:t>
      </w:r>
      <w:r>
        <w:t xml:space="preserve"> </w:t>
      </w:r>
      <w:r>
        <w:t xml:space="preserve">[20] Natera, 10-Q del 2T 2026, nota 10 (litigios de patentes y publicidad).</w:t>
      </w:r>
      <w:r>
        <w:t xml:space="preserve"> </w:t>
      </w:r>
      <w:r>
        <w:t xml:space="preserve">[21] Abbott / MassDevice / Nasdaq (compra de Exact Sciences); StockAnalysis (Guardant y CareDx, 14-oct-2026).</w:t>
      </w:r>
      <w:r>
        <w:t xml:space="preserve"> </w:t>
      </w:r>
      <w:r>
        <w:t xml:space="preserve">[22] DE MEMORIA (no verificado en esta sesión): informe corto de Hindenburg (mar-2022), Druckenmiller accionista desde al menos 2023, ventas de Exact Sciences de 2025 y múltiplo de Myriad.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2026-10-14T21:44:28Z</dcterms:created>
  <dcterms:modified xsi:type="dcterms:W3CDTF">2026-10-14T21:44:28Z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