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66ecf1ebf590aac9e5308f06d38f5e63bdbc1ef"/>
    <w:p>
      <w:pPr>
        <w:pStyle w:val="Heading1"/>
      </w:pPr>
      <w:r>
        <w:t xml:space="preserve">Quanta Services (PWR): análisis growth, 14-oct-2026</w:t>
      </w:r>
    </w:p>
    <w:p>
      <w:pPr>
        <w:pStyle w:val="FirstParagraph"/>
      </w:pPr>
      <w:r>
        <w:rPr>
          <w:bCs/>
          <w:b/>
        </w:rPr>
        <w:t xml:space="preserve">Señal (método v11, vigente): Vender / no comprar</w:t>
      </w:r>
      <w:r>
        <w:t xml:space="preserve"> </w:t>
      </w:r>
      <w:r>
        <w:t xml:space="preserve">· Puntuación 71,5/100 · Señales de cambio de tendencia 5/8 · EV/beneficio bruto NTM 16,9x · Euforia: no (+59,8 % en 12 meses)</w:t>
      </w:r>
      <w:r>
        <w:t xml:space="preserve"> </w:t>
      </w:r>
      <w:r>
        <w:t xml:space="preserve">Precio 688,88 USD (cierre del 13-oct) · Objetivo 12 m 558,5 USD (ponderada −18,8 %, base −17,4 %, bajista −60,7 %, alcista +20,1 %) · Compra hasta 532,4 USD</w:t>
      </w:r>
      <w:r>
        <w:t xml:space="preserve"> </w:t>
      </w:r>
      <w:r>
        <w:t xml:space="preserve">Referencia v9: Vender (71,5; ponderada −14,7 %, base −12,2 %, bajista −60,2 %; objetivo 587,0 USD; compra hasta 559,6 USD, que v9 calcula sin mirar el bajista).</w:t>
      </w:r>
      <w:r>
        <w:t xml:space="preserve"> </w:t>
      </w:r>
      <w:r>
        <w:t xml:space="preserve">Peso orientativo: no entra · Por qué: el precio ya pide más múltiplo del que la regla le deja cuando el crecimiento se normalice (ponderada ≤ −10 %).</w:t>
      </w:r>
      <w:r>
        <w:t xml:space="preserve"> </w:t>
      </w:r>
      <w:r>
        <w:rPr>
          <w:bCs/>
          <w:b/>
        </w:rPr>
        <w:t xml:space="preserve">Al precio actual</w:t>
      </w:r>
      <w:r>
        <w:t xml:space="preserve"> </w:t>
      </w:r>
      <w:r>
        <w:t xml:space="preserve">(654,39 USD, 14-oct, 17:38 UTC, −5,0 % en el día) y con el objetivo del informe fijo (558,5 USD): ponderada −14,6 %, base −13,0 %, bajista −58,7 %. Sigue en Vender / no comprar; haría falta bajar hasta 532,4 USD (−19 % desde hoy) para comprar.</w:t>
      </w:r>
    </w:p>
    <w:p>
      <w:pPr>
        <w:pStyle w:val="BlockText"/>
      </w:pPr>
      <w:r>
        <w:rPr>
          <w:bCs/>
          <w:b/>
        </w:rPr>
        <w:t xml:space="preserve">Calculado con el método v11</w:t>
      </w:r>
      <w:r>
        <w:t xml:space="preserve"> </w:t>
      </w:r>
      <w:r>
        <w:t xml:space="preserve">(</w:t>
      </w:r>
      <w:r>
        <w:rPr>
          <w:rStyle w:val="VerbatimChar"/>
        </w:rPr>
        <w:t xml:space="preserve">verticales/growth/metodo.md</w:t>
      </w:r>
      <w:r>
        <w:t xml:space="preserve">), con v9 al lado. Quanta gana dinero de forma estable desde hace más de una década (FCF positivo y creciente: 1.210, 1.555 y 1.673 M USD en 2023-2025 y una guía de 2.000-2.500 M en 2026), así que se valora por</w:t>
      </w:r>
      <w:r>
        <w:t xml:space="preserve"> </w:t>
      </w:r>
      <w:r>
        <w:rPr>
          <w:bCs/>
          <w:b/>
        </w:rPr>
        <w:t xml:space="preserve">EV/EBITDA ajustado de los 12 meses siguientes</w:t>
      </w:r>
      <w:r>
        <w:t xml:space="preserve"> </w:t>
      </w:r>
      <w:r>
        <w:t xml:space="preserve">(25,0x hoy, con un EBITDA NTM de 4.423 M en</w:t>
      </w:r>
      <w:r>
        <w:t xml:space="preserve"> </w:t>
      </w:r>
      <w:r>
        <w:rPr>
          <w:rStyle w:val="VerbatimChar"/>
        </w:rPr>
        <w:t xml:space="preserve">ebitda_ntm_m</w:t>
      </w:r>
      <w:r>
        <w:t xml:space="preserve">), no por EV/ventas: con un margen bruto del 15 % el EV/ventas (2,6x) no dice nada de lo que vale, y el EBITDA es la medida que usan la empresa, sus comparables y el mercado. El código aplica el múltiplo a las ventas del escenario con el margen EBITDA implícito de hoy (10,45 %), que coincide con el objetivo de la propia empresa para 2030 (10-11 %): aquí congelar el margen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sesga el resultado (al revés que en Comfort Systems, donde el margen estaba en máximos de ciclo).</w:t>
      </w:r>
    </w:p>
    <w:bookmarkStart w:id="20" w:name="la-tesis-en-cinco-líneas"/>
    <w:p>
      <w:pPr>
        <w:pStyle w:val="Heading2"/>
      </w:pPr>
      <w:r>
        <w:t xml:space="preserve">1. La tesis en cinco líneas</w:t>
      </w:r>
    </w:p>
    <w:p>
      <w:pPr>
        <w:numPr>
          <w:ilvl w:val="0"/>
          <w:numId w:val="1001"/>
        </w:numPr>
        <w:pStyle w:val="Compact"/>
      </w:pPr>
      <w:r>
        <w:t xml:space="preserve">Quanta es el mayor contratista de redes eléctricas de Norteamérica (líneas de transporte y distribución, subestaciones, generación, renovables) y, con las compras de Cupertino Electric (2024), Dynamic Systems (2025) y Phalcon y Enerfab (2026), también uno de los grandes instaladores eléctricos y mecánicos «de dentro» de los centros de datos [1][2].</w:t>
      </w:r>
    </w:p>
    <w:p>
      <w:pPr>
        <w:numPr>
          <w:ilvl w:val="0"/>
          <w:numId w:val="1001"/>
        </w:numPr>
        <w:pStyle w:val="Compact"/>
      </w:pPr>
      <w:r>
        <w:t xml:space="preserve">Crece como nunca: +41,1 % en el 2T26, cartera de 53.440 M USD (+49 % en un año) y guía 2026 subida dos veces (de 33.500 a 39.500 M en el punto medio). Pero</w:t>
      </w:r>
      <w:r>
        <w:t xml:space="preserve"> </w:t>
      </w:r>
      <w:r>
        <w:rPr>
          <w:bCs/>
          <w:b/>
        </w:rPr>
        <w:t xml:space="preserve">una parte importante es comprada</w:t>
      </w:r>
      <w:r>
        <w:t xml:space="preserve">: el 2T creció un ~27 % sin compras y 2025 solo un ~8,5 % [1][2].</w:t>
      </w:r>
    </w:p>
    <w:p>
      <w:pPr>
        <w:numPr>
          <w:ilvl w:val="0"/>
          <w:numId w:val="1001"/>
        </w:numPr>
        <w:pStyle w:val="Compact"/>
      </w:pPr>
      <w:r>
        <w:t xml:space="preserve">La percepción ya giró hace tiempo: +460 % en cinco años, +60 % en doce meses, máximo de 785 USD en mayo; desde ahí −12 % al cierre y −17 % hoy. El consejero delegado vendió ~120 M USD en mayo; nadie compra.</w:t>
      </w:r>
    </w:p>
    <w:p>
      <w:pPr>
        <w:numPr>
          <w:ilvl w:val="0"/>
          <w:numId w:val="1001"/>
        </w:numPr>
        <w:pStyle w:val="Compact"/>
      </w:pPr>
      <w:r>
        <w:t xml:space="preserve">A 25x EV/EBITDA NTM cotiza a 1,4 veces su mediana de 3 años (~17,5x) y por encima de todos sus comparables (Comfort 19,8x, EMCOR ~15x). La regla rebaja el múltiplo un 28 % porque el crecimiento pasa del ~29 % de los 12 meses siguientes al ~15 % del consenso para 2028; con las ventas del consenso, el precio no se sostiene.</w:t>
      </w:r>
    </w:p>
    <w:p>
      <w:pPr>
        <w:numPr>
          <w:ilvl w:val="0"/>
          <w:numId w:val="1001"/>
        </w:numPr>
        <w:pStyle w:val="Compact"/>
      </w:pPr>
      <w:r>
        <w:t xml:space="preserve">Conclusión:</w:t>
      </w:r>
      <w:r>
        <w:t xml:space="preserve"> </w:t>
      </w:r>
      <w:r>
        <w:rPr>
          <w:bCs/>
          <w:b/>
        </w:rPr>
        <w:t xml:space="preserve">Vender / no comprar</w:t>
      </w:r>
      <w:r>
        <w:t xml:space="preserve">. Excelente empresa y la mejor ejecutora del sector, pero el precio descuenta ~15 % anual durante 10 años. Sería comprable por debajo de ~532 USD.</w:t>
      </w:r>
    </w:p>
    <w:bookmarkEnd w:id="20"/>
    <w:bookmarkStart w:id="21" w:name="negocio-y-tecnología"/>
    <w:p>
      <w:pPr>
        <w:pStyle w:val="Heading2"/>
      </w:pPr>
      <w:r>
        <w:t xml:space="preserve">2. Negocio y tecnología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Qué hace</w:t>
      </w:r>
      <w:r>
        <w:t xml:space="preserve">: diseña, construye, repara y mantiene infraestructura de energía y comunicaciones: líneas de alta y media tensión, subestaciones, distribución, restauración tras tormentas, plantas solares y de baterías, gasoductos y redes de gas, y, cada vez más, la instalación eléctrica y mecánica de centros de datos y fábricas. ~69.500 empleados (36 % sindicados) en EE. UU., Canadá y Australia [2].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Segmentos del 2T26</w:t>
      </w:r>
      <w:r>
        <w:t xml:space="preserve"> </w:t>
      </w:r>
      <w:r>
        <w:t xml:space="preserve">[1]: Eléctrico 7.838 M (82 %, margen operativo 11,5 %) y Subterráneo e Infraestructura 1.719 M (18 %, 9,1 %). La cartera es un 44 % contratos marco (MSA) con las eléctricas, recurrentes, y el resto proyectos, muchos a precio fijo [2].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Qué tiene de nuevo</w:t>
      </w:r>
      <w:r>
        <w:t xml:space="preserve">: no es tecnología propia, es</w:t>
      </w:r>
      <w:r>
        <w:t xml:space="preserve"> </w:t>
      </w:r>
      <w:r>
        <w:rPr>
          <w:bCs/>
          <w:b/>
        </w:rPr>
        <w:t xml:space="preserve">capacidad y mano de obra cualificada a escala</w:t>
      </w:r>
      <w:r>
        <w:t xml:space="preserve"> </w:t>
      </w:r>
      <w:r>
        <w:t xml:space="preserve">(la mayor plantilla de linieros del país, con escuela propia), más una cadena de suministro propia para lo que escasea: fábrica de transformadores de 765 kV en Pensilvania y, desde junio, empresa conjunta con Hyosung HICO para interruptores de alta tensión [1][7]. Ofrece «soluciones» completas (ingeniería, suministro, obra) en vez de horas.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Puntuación</w:t>
      </w:r>
      <w:r>
        <w:t xml:space="preserve">: tecnología</w:t>
      </w:r>
      <w:r>
        <w:t xml:space="preserve"> </w:t>
      </w:r>
      <w:r>
        <w:rPr>
          <w:bCs/>
          <w:b/>
        </w:rPr>
        <w:t xml:space="preserve">3/5</w:t>
      </w:r>
      <w:r>
        <w:t xml:space="preserve"> </w:t>
      </w:r>
      <w:r>
        <w:t xml:space="preserve">(ventaja real de escala y de plantilla, pero no una tecnología que nadie replique); posición</w:t>
      </w:r>
      <w:r>
        <w:t xml:space="preserve"> </w:t>
      </w:r>
      <w:r>
        <w:rPr>
          <w:bCs/>
          <w:b/>
        </w:rPr>
        <w:t xml:space="preserve">5/5</w:t>
      </w:r>
      <w:r>
        <w:t xml:space="preserve"> </w:t>
      </w:r>
      <w:r>
        <w:t xml:space="preserve">(líder claro en redes eléctricas de EE. UU., con cuota creciente y la mayor cartera del sector).</w:t>
      </w:r>
    </w:p>
    <w:bookmarkEnd w:id="21"/>
    <w:bookmarkStart w:id="22" w:name="crecimiento"/>
    <w:p>
      <w:pPr>
        <w:pStyle w:val="Heading2"/>
      </w:pPr>
      <w:r>
        <w:t xml:space="preserve">3. Crecimiento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Trimestre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(M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Crec. interanual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compras (estimación)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Margen bruto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3T24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6.493,2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+15,5 %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15,6 %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4T24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6.553,4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+13,3 %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16,2 %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1T25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6.233,3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+23,9 %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13,4 %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2T25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6.773,0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+21,1 %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14,9 %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3T25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7.631,4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+17,5 %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15,9 %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4T25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7.842,0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+19,7 %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1T26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7.874,8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+26,3 %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~+13,5 %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14,1 %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2T26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9.557,0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+41,1 %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~+27,4 %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16,2 %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(M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ello, compras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Orgánico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EBITDA ajustado (margen)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20.882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1.947 (9,3 %)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23.673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+13,4 %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~+6 %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2.331 (9,8 %)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+20,3 %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~+8,5 %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2.876 (10,1 %)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 guía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+38,7 %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? (las de 2026: 1.200-1.400)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~+25-28 % (estimación)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4.150 (10,5 %)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2027 consenso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45.798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+15,8 %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4.798 (10,5 %)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2028 consenso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52.581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+14,8 %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5.581 (10,6 %)</w:t>
            </w:r>
          </w:p>
        </w:tc>
      </w:tr>
    </w:tbl>
    <w:p>
      <w:pPr>
        <w:pStyle w:val="BodyText"/>
      </w:pPr>
      <w:r>
        <w:t xml:space="preserve">Fuentes: [1][2][6]; trimestres por diferencia de los acumulados XBRL; «sin compras» = ventas menos las «atribuibles a negocios comprados» que da el 10-Q/10-K (575 + 355 M en el 2T26; 1.730 M en el semestre; 2.795 M en 2025), sobre el año anterior.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Últimos 12 meses</w:t>
      </w:r>
      <w:r>
        <w:t xml:space="preserve">: 32.905 M USD,</w:t>
      </w:r>
      <w:r>
        <w:t xml:space="preserve"> </w:t>
      </w:r>
      <w:r>
        <w:rPr>
          <w:bCs/>
          <w:b/>
        </w:rPr>
        <w:t xml:space="preserve">+26,3 %</w:t>
      </w:r>
      <w:r>
        <w:t xml:space="preserve">.</w:t>
      </w:r>
      <w:r>
        <w:t xml:space="preserve"> </w:t>
      </w:r>
      <w:r>
        <w:rPr>
          <w:bCs/>
          <w:b/>
        </w:rPr>
        <w:t xml:space="preserve">CAGR a 2 años</w:t>
      </w:r>
      <w:r>
        <w:t xml:space="preserve">: 22,2 %.</w:t>
      </w:r>
      <w:r>
        <w:t xml:space="preserve"> </w:t>
      </w:r>
      <w:r>
        <w:rPr>
          <w:bCs/>
          <w:b/>
        </w:rPr>
        <w:t xml:space="preserve">Aceleración</w:t>
      </w:r>
      <w:r>
        <w:t xml:space="preserve">: el 2T creció un 41,1 % frente a una media del 21,2 % en los cuatro anteriores:</w:t>
      </w:r>
      <w:r>
        <w:t xml:space="preserve"> </w:t>
      </w:r>
      <w:r>
        <w:rPr>
          <w:bCs/>
          <w:b/>
        </w:rPr>
        <w:t xml:space="preserve">+20,0 pp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Orgánico frente a compras (lo importante)</w:t>
      </w:r>
      <w:r>
        <w:t xml:space="preserve">: Quanta es un comprador en serie (8 compras en 2025, 4 en 2026, ~5.300 M USD de efectivo y acciones en 18 meses). En 2025 el 58 % del crecimiento fue comprado (orgánico ~+8,5 %, con caída de gasoductos en Canadá). En 2026 el orgánico sí se acelera de verdad: ~+13,5 % en el 1T, ~+27 % en el 2T y el pro forma del 10-Q (como si todas las compras existieran desde el principio) da +26,3 % en el 2T [2]. La guía del 2S26 implica ~+43 % total y ~+30 % orgánico (estimación con ~1.600 M de compras).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Ojo con la proyección mecánica</w:t>
      </w:r>
      <w:r>
        <w:t xml:space="preserve">: parte del crecimiento total (28 %, compras incluidas). Si Quanta deja de comprar, el crecimiento se parece más al orgánico (~20-27 %); si sigue comprando al ritmo de su plan (10.000-12.000 M de FCF a desplegar hasta 2030 [7]), las ventas crecerán más que el consenso, pero comprando, no gratis. v11 ya lo corrige en parte: usa las ventas del consenso (49.200 M), que son menores que las mecánicas (52.104 M).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Cartera</w:t>
      </w:r>
      <w:r>
        <w:t xml:space="preserve">: 53.440 M USD a junio (+49 % en un año; +21,5 % en el semestre); obligaciones de ejecución (RPO) 33.554 M (+75 %); 32.314 M se esperan en 12 meses [1].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Guía</w:t>
      </w:r>
      <w:r>
        <w:t xml:space="preserve"> </w:t>
      </w:r>
      <w:r>
        <w:t xml:space="preserve">(anual, nunca trimestral): 2026 de 39.300-39.700 M (+38,7 %), tras 33.250-33.750 en febrero y 34.700-35.200 en abril.</w:t>
      </w:r>
      <w:r>
        <w:t xml:space="preserve"> </w:t>
      </w:r>
      <w:r>
        <w:rPr>
          <w:bCs/>
          <w:b/>
        </w:rPr>
        <w:t xml:space="preserve">Bate su guía</w:t>
      </w:r>
      <w:r>
        <w:t xml:space="preserve">: 2025 empezó en 26.600-27.100 M y acabó en 28.480 (+6,9 pp, pero con compras no guiadas). Exceso usado +6,9 pp; la guía no recorta (partida mecánica 28,0 % &lt; 42,6 + 6,9).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Retención</w:t>
      </w:r>
      <w:r>
        <w:t xml:space="preserve">: no aplica (</w:t>
      </w:r>
      <w:r>
        <w:rPr>
          <w:rStyle w:val="VerbatimChar"/>
        </w:rPr>
        <w:t xml:space="preserve">nrr_pct</w:t>
      </w:r>
      <w:r>
        <w:t xml:space="preserve"> </w:t>
      </w:r>
      <w:r>
        <w:t xml:space="preserve">= null); el equivalente son los contratos marco con las eléctricas (44 % de la cartera), muy recurrentes.</w:t>
      </w:r>
    </w:p>
    <w:bookmarkEnd w:id="22"/>
    <w:bookmarkStart w:id="23" w:name="mercado-y-competencia"/>
    <w:p>
      <w:pPr>
        <w:pStyle w:val="Heading2"/>
      </w:pPr>
      <w:r>
        <w:t xml:space="preserve">4. Mercado y competencia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Mercado alcanzable</w:t>
      </w:r>
      <w:r>
        <w:t xml:space="preserve">: la empresa habla de</w:t>
      </w:r>
      <w:r>
        <w:t xml:space="preserve"> </w:t>
      </w:r>
      <w:r>
        <w:rPr>
          <w:bCs/>
          <w:b/>
        </w:rPr>
        <w:t xml:space="preserve">2,4 billones de USD acumulados hasta 2030</w:t>
      </w:r>
      <w:r>
        <w:t xml:space="preserve"> </w:t>
      </w:r>
      <w:r>
        <w:t xml:space="preserve">[7], ≈ 480.000 M al año. Probablemente inflado (suma mercados donde apenas está); se usa tal cual a falta de otro dato, marcado.</w:t>
      </w:r>
      <w:r>
        <w:t xml:space="preserve"> </w:t>
      </w:r>
      <w:r>
        <w:rPr>
          <w:bCs/>
          <w:b/>
        </w:rPr>
        <w:t xml:space="preserve">Penetración: 6,9 %.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Motor de la demanda</w:t>
      </w:r>
      <w:r>
        <w:t xml:space="preserve">: inversión de las eléctricas en transporte y distribución (envejecimiento, tormentas, incendios), conexión de nueva generación (gas, solar, baterías, nuclear) y la demanda eléctrica de los centros de datos, la relocalización industrial y la electrificación. Los centros de datos son, según Zacks, ~10 % del negocio directo y el componente que más crece de la cartera [10]; pero buena parte de la obra de redes que hace para las eléctricas existe</w:t>
      </w:r>
      <w:r>
        <w:t xml:space="preserve"> </w:t>
      </w:r>
      <w:r>
        <w:rPr>
          <w:bCs/>
          <w:b/>
        </w:rPr>
        <w:t xml:space="preserve">porque</w:t>
      </w:r>
      <w:r>
        <w:t xml:space="preserve"> </w:t>
      </w:r>
      <w:r>
        <w:t xml:space="preserve">hay centros de datos que conectar.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Rivales</w:t>
      </w:r>
      <w:r>
        <w:t xml:space="preserve">: MasTec, MYR Group, Primoris, EMCOR, Comfort Systems, IES y Sterling en las partes de edificio; cientos de contratistas regionales; los propios equipos de las eléctricas.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Por qué gana</w:t>
      </w:r>
      <w:r>
        <w:t xml:space="preserve">: la mayor plantilla cualificada del sector, formación propia, balance con grado de inversión (Baa2 desde junio), equipos (helicópteros, maquinaria) y suministro propio de equipos escasos; las eléctricas prefieren pocos socios grandes con contratos marco de varios años.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Concentración</w:t>
      </w:r>
      <w:r>
        <w:t xml:space="preserve">: mayor cliente 8 % de las ventas de 2025; diez mayores 30 % [2]. Sin alerta de concentración (los dos mayores ≤ 16 %).</w:t>
      </w:r>
    </w:p>
    <w:bookmarkEnd w:id="23"/>
    <w:bookmarkStart w:id="24" w:name="cambio-de-tendencia"/>
    <w:p>
      <w:pPr>
        <w:pStyle w:val="Heading2"/>
      </w:pPr>
      <w:r>
        <w:t xml:space="preserve">5. Cambio de tendencia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Señal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Sí/No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Revisiones al alza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 (débil)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2026 de consenso de ~35.000 M (mayo) a 39.565 M y BPA 2026 a 16,74 USD tras la subida de guía del 30-jul. Pero en octubre bajan objetivos: Mizuho 741 → 684 (Mantener), Truist 976 → 945.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[5][6]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 sobre la media de 200 sesiones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688,88 frente a 615,0 USD, media al alza (592,7 hace un mes). Hoy, a 654, sigue por encima.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Fuerza relativa a 6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 (por poco)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+15,6 % frente a +13,4 % del S&amp;P 500.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Mejora del múltiplo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EV/EBITDA NTM de ~17x en el mínimo de 12 meses (oct-dic 2025) a ~24-25x (+40 %). Pero ya a 1,4 veces su mediana de 3 años: con el tope de v8 (1,3×) no contaría.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[4][9]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Inflexión operativa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Margen operativo +1,8 pp (7,3 % frente a 5,5 %) y EBITDA ajustado +1,3 pp (11,2 % frente a 9,9 %): mejora, no inflexión. Ya era rentable.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Sentimiento mejorando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−12 % desde el máximo de mayo al cierre y −5 % hoy en otra venta de «energía para IA»; prensa dividida sobre la valoración.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[4][10]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Compras de directivos o institucionales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Ninguna compra en mercado en 2026. El consejero delegado vendió ~156.000 acciones (~120 M USD) el 5-may a ~770 USD.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Catalizador nuevo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Resultados del 3T hacia el 29-oct (sin confirmar), primera guía 2027 en febrero, compras de 2026 y la empresa conjunta de interruptores.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[1][8]</w:t>
            </w:r>
          </w:p>
        </w:tc>
      </w:tr>
    </w:tbl>
    <w:p>
      <w:pPr>
        <w:pStyle w:val="BodyText"/>
      </w:pPr>
      <w:r>
        <w:rPr>
          <w:bCs/>
          <w:b/>
        </w:rPr>
        <w:t xml:space="preserve">Euforia (veto del método): no.</w:t>
      </w:r>
      <w:r>
        <w:t xml:space="preserve"> </w:t>
      </w:r>
      <w:r>
        <w:t xml:space="preserve">La regla veta si sube ≥ 150 % en 12 meses</w:t>
      </w:r>
      <w:r>
        <w:t xml:space="preserve"> </w:t>
      </w:r>
      <w:r>
        <w:rPr>
          <w:bCs/>
          <w:b/>
        </w:rPr>
        <w:t xml:space="preserve">y</w:t>
      </w:r>
      <w:r>
        <w:t xml:space="preserve"> </w:t>
      </w:r>
      <w:r>
        <w:t xml:space="preserve">el EV/beneficio bruto NTM pasa de 20: Quanta sube un</w:t>
      </w:r>
      <w:r>
        <w:t xml:space="preserve"> </w:t>
      </w:r>
      <w:r>
        <w:rPr>
          <w:bCs/>
          <w:b/>
        </w:rPr>
        <w:t xml:space="preserve">59,8 %</w:t>
      </w:r>
      <w:r>
        <w:t xml:space="preserve"> </w:t>
      </w:r>
      <w:r>
        <w:t xml:space="preserve">(430,98 → 688,88 USD) y su EV/beneficio bruto es de</w:t>
      </w:r>
      <w:r>
        <w:t xml:space="preserve"> </w:t>
      </w:r>
      <w:r>
        <w:rPr>
          <w:bCs/>
          <w:b/>
        </w:rPr>
        <w:t xml:space="preserve">16,9x</w:t>
      </w:r>
      <w:r>
        <w:t xml:space="preserve">. Hoy no cumple ninguna de las dos condiciones.</w:t>
      </w:r>
      <w:r>
        <w:t xml:space="preserve"> </w:t>
      </w:r>
      <w:r>
        <w:rPr>
          <w:bCs/>
          <w:b/>
        </w:rPr>
        <w:t xml:space="preserve">Pero en primavera estuvo a punto</w:t>
      </w:r>
      <w:r>
        <w:t xml:space="preserve">: en el máximo del 6-may (785,24 USD) subía un</w:t>
      </w:r>
      <w:r>
        <w:t xml:space="preserve"> </w:t>
      </w:r>
      <w:r>
        <w:rPr>
          <w:bCs/>
          <w:b/>
        </w:rPr>
        <w:t xml:space="preserve">+147 %</w:t>
      </w:r>
      <w:r>
        <w:t xml:space="preserve"> </w:t>
      </w:r>
      <w:r>
        <w:t xml:space="preserve">en 12 meses (desde 317,65 USD) y su EV/beneficio bruto NTM rondaba ~22x (estimación: EV ~125.000 M sobre ~5.600 M de beneficio bruto NTM), por encima de 20: le faltaron 3 puntos de subida para el veto. Desde entonces el precio ha corregido y el veto se aleja.</w:t>
      </w:r>
      <w:r>
        <w:t xml:space="preserve"> </w:t>
      </w:r>
      <w:r>
        <w:rPr>
          <w:bCs/>
          <w:b/>
        </w:rPr>
        <w:t xml:space="preserve">En cualquier caso, el veto no hace falta para no comprar</w:t>
      </w:r>
      <w:r>
        <w:t xml:space="preserve">: la señal sale de la valoración (ponderada −18,8 %), no de la euforia. Y ojo: la regla está pensada para software, donde el beneficio bruto es casi todo el margen; en un contratista con un 15 % de margen bruto el EV/beneficio bruto parece bajo aunque el EV/EBITDA (25x) esté cerca del máximo de su historia (~27x en abril) y por encima de todo el sector. Para Quanta, la «euforia» se ve mejor en el múltiplo frente a su historia (1,4 veces) y en el PER contable de 12 meses (~79x; ~59x sobre el beneficio contable de 2026).</w:t>
      </w:r>
    </w:p>
    <w:bookmarkEnd w:id="24"/>
    <w:bookmarkStart w:id="25" w:name="X6a3ced9ea5ed5bb9ac58f5e7c1bb09ad4718b77"/>
    <w:p>
      <w:pPr>
        <w:pStyle w:val="Heading2"/>
      </w:pPr>
      <w:r>
        <w:t xml:space="preserve">6. Economía unitaria y camino a la rentabilidad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Margen bruto</w:t>
      </w:r>
      <w:r>
        <w:t xml:space="preserve"> </w:t>
      </w:r>
      <w:r>
        <w:t xml:space="preserve">de 12 meses:</w:t>
      </w:r>
      <w:r>
        <w:t xml:space="preserve"> </w:t>
      </w:r>
      <w:r>
        <w:rPr>
          <w:bCs/>
          <w:b/>
        </w:rPr>
        <w:t xml:space="preserve">15,5 %</w:t>
      </w:r>
      <w:r>
        <w:t xml:space="preserve"> </w:t>
      </w:r>
      <w:r>
        <w:t xml:space="preserve">(5.086 M sobre 32.905 M), en línea con su historia (13-16 %). Es normal en un contratista que subcontrata un 15-20 % y compra materiales. El código le da 0 de 5 (escala de software).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Margen operativo</w:t>
      </w:r>
      <w:r>
        <w:t xml:space="preserve">: 7,3 % en el 2T (5,5 % hace un año). EBITDA ajustado 11,2 % en el 2T, 10,1 % en el semestre; guía 2026 del 10,5 %. Objetivo 2030: 10-11 % [7]. Es un negocio de margen estable y bajo, que crece por volumen.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FCF de 12 meses</w:t>
      </w:r>
      <w:r>
        <w:t xml:space="preserve">: ~2.455 M USD (</w:t>
      </w:r>
      <w:r>
        <w:rPr>
          <w:bCs/>
          <w:b/>
        </w:rPr>
        <w:t xml:space="preserve">7,5 % de las ventas</w:t>
      </w:r>
      <w:r>
        <w:t xml:space="preserve">; flujo operativo 3.178 M menos inversión neta de 723 M). El del 2T (886 M) lleva anticipos: los pasivos de contrato subieron de 3.258 a 4.242 M en el semestre [1].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Regla del 40</w:t>
      </w:r>
      <w:r>
        <w:t xml:space="preserve">: 26,3 + 7,5 =</w:t>
      </w:r>
      <w:r>
        <w:t xml:space="preserve"> </w:t>
      </w:r>
      <w:r>
        <w:rPr>
          <w:bCs/>
          <w:b/>
        </w:rPr>
        <w:t xml:space="preserve">33,8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Apalancamiento operativo</w:t>
      </w:r>
      <w:r>
        <w:t xml:space="preserve">: claro en 2026: ventas +41 %, beneficio operativo +88 %, BPA ajustado +71 % en el 2T. La amortización de intangibles de las compras (680 M en 2026) separa mucho el beneficio contable del ajustado.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Camino a la rentabilidad</w:t>
      </w:r>
      <w:r>
        <w:t xml:space="preserve">: no aplica: FCF creciente.</w:t>
      </w:r>
    </w:p>
    <w:bookmarkEnd w:id="25"/>
    <w:bookmarkStart w:id="26" w:name="caja-deuda-y-dilución"/>
    <w:p>
      <w:pPr>
        <w:pStyle w:val="Heading2"/>
      </w:pPr>
      <w:r>
        <w:t xml:space="preserve">7. Caja, deuda y dilución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Caja</w:t>
      </w:r>
      <w:r>
        <w:t xml:space="preserve">: 506,4 M USD;</w:t>
      </w:r>
      <w:r>
        <w:t xml:space="preserve"> </w:t>
      </w:r>
      <w:r>
        <w:rPr>
          <w:bCs/>
          <w:b/>
        </w:rPr>
        <w:t xml:space="preserve">deuda</w:t>
      </w:r>
      <w:r>
        <w:t xml:space="preserve">: 6.104,9 M (683,0 a corto, incluido papel comercial, y 5.421,9 a largo) a junio [1]. En agosto emitió 2.000 M en bonos (2029, 2033 y 2036, al 4,85-5,55 %) para devolver papel comercial y crédito: cambia plazo, no importe. Enerfab (julio) se pagó con deuda: la deuda neta de hoy es algo mayor (~+0,2 mil millones, estimación). Deuda neta / EBITDA ajustado de 12 meses ~1,6x. Liquidez disponible 2.770 M. Moody’s Baa2.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Dilución</w:t>
      </w:r>
      <w:r>
        <w:t xml:space="preserve">: acciones diluidas de 150,92 M a 152,44 M en un año (</w:t>
      </w:r>
      <w:r>
        <w:rPr>
          <w:bCs/>
          <w:b/>
        </w:rPr>
        <w:t xml:space="preserve">+1,0 %</w:t>
      </w:r>
      <w:r>
        <w:t xml:space="preserve">), sobre todo por acciones entregadas en compras. Recompra de 1.000 M autorizada en mayo, sin uso en el semestre.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Pagos en acciones</w:t>
      </w:r>
      <w:r>
        <w:t xml:space="preserve">: ~226 M en 12 meses,</w:t>
      </w:r>
      <w:r>
        <w:t xml:space="preserve"> </w:t>
      </w:r>
      <w:r>
        <w:rPr>
          <w:bCs/>
          <w:b/>
        </w:rPr>
        <w:t xml:space="preserve">0,7 % de las ventas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Contraprestaciones contingentes</w:t>
      </w:r>
      <w:r>
        <w:t xml:space="preserve">: hasta ~690 M por compras de 2025-2026 si cumplen objetivos [2].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Pista</w:t>
      </w:r>
      <w:r>
        <w:t xml:space="preserve">: ilimitada (FCF positivo). Dividendo de 0,11 USD trimestral (0,06 %).</w:t>
      </w:r>
    </w:p>
    <w:bookmarkEnd w:id="26"/>
    <w:bookmarkStart w:id="27" w:name="dirección-y-ejecución"/>
    <w:p>
      <w:pPr>
        <w:pStyle w:val="Heading2"/>
      </w:pPr>
      <w:r>
        <w:t xml:space="preserve">8. Dirección y ejecución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Historial 5/5</w:t>
      </w:r>
      <w:r>
        <w:t xml:space="preserve">: sube la guía casi cada trimestre (2025: cuatro veces; 2026: dos subidas, de 33.500 a 39.500 M de ventas y de 13,00 a 16,70 USD de BPA ajustado en el punto medio) [1]. Su plan a cinco años de 2021 (BPA de 3,98 USD) acabó en 4,91 [7].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Dirección 4/5</w:t>
      </w:r>
      <w:r>
        <w:t xml:space="preserve">: Earl «Duke» Austin, consejero delegado desde 2016 y en la empresa desde 1994; modelo descentralizado de empresas operativas; compras pequeñas y medianas de empresas rentables, pagadas con caja y algo de acciones; grado de inversión. Resta un punto por la</w:t>
      </w:r>
      <w:r>
        <w:t xml:space="preserve"> </w:t>
      </w:r>
      <w:r>
        <w:rPr>
          <w:bCs/>
          <w:b/>
        </w:rPr>
        <w:t xml:space="preserve">venta del consejero delegado</w:t>
      </w:r>
      <w:r>
        <w:t xml:space="preserve"> </w:t>
      </w:r>
      <w:r>
        <w:t xml:space="preserve">(~120 M USD en un solo día, cerca del máximo) y por la dependencia de las compras para crecer, que hace más difícil leer el crecimiento propio.</w:t>
      </w:r>
    </w:p>
    <w:bookmarkEnd w:id="27"/>
    <w:bookmarkStart w:id="28" w:name="valoración"/>
    <w:p>
      <w:pPr>
        <w:pStyle w:val="Heading2"/>
      </w:pPr>
      <w:r>
        <w:t xml:space="preserve">9. Valoración</w:t>
      </w:r>
    </w:p>
    <w:p>
      <w:pPr>
        <w:pStyle w:val="FirstParagraph"/>
      </w:pPr>
      <w:r>
        <w:t xml:space="preserve">Múltiplo:</w:t>
      </w:r>
      <w:r>
        <w:t xml:space="preserve"> </w:t>
      </w:r>
      <w:r>
        <w:rPr>
          <w:bCs/>
          <w:b/>
        </w:rPr>
        <w:t xml:space="preserve">EV/EBITDA ajustado de los 12 meses siguientes</w:t>
      </w:r>
      <w:r>
        <w:t xml:space="preserve">, 25,0x hoy (EV de 110.612 M USD: 688,88 × 152,44 + 6.105 − 506; EBITDA NTM ~4.423 M = 2S26 de consenso, 2.396 M, más el 1S27 con la estacionalidad de 2026, 2.027 M [9]). 12 meses pasados: ~32x (EBITDA ajustado de 12 meses ~3.456 M). Mediana de 3 años ~17,5x y mínimo ~12,3x (reconstruidos, aproximados y algo bajos por usar el EBITDA realizado). Comparables ~16x NTM (Comfort 19,8x, Sterling ~18x, IES ~17x, MasTec ~16x, EMCOR ~14-15x, MYR ~13x, Primoris ~12x; aproximados o de memoria).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a 2 años (M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Mecánica (v9)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EV/EBITDA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Rentabilidad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Bajista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41.958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10,9x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269,8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−60,7 %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49.200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52.104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18,1x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568,6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−17,4 %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Alcista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56.469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23,5x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826,8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+20,1 %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Ponderado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558,5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−18,8 %</w:t>
            </w:r>
          </w:p>
        </w:tc>
      </w:tr>
    </w:tbl>
    <w:p>
      <w:pPr>
        <w:pStyle w:val="BodyText"/>
      </w:pPr>
      <w:r>
        <w:t xml:space="preserve">(v11: en cada escenario, la menor entre la proyección mecánica y la del informe. Partida mecánica del 28,0 %, sin recorte por la guía. Múltiplo base rebajado ×0,72 porque el crecimiento pasa del 28,6 % NTM al 15 % del año objetivo. Margen EBITDA implícito del 10,45 %. Asimetría 0,3.)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Ventas del informe</w:t>
      </w:r>
      <w:r>
        <w:t xml:space="preserve"> </w:t>
      </w:r>
      <w:r>
        <w:t xml:space="preserve">(</w:t>
      </w:r>
      <w:r>
        <w:rPr>
          <w:rStyle w:val="VerbatimChar"/>
        </w:rPr>
        <w:t xml:space="preserve">ventas_objetivo_m</w:t>
      </w:r>
      <w:r>
        <w:t xml:space="preserve">, ventana de 12 meses a junio de 2028):</w:t>
      </w:r>
      <w:r>
        <w:t xml:space="preserve"> </w:t>
      </w:r>
      <w:r>
        <w:rPr>
          <w:bCs/>
          <w:b/>
        </w:rPr>
        <w:t xml:space="preserve">base 49.200 M = consenso</w:t>
      </w:r>
      <w:r>
        <w:t xml:space="preserve"> </w:t>
      </w:r>
      <w:r>
        <w:t xml:space="preserve">(media de 2027, 45.798, y 2028, 52.581 [6]); bajista 41.500 M (la cartera se ejecuta en 12 meses y luego la inversión en IA y en redes se frena: ventas planas en 2027-28, sin compras); alcista 54.000 M (orgánico ~20 % y compras al ritmo del plan). El consenso no incluye compras futuras; Quanta las hará, así que la base es algo prudente en ventas, pero cada compra se paga con deuda o acciones.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v9 al lado</w:t>
      </w:r>
      <w:r>
        <w:t xml:space="preserve"> </w:t>
      </w:r>
      <w:r>
        <w:t xml:space="preserve">(solo mecánica): objetivo 587,0 USD, ponderada −14,7 %, base −12,2 %, bajista −60,2 %: también Vender. La diferencia es solo de ventas (52.104 frente a 49.200 M en el base).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Compra hasta 532,4 USD</w:t>
      </w:r>
      <w:r>
        <w:t xml:space="preserve"> </w:t>
      </w:r>
      <w:r>
        <w:t xml:space="preserve">(ponderada 5 % y base ≥ 0 con el objetivo fijo; a ese precio el bajista queda en −49,3 %, dentro del listón). v9 daba 559,6 USD, pero ahí el bajista sería −51,1 % y el propio motor no compraría.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Al precio actual</w:t>
      </w:r>
      <w:r>
        <w:t xml:space="preserve"> </w:t>
      </w:r>
      <w:r>
        <w:t xml:space="preserve">(654,39 USD, 17:38 UTC del 14-oct, objetivo fijo de 558,5): ponderada</w:t>
      </w:r>
      <w:r>
        <w:t xml:space="preserve"> </w:t>
      </w:r>
      <w:r>
        <w:rPr>
          <w:bCs/>
          <w:b/>
        </w:rPr>
        <w:t xml:space="preserve">−14,6 %</w:t>
      </w:r>
      <w:r>
        <w:t xml:space="preserve">, base −13,0 %, bajista −58,7 %.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Contraste con el consenso</w:t>
      </w:r>
      <w:r>
        <w:t xml:space="preserve">: objetivo medio de 766,01 USD (31 analistas, Compra fuerte; 410-945, mediana 800) [5]: +11 % sobre el cierre. Los analistas aplican ~45-55x al BPA ajustado de 2027 sin rebajar el múltiplo por la normalización del crecimiento; la regla sí la rebaja (×0,72). Si se mantuviera el 25x de hoy sobre el EBITDA del base (~5.140 M), el precio sería ~800 USD:</w:t>
      </w:r>
      <w:r>
        <w:t xml:space="preserve"> </w:t>
      </w:r>
      <w:r>
        <w:rPr>
          <w:bCs/>
          <w:b/>
        </w:rPr>
        <w:t xml:space="preserve">toda la diferencia con el consenso está en suponer que el mercado pagará en 2028 el mismo múltiplo que hoy con la mitad de crecimiento.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DCF inverso</w:t>
      </w:r>
      <w:r>
        <w:t xml:space="preserve">: con el FCF de 12 meses (2.455 M) como flujo, 9 % de descuento y 3 % a perpetuidad, el precio descuenta un</w:t>
      </w:r>
      <w:r>
        <w:t xml:space="preserve"> </w:t>
      </w:r>
      <w:r>
        <w:rPr>
          <w:bCs/>
          <w:b/>
        </w:rPr>
        <w:t xml:space="preserve">~15 % anual de crecimiento del FCF durante 10 años</w:t>
      </w:r>
      <w:r>
        <w:t xml:space="preserve">. La empresa promete un 15-20 % anual de BPA hasta 2030 [7], parte con compras: el precio pide que cumpla el plan, lo mantenga cinco años más y no haya un ciclo malo.</w:t>
      </w:r>
    </w:p>
    <w:bookmarkEnd w:id="28"/>
    <w:bookmarkStart w:id="29" w:name="foros-y-sentimiento"/>
    <w:p>
      <w:pPr>
        <w:pStyle w:val="Heading2"/>
      </w:pPr>
      <w:r>
        <w:t xml:space="preserve">10. Foros y sentimiento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Reddit</w:t>
      </w:r>
      <w:r>
        <w:t xml:space="preserve"> </w:t>
      </w:r>
      <w:r>
        <w:t xml:space="preserve">(r/stocks, r/investing): no se localizaron hilos relevantes en 2026 tras tres búsquedas. Como Comfort Systems, es un valor más institucional que «de foro»; aparece en listas de «picos y palas de la IA» (Barchart, ETFAction) [10][11].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Seeking Alpha / Zacks / Simply Wall St / TIKR</w:t>
      </w:r>
      <w:r>
        <w:t xml:space="preserve">: alcistas sobre el negocio («Bull of the Day» de Zacks en julio; cartera récord) y cada vez más preocupados por el precio: «Overvalued on a 461 % five-year run», «¿puede la cartera sostener el crecimiento hasta 2030?», una tesis de Mantener por valoración en Seeking Alpha [10].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StockTwits / X</w:t>
      </w:r>
      <w:r>
        <w:t xml:space="preserve">: no consultados directamente. El mercado de opciones descuenta un movimiento de ±11 % en los resultados [8].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Castellano</w:t>
      </w:r>
      <w:r>
        <w:t xml:space="preserve"> </w:t>
      </w:r>
      <w:r>
        <w:t xml:space="preserve">(Rankia, Investing.com ES): sin hilos localizados; solo traducciones de TIKR («se han disparado un 63 % este año: ¿sigue siendo rentable invertir?») [10].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Cambio</w:t>
      </w:r>
      <w:r>
        <w:t xml:space="preserve">: de euforia moderada (abril-mayo: +16 % en el día de resultados del 1T, máximo de 785) a digestión (julio-octubre), con ventas sectoriales fuertes ligadas al miedo a una burbuja de inversión en centros de datos (hoy, −5 % junto a Comfort Systems). Coincide con los datos: el negocio sigue acelerando, pero el mercado ya no paga más múltiplo.</w:t>
      </w:r>
    </w:p>
    <w:bookmarkEnd w:id="29"/>
    <w:bookmarkStart w:id="30" w:name="riesgos-y-qué-rompería-la-tesis"/>
    <w:p>
      <w:pPr>
        <w:pStyle w:val="Heading2"/>
      </w:pPr>
      <w:r>
        <w:t xml:space="preserve">11. Riesgos y qué rompería la tesis</w:t>
      </w:r>
    </w:p>
    <w:p>
      <w:pPr>
        <w:pStyle w:val="FirstParagraph"/>
      </w:pPr>
      <w:r>
        <w:rPr>
          <w:bCs/>
          <w:b/>
        </w:rPr>
        <w:t xml:space="preserve">Robustez (prueba obligatoria,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herramientas/robustez-growth.mjs --precios</w:t>
      </w:r>
      <w:r>
        <w:rPr>
          <w:bCs/>
          <w:b/>
        </w:rPr>
        <w:t xml:space="preserve">): SÓLIDA. Señal robusta: Vender.</w:t>
      </w:r>
      <w:r>
        <w:t xml:space="preserve"> </w:t>
      </w:r>
      <w:r>
        <w:t xml:space="preserve">Todas las variantes dan Vender: v11 −18,8 / −17,4 %; v7 −14,7 / −12,2 %; ventas del analista −18,8 / −17,4 %; probabilidades 35/50/15 −26,9 %; precio de hoy (653,75 USD, objetivo fijo) −14,5 / −12,9 %. Avisos de la prueba: (G2) el objetivo se mueve casi uno a uno con el precio (elasticidad 1,01, normal en las valoradas por EBITDA): por eso se deja fijo el del informe y el límite es 532,4 USD; (G6) bajista del −61 %: si algún día se compra, poco peso y en tramos.</w:t>
      </w:r>
    </w:p>
    <w:p>
      <w:pPr>
        <w:pStyle w:val="BodyText"/>
      </w:pPr>
      <w:r>
        <w:rPr>
          <w:bCs/>
          <w:b/>
        </w:rPr>
        <w:t xml:space="preserve">Alertas de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calc.alertas</w:t>
      </w:r>
      <w:r>
        <w:rPr>
          <w:bCs/>
          <w:b/>
        </w:rPr>
        <w:t xml:space="preserve"> </w:t>
      </w:r>
      <w:r>
        <w:rPr>
          <w:bCs/>
          <w:b/>
        </w:rPr>
        <w:t xml:space="preserve">(v11): ninguna.</w:t>
      </w:r>
      <w:r>
        <w:t xml:space="preserve"> </w:t>
      </w:r>
      <w:r>
        <w:t xml:space="preserve">Comprobado una a una: la mecánica (52.104 M) no supera 1,2 veces la del informe ni la del consenso (1,06×); el múltiplo de hoy (25,0x) está a 1,4 veces su mediana, no a 2; hay guía anual; el exceso sobre la guía (+6,9 pp) no pasa de 10; hay</w:t>
      </w:r>
      <w:r>
        <w:t xml:space="preserve"> </w:t>
      </w:r>
      <w:r>
        <w:rPr>
          <w:rStyle w:val="VerbatimChar"/>
        </w:rPr>
        <w:t xml:space="preserve">ebitda_ntm_m</w:t>
      </w:r>
      <w:r>
        <w:t xml:space="preserve"> </w:t>
      </w:r>
      <w:r>
        <w:t xml:space="preserve">y el margen implícito (10,45 %) es el del EBITDA NTM; sin concentración de clientes; pagos en acciones del 0,7 %. Lo que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mira ninguna alerta y sí pesa aquí: (a) el crecimiento comprado (la mecánica parte del 28 % total y no del ~20-27 % orgánico; v11 lo neutraliza al usar el consenso); (b) el múltiplo a 1,4 veces su mediana, cerca de la zona en la que el backtest neutral no encontró ganadoras (&gt; 2×), pero lejos de ella. Ninguna de las dos debilita la señal: ambas la refuerzan.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Ciclo de inversión en IA y en redes</w:t>
      </w:r>
      <w:r>
        <w:t xml:space="preserve"> </w:t>
      </w:r>
      <w:r>
        <w:t xml:space="preserve">(el principal): la demanda nueva viene de la electricidad de los centros de datos. Si los grandes operadores frenan, primero caen los proyectos de centros de datos (Cupertino, Dynamic Systems, Phalcon) y después, con retraso, las ampliaciones de red de las eléctricas. La cartera da ~1 año de colchón; los contratos marco (44 %) amortiguan.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Múltiplo</w:t>
      </w:r>
      <w:r>
        <w:t xml:space="preserve">: a 25x EV/EBITDA, una vuelta a 17-18x (su mediana) sin cambio del negocio son −25-30 % de precio. Es el riesgo de «percepción que gira» del método.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Compras</w:t>
      </w:r>
      <w:r>
        <w:t xml:space="preserve">: crecer comprando oculta el orgánico, sube el fondo de comercio (7.869 M) y la deuda, y trae riesgos de integración (contingentes de ~690 M).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Contratos a precio fijo y ejecución</w:t>
      </w:r>
      <w:r>
        <w:t xml:space="preserve">: proyectos grandes y complejos; sobrecostes, permisos o tiempo pueden dar pérdidas [2].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Responsabilidades por incendios</w:t>
      </w:r>
      <w:r>
        <w:t xml:space="preserve">: el trabajo en redes expone a demandas si una línea causa un incendio (riesgo citado en el 10-K; caso PG&amp;E en California).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Mano de obra</w:t>
      </w:r>
      <w:r>
        <w:t xml:space="preserve">: escasez de linieros y electricistas; 36 % sindicados.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Política</w:t>
      </w:r>
      <w:r>
        <w:t xml:space="preserve">: créditos fiscales a renovables recortados en 2025; aranceles a equipos.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Riesgo de IA (como amenaza): bajo.</w:t>
      </w:r>
      <w:r>
        <w:t xml:space="preserve"> </w:t>
      </w:r>
      <w:r>
        <w:t xml:space="preserve">Es trabajo físico y cualificado (montar torres, tender cable, conectar subestaciones) que la IA no sustituye; puede ayudar en ingeniería y presupuestos.</w:t>
      </w:r>
      <w:r>
        <w:t xml:space="preserve"> </w:t>
      </w:r>
      <w:r>
        <w:rPr>
          <w:bCs/>
          <w:b/>
        </w:rPr>
        <w:t xml:space="preserve">La IA es un riesgo de demanda, no de sustitución</w:t>
      </w:r>
      <w:r>
        <w:t xml:space="preserve">: Quanta es una apuesta a que la construcción de infraestructura eléctrica para la IA dure años.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Señales de venta concretas</w:t>
      </w:r>
      <w:r>
        <w:t xml:space="preserve"> </w:t>
      </w:r>
      <w:r>
        <w:t xml:space="preserve">(si se tuviera): cartera total que cae dos trimestres seguidos; crecimiento orgánico &lt; 10 % antes de 2028; margen EBITDA ajustado &lt; 9,5 % dos trimestres; aplazamiento de grandes proyectos de centros de datos o de transporte; compra grande pagada con muchas acciones.</w:t>
      </w:r>
    </w:p>
    <w:bookmarkEnd w:id="30"/>
    <w:bookmarkStart w:id="31" w:name="catalizadores-con-fecha"/>
    <w:p>
      <w:pPr>
        <w:pStyle w:val="Heading2"/>
      </w:pPr>
      <w:r>
        <w:t xml:space="preserve">12. Catalizadores con fecha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~29-oct-2026</w:t>
      </w:r>
      <w:r>
        <w:t xml:space="preserve">: resultados del 3T (fecha estimada por agregadores, sin confirmar). Claves: cartera (&gt; 53.000 M), crecimiento orgánico (&gt; 25 %), margen EBITDA (~11 %) y si mantiene o sube la guía 2026.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Febrero de 2027</w:t>
      </w:r>
      <w:r>
        <w:t xml:space="preserve">: resultados anuales y primera guía 2027 (suele empezar baja y subirla).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2026-2027</w:t>
      </w:r>
      <w:r>
        <w:t xml:space="preserve">: integración de Phalcon y Enerfab; puesta en marcha de la empresa conjunta de interruptores y de la fábrica de transformadores de 765 kV.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Continuos</w:t>
      </w:r>
      <w:r>
        <w:t xml:space="preserve">: anuncios de inversión de las eléctricas y de los grandes operadores de centros de datos; nuevas compras.</w:t>
      </w:r>
    </w:p>
    <w:bookmarkEnd w:id="31"/>
    <w:bookmarkStart w:id="32" w:name="encaje-en-cartera"/>
    <w:p>
      <w:pPr>
        <w:pStyle w:val="Heading2"/>
      </w:pPr>
      <w:r>
        <w:t xml:space="preserve">13. Encaje en cartera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Señal Vender / no comprar: no entra, no sustituye a ninguna y no va a la lista de suplentes.</w:t>
      </w:r>
      <w:r>
        <w:t xml:space="preserve"> </w:t>
      </w:r>
      <w:r>
        <w:t xml:space="preserve">El bolsillo growth está lleno (~20 %: Nu +19 %, Axon +36 %, Shopify +18 %, Snowflake +13 %, Samsara +15 % de ponderada al precio actual con v11) y la liquidez libre es casi nula. Quanta da −18,8 % al cierre y −14,6 % al precio actual: más de 25 puntos por debajo de la más floja de las cinco (Snowflake).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Suplentes</w:t>
      </w:r>
      <w:r>
        <w:t xml:space="preserve"> </w:t>
      </w:r>
      <w:r>
        <w:t xml:space="preserve">(por orden: MongoDB, Toast, Zscaler, Dexcom, Datadog, argenx, Natera, Saab): no entra; la lista es solo de Comprar. Queda con las de No comprar (GE Vernova, Celestica, Monolithic Power, Boston Scientific y Comfort Systems).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Frente a Comfort Systems</w:t>
      </w:r>
      <w:r>
        <w:t xml:space="preserve"> </w:t>
      </w:r>
      <w:r>
        <w:t xml:space="preserve">(</w:t>
      </w:r>
      <w:r>
        <w:rPr>
          <w:rStyle w:val="VerbatimChar"/>
        </w:rPr>
        <w:t xml:space="preserve">informes-growth/comfort-systems-2026-10-14</w:t>
      </w:r>
      <w:r>
        <w:t xml:space="preserve">, No comprar): misma conclusión por el mismo motivo, el precio. Comfort crece más y mejor (+50,3 % en el 2T, +43,8 % sin compras, margen EBITDA del 18 %) y es más barata (19,8x EV/EBITDA NTM, ponderada −17,6 %); Quanta crece menos por sí misma (+27 % en el 2T, ~8,5 % en 2025), con un margen de 10-11 % y un múltiplo más caro (25,0x, ponderada −18,8 %), pero tiene más negocio recurrente (contratos marco con las eléctricas), menos dependencia directa de los centros de datos y un margen que no está en máximos de ciclo. Si hubiera que elegir una de las dos cuando bajen, Comfort por crecimiento orgánico y precio; Quanta por estabilidad. Hoy, ninguna.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Exposición a IA de la cartera</w:t>
      </w:r>
      <w:r>
        <w:t xml:space="preserve">: Alphabet se vende mañana y no cuenta. Quanta añadiría el mismo riesgo de ciclo de inversión en infraestructura para IA que llevó a descartar GE Vernova, Celestica y Comfort Systems; no hay motivo para tomarlo a 25x.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Qué la haría comprable</w:t>
      </w:r>
      <w:r>
        <w:t xml:space="preserve">: precio ≤</w:t>
      </w:r>
      <w:r>
        <w:t xml:space="preserve"> </w:t>
      </w:r>
      <w:r>
        <w:rPr>
          <w:bCs/>
          <w:b/>
        </w:rPr>
        <w:t xml:space="preserve">532,4 USD</w:t>
      </w:r>
      <w:r>
        <w:t xml:space="preserve"> </w:t>
      </w:r>
      <w:r>
        <w:t xml:space="preserve">(−23 % sobre el cierre; ~18x EV/EBITDA NTM, su mediana) con resultados del 3T que mantengan cartera y orgánico &gt; 20 %. Entonces sería candidata con convicción baja (puntuación 71,5 &lt; 75) y peso del 3,5 %, en dos tramos.</w:t>
      </w:r>
    </w:p>
    <w:bookmarkEnd w:id="32"/>
    <w:bookmarkStart w:id="33" w:name="puntuación"/>
    <w:p>
      <w:pPr>
        <w:pStyle w:val="Heading2"/>
      </w:pPr>
      <w:r>
        <w:t xml:space="preserve">14. Puntuación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Bloque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Máximo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Comentario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 Crecimiento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+26 % en 12 meses (3), CAGR 22 % (3), aceleración +20 pp (5); con compras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B. Mercado y tecnología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Penetración 6,9 % (3), tecnología 3, posición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C. Cambio de tendencia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de 8 señales; sin euforia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D. Economía unitaria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Margen bruto 15,5 % (0), regla del 40 de 34 (2), FCF creciente (5)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E. Caja y dilución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FCF positivo, dilución 1 %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F. Ejecución y dirección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Historial 5, dirección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71,5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</w:tr>
    </w:tbl>
    <w:bookmarkEnd w:id="33"/>
    <w:bookmarkStart w:id="34" w:name="X81da8d965ce68425a37128028b9e186d24a9a9f"/>
    <w:p>
      <w:pPr>
        <w:pStyle w:val="Heading2"/>
      </w:pPr>
      <w:r>
        <w:t xml:space="preserve">Mejoras de método que salen de este informe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Crecimiento orgánico en compradores en serie</w:t>
      </w:r>
      <w:r>
        <w:t xml:space="preserve"> </w:t>
      </w:r>
      <w:r>
        <w:t xml:space="preserve">(ya propuesto con Comfort Systems; aquí pesa más): en 2025 el 58 % del crecimiento de Quanta fue comprado. Propuesta: campo</w:t>
      </w:r>
      <w:r>
        <w:t xml:space="preserve"> </w:t>
      </w:r>
      <w:r>
        <w:rPr>
          <w:rStyle w:val="VerbatimChar"/>
        </w:rPr>
        <w:t xml:space="preserve">crecimiento.organico_12m_pct</w:t>
      </w:r>
      <w:r>
        <w:t xml:space="preserve"> </w:t>
      </w:r>
      <w:r>
        <w:t xml:space="preserve">que sustituya al total en la proyección mecánica cuando las compras aporten &gt; 3 pp, y una alerta «crecimiento comprado &gt; 1/3 del total». Con Quanta, la partida bajaría del 28 % a ~21 % y la mecánica quedaría cerca del consenso. Probar en el backtest antes de usarlo.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El veto de euforia y el filtro de EV/beneficio bruto no sirven para contratistas</w:t>
      </w:r>
      <w:r>
        <w:t xml:space="preserve">: con un margen bruto del 15 %, 25x EV/EBITDA es solo 16,9x EV/beneficio bruto, muy lejos de 20 y de 35. Propuesta: en las valoradas por EV/EBITDA, que la euforia también salte con subida ≥ 150 % y múltiplo &gt; 1,5 veces su mediana de 3 años, y que el bloque D puntúe el margen EBITDA frente a su sector en vez del margen bruto (Quanta saca 0 de 5 en margen bruto siendo el mejor de su sector).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EBITDA NTM con estacionalidad</w:t>
      </w:r>
      <w:r>
        <w:t xml:space="preserve">: repartir el consenso anual por partes iguales sobrestima el EBITDA NTM cuando el primer semestre es flojo (aquí 4.662 M con reparto lineal frente a 4.423 M por semestres, un 5 %). Propuesta para la plantilla:</w:t>
      </w:r>
      <w:r>
        <w:t xml:space="preserve"> </w:t>
      </w:r>
      <w:r>
        <w:rPr>
          <w:rStyle w:val="VerbatimChar"/>
        </w:rPr>
        <w:t xml:space="preserve">ebitda_ntm_m</w:t>
      </w:r>
      <w:r>
        <w:t xml:space="preserve"> </w:t>
      </w:r>
      <w:r>
        <w:t xml:space="preserve">= resto del año guiado + parte del año siguiente con la estacionalidad del último año, y decirlo en la fuente.</w:t>
      </w:r>
    </w:p>
    <w:bookmarkEnd w:id="34"/>
    <w:bookmarkStart w:id="35" w:name="fuentes"/>
    <w:p>
      <w:pPr>
        <w:pStyle w:val="Heading2"/>
      </w:pPr>
      <w:r>
        <w:t xml:space="preserve">Fuentes</w:t>
      </w:r>
    </w:p>
    <w:p>
      <w:pPr>
        <w:pStyle w:val="FirstParagraph"/>
      </w:pPr>
      <w:r>
        <w:t xml:space="preserve">[1] Quanta Services, nota de resultados del 2T 2026 (8-K, ex. 99.1, 30-jul-2026, SEC EDGAR) y notas del 1T 2026 (30-abr-2026), 4T 2025 (19-feb-2026) y de 2025 (guías sucesivas).</w:t>
      </w:r>
      <w:r>
        <w:t xml:space="preserve"> </w:t>
      </w:r>
      <w:r>
        <w:t xml:space="preserve">[2] SEC EDGAR: 10-Q del 2T 2026 (ventas de negocios comprados, pro forma, compras de 2025-2026, precio fijo, subcontratación); 10-K 2025 (compras de 2025, clientes, empleados, contratos marco); XBRL companyfacts (CIK 1050915); 8-K del 3/4/6-ago-2026 (emisión de bonos).</w:t>
      </w:r>
      <w:r>
        <w:t xml:space="preserve"> </w:t>
      </w:r>
      <w:r>
        <w:t xml:space="preserve">[3] SEC, formularios 4 de 2026 (ventas del consejero delegado y del responsable contable; sin compras en mercado) y 8-K del 15-sep-2026.</w:t>
      </w:r>
      <w:r>
        <w:t xml:space="preserve"> </w:t>
      </w:r>
      <w:r>
        <w:t xml:space="preserve">[4] Yahoo Finance chart API (diarios a 2 años y mensuales a 5 años; 688,88 USD el 13-oct; 654,39 USD el 14-oct a las 17:38 UTC) y Nasdaq.com (histórico: cierre de 688,88 USD el 13-oct); MarketScreener (cierre y tiempo real); SPY para el índice.</w:t>
      </w:r>
      <w:r>
        <w:t xml:space="preserve"> </w:t>
      </w:r>
      <w:r>
        <w:t xml:space="preserve">[5] stockanalysis.com, previsiones y acciones de analistas (14-oct-2026).</w:t>
      </w:r>
      <w:r>
        <w:t xml:space="preserve"> </w:t>
      </w:r>
      <w:r>
        <w:t xml:space="preserve">[6] MarketScreener, finanzas y estimaciones 2023-2028 (14-oct-2026).</w:t>
      </w:r>
      <w:r>
        <w:t xml:space="preserve"> </w:t>
      </w:r>
      <w:r>
        <w:t xml:space="preserve">[7] Investor Day del 31-mar-2026: resúmenes de TIKR y Yahoo Finance/MarketBeat (objetivos 2030); presentación en investors.quantaservices.com (no leída entera).</w:t>
      </w:r>
      <w:r>
        <w:t xml:space="preserve"> </w:t>
      </w:r>
      <w:r>
        <w:t xml:space="preserve">[8] Unusual Whales y Equibles (fecha estimada de resultados del 3T; movimiento implícito).</w:t>
      </w:r>
      <w:r>
        <w:t xml:space="preserve"> </w:t>
      </w:r>
      <w:r>
        <w:t xml:space="preserve">[9] Estimaciones propias: EV, EBITDA y ventas NTM, múltiplos históricos (reconstruidos) y de comparables (aproximados o de memoria), DCF inverso.</w:t>
      </w:r>
      <w:r>
        <w:t xml:space="preserve"> </w:t>
      </w:r>
      <w:r>
        <w:t xml:space="preserve">[10] Simply Wall St, Zacks/Nasdaq, TIKR (también en castellano), Barchart, Seeking Alpha (prensa y análisis, 2026).</w:t>
      </w:r>
      <w:r>
        <w:t xml:space="preserve"> </w:t>
      </w:r>
      <w:r>
        <w:t xml:space="preserve">[11] Búsquedas en Reddit, Rankia e Investing.com ES sin hilos relevantes localizados; StockTwits/X no consultados.</w:t>
      </w:r>
      <w:r>
        <w:t xml:space="preserve"> </w:t>
      </w:r>
      <w:r>
        <w:t xml:space="preserve">[12] Mercado alcanzable: cifra de la empresa (2,4 billones acumulados a 2030) anualizada; probablemente inflada.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2026-10-14T21:42:04Z</dcterms:created>
  <dcterms:modified xsi:type="dcterms:W3CDTF">2026-10-14T21:42:04Z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