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1b9ad64a00b7f54f8347656749fb4745dee39a"/>
    <w:p>
      <w:pPr>
        <w:pStyle w:val="Heading1"/>
      </w:pPr>
      <w:r>
        <w:t xml:space="preserve">Rocket Lab Corporation (RKLB): análisis growth, 14-oct-2026</w:t>
      </w:r>
    </w:p>
    <w:p>
      <w:pPr>
        <w:pStyle w:val="FirstParagraph"/>
      </w:pPr>
      <w:r>
        <w:rPr>
          <w:bCs/>
          <w:b/>
        </w:rPr>
        <w:t xml:space="preserve">Señal (método v7): Mantener</w:t>
      </w:r>
      <w:r>
        <w:t xml:space="preserve"> </w:t>
      </w:r>
      <w:r>
        <w:t xml:space="preserve">· Puntuación 63,8/100 · Señales de cambio de tendencia 3/8 · EV/beneficio bruto 90,8x</w:t>
      </w:r>
      <w:r>
        <w:t xml:space="preserve"> </w:t>
      </w:r>
      <w:r>
        <w:t xml:space="preserve">Precio 64,22 USD · Objetivo 12 m 65,1 USD (ponderada +1,3 %, base +15,7 %, bajista −47,7 %, alcista +67,9 %) · Compra hasta 28,7 USD</w:t>
      </w:r>
      <w:r>
        <w:t xml:space="preserve"> </w:t>
      </w:r>
      <w:r>
        <w:t xml:space="preserve">Peso orientativo: no entra · Por qué: no compra: ponderada &lt; 5 %, EV/beneficio bruto &gt; 35</w:t>
      </w:r>
    </w:p>
    <w:p>
      <w:pPr>
        <w:pStyle w:val="BlockText"/>
      </w:pPr>
      <w:r>
        <w:rPr>
          <w:bCs/>
          <w:b/>
        </w:rPr>
        <w:t xml:space="preserve">Calculado con el método v7</w:t>
      </w:r>
      <w:r>
        <w:t xml:space="preserve"> </w:t>
      </w:r>
      <w:r>
        <w:t xml:space="preserve">(</w:t>
      </w:r>
      <w:r>
        <w:rPr>
          <w:rStyle w:val="VerbatimChar"/>
        </w:rPr>
        <w:t xml:space="preserve">verticales/growth/metodo.md</w:t>
      </w:r>
      <w:r>
        <w:t xml:space="preserve">). Ventas con la regla mecánica (1.756 M USD en el base), múltiplo de hoy (33,6x EV/ventas NTM) con rebaja por desaceleración (18,4x / 30,7x / 39,9x). Probabilidades 35/50/15 porque la ejecución es dudosa (Neutron lleva tres años de retraso) y hay una compra transformadora pendiente (Iridium).</w:t>
      </w:r>
      <w:r>
        <w:t xml:space="preserve"> </w:t>
      </w:r>
      <w:r>
        <w:rPr>
          <w:bCs/>
          <w:b/>
        </w:rPr>
        <w:t xml:space="preserve">Valoración de Rocket Lab sola, sin Iridium</w:t>
      </w:r>
      <w:r>
        <w:t xml:space="preserve"> </w:t>
      </w:r>
      <w:r>
        <w:t xml:space="preserve">(sección 9).</w:t>
      </w:r>
    </w:p>
    <w:bookmarkStart w:id="20" w:name="la-tesis-en-cinco-líneas"/>
    <w:p>
      <w:pPr>
        <w:pStyle w:val="Heading2"/>
      </w:pPr>
      <w:r>
        <w:t xml:space="preserve">1. La tesis en cinco líneas</w:t>
      </w:r>
    </w:p>
    <w:p>
      <w:pPr>
        <w:numPr>
          <w:ilvl w:val="0"/>
          <w:numId w:val="1001"/>
        </w:numPr>
        <w:pStyle w:val="Compact"/>
      </w:pPr>
      <w:r>
        <w:t xml:space="preserve">El negocio crece de verdad: ventas de los últimos 12 meses de 769 M USD (+52,5 %), un último trimestre de +62 % y una guía para el 3T de +61-71 %. La cartera de pedidos está en 2.360 M USD (+137 %).</w:t>
      </w:r>
    </w:p>
    <w:p>
      <w:pPr>
        <w:numPr>
          <w:ilvl w:val="0"/>
          <w:numId w:val="1001"/>
        </w:numPr>
        <w:pStyle w:val="Compact"/>
      </w:pPr>
      <w:r>
        <w:t xml:space="preserve">Pero la acción ha caído de 151 a 64 USD desde mayo. Las razones: la salida a bolsa de SpaceX (que se llevó el dinero «espacial»), Neutron sin fecha firme, la compra de Iridium por 8.000 M USD y una dilución del 22 % en un año.</w:t>
      </w:r>
    </w:p>
    <w:p>
      <w:pPr>
        <w:numPr>
          <w:ilvl w:val="0"/>
          <w:numId w:val="1001"/>
        </w:numPr>
        <w:pStyle w:val="Compact"/>
      </w:pPr>
      <w:r>
        <w:t xml:space="preserve">Aun así no está barata. Cotiza a 33,6x las ventas de los próximos 12 meses y a 90,8x el beneficio bruto, con un margen bruto del 37 %. Es el filtro que la deja fuera: el método pide ≤ 35x.</w:t>
      </w:r>
    </w:p>
    <w:p>
      <w:pPr>
        <w:numPr>
          <w:ilvl w:val="0"/>
          <w:numId w:val="1001"/>
        </w:numPr>
        <w:pStyle w:val="Compact"/>
      </w:pPr>
      <w:r>
        <w:t xml:space="preserve">La economía unitaria es floja para este precio. El FCF es de −371 M USD (−48 % de las ventas), la regla del 40 da 4,3 y el EBITDA ajustado vuelve a empeorar en el 3T por los costes de Neutron.</w:t>
      </w:r>
    </w:p>
    <w:p>
      <w:pPr>
        <w:numPr>
          <w:ilvl w:val="0"/>
          <w:numId w:val="1001"/>
        </w:numPr>
        <w:pStyle w:val="Compact"/>
      </w:pPr>
      <w:r>
        <w:t xml:space="preserve">Conclusión:</w:t>
      </w:r>
      <w:r>
        <w:t xml:space="preserve"> </w:t>
      </w:r>
      <w:r>
        <w:rPr>
          <w:bCs/>
          <w:b/>
        </w:rPr>
        <w:t xml:space="preserve">Mantener (no comprar)</w:t>
      </w:r>
      <w:r>
        <w:t xml:space="preserve">. La ponderada es del +1,3 % y el precio máximo de compra es 28,7 USD (−55 %). Hay que vigilar el primer vuelo de Neutron y la evolución del margen bruto.</w:t>
      </w:r>
    </w:p>
    <w:bookmarkEnd w:id="20"/>
    <w:bookmarkStart w:id="21" w:name="negocio-y-tecnología"/>
    <w:p>
      <w:pPr>
        <w:pStyle w:val="Heading2"/>
      </w:pPr>
      <w:r>
        <w:t xml:space="preserve">2. Negocio y tecnología</w:t>
      </w:r>
    </w:p>
    <w:p>
      <w:pPr>
        <w:pStyle w:val="FirstParagraph"/>
      </w:pPr>
      <w:r>
        <w:t xml:space="preserve">Rocket Lab tiene dos negocios [1][2]:</w:t>
      </w:r>
      <w:r>
        <w:t xml:space="preserve"> </w:t>
      </w:r>
      <w:r>
        <w:t xml:space="preserve">-</w:t>
      </w:r>
      <w:r>
        <w:t xml:space="preserve"> </w:t>
      </w:r>
      <w:r>
        <w:rPr>
          <w:bCs/>
          <w:b/>
        </w:rPr>
        <w:t xml:space="preserve">Lanzamiento</w:t>
      </w:r>
      <w:r>
        <w:t xml:space="preserve"> </w:t>
      </w:r>
      <w:r>
        <w:t xml:space="preserve">(44,6 M USD en el 2T, el 19 % de las ventas).</w:t>
      </w:r>
      <w:r>
        <w:t xml:space="preserve"> </w:t>
      </w:r>
      <w:r>
        <w:rPr>
          <w:bCs/>
          <w:b/>
        </w:rPr>
        <w:t xml:space="preserve">Electron</w:t>
      </w:r>
      <w:r>
        <w:t xml:space="preserve"> </w:t>
      </w:r>
      <w:r>
        <w:t xml:space="preserve">es el cohete pequeño más usado de Occidente después de los de SpaceX.</w:t>
      </w:r>
      <w:r>
        <w:t xml:space="preserve"> </w:t>
      </w:r>
      <w:r>
        <w:rPr>
          <w:bCs/>
          <w:b/>
        </w:rPr>
        <w:t xml:space="preserve">HASTE</w:t>
      </w:r>
      <w:r>
        <w:t xml:space="preserve"> </w:t>
      </w:r>
      <w:r>
        <w:t xml:space="preserve">es su versión suborbital para pruebas hipersónicas del Pentágono; en julio ganó un contrato de 266 M USD de la Space Force para 12 lanzamientos [18].</w:t>
      </w:r>
      <w:r>
        <w:t xml:space="preserve"> </w:t>
      </w:r>
      <w:r>
        <w:rPr>
          <w:bCs/>
          <w:b/>
        </w:rPr>
        <w:t xml:space="preserve">Neutron</w:t>
      </w:r>
      <w:r>
        <w:t xml:space="preserve"> </w:t>
      </w:r>
      <w:r>
        <w:t xml:space="preserve">es un cohete medio parcialmente reutilizable (~13 t a órbita baja) que compite con el Falcon 9. Todavía no ha volado.</w:t>
      </w:r>
      <w:r>
        <w:t xml:space="preserve"> </w:t>
      </w:r>
      <w:r>
        <w:t xml:space="preserve">-</w:t>
      </w:r>
      <w:r>
        <w:t xml:space="preserve"> </w:t>
      </w:r>
      <w:r>
        <w:rPr>
          <w:bCs/>
          <w:b/>
        </w:rPr>
        <w:t xml:space="preserve">Sistemas espaciales</w:t>
      </w:r>
      <w:r>
        <w:t xml:space="preserve"> </w:t>
      </w:r>
      <w:r>
        <w:t xml:space="preserve">(189,5 M USD, el 81 %). Fabrica satélites completos (el contrato de la SDA para 18 satélites de alerta de misiles, por hasta 816 M USD), paneles solares, ruedas de reacción, radios, software y, desde 2026, comunicaciones láser (Mynaric) y robótica (Motiv).</w:t>
      </w:r>
    </w:p>
    <w:p>
      <w:pPr>
        <w:pStyle w:val="BodyText"/>
      </w:pPr>
      <w:r>
        <w:rPr>
          <w:bCs/>
          <w:b/>
        </w:rPr>
        <w:t xml:space="preserve">Lo nuevo es Iridium.</w:t>
      </w:r>
      <w:r>
        <w:t xml:space="preserve"> </w:t>
      </w:r>
      <w:r>
        <w:t xml:space="preserve">El 28-jun-2026 acordó comprar el operador de telefonía y datos por satélite por ~8.000 M USD de EV. Paga 27 USD en efectivo más 0,24-0,40 acciones de RKLB por cada acción de Iridium [19]. Con eso pasaría de fabricante a operador, con ingresos recurrentes, como quiere Beck («ser el SpaceX que cotiza»). La compra está aprobada por los accionistas de Iridium y se cerrará a mediados de 2027.</w:t>
      </w:r>
    </w:p>
    <w:p>
      <w:pPr>
        <w:pStyle w:val="BodyText"/>
      </w:pPr>
      <w:r>
        <w:rPr>
          <w:bCs/>
          <w:b/>
        </w:rPr>
        <w:t xml:space="preserve">Tecnología: 4/5.</w:t>
      </w:r>
      <w:r>
        <w:t xml:space="preserve"> </w:t>
      </w:r>
      <w:r>
        <w:t xml:space="preserve">Rocket Lab tiene una integración vertical que pocos tienen (fabrica casi todos los componentes), más de 70 lanzamientos de Electron y un nicho propio en hipersónicos. No llega al 5 porque Neutron todavía no está probado y porque SpaceX domina el lanzamiento con un coste que nadie iguala.</w:t>
      </w:r>
      <w:r>
        <w:t xml:space="preserve"> </w:t>
      </w:r>
      <w:r>
        <w:rPr>
          <w:bCs/>
          <w:b/>
        </w:rPr>
        <w:t xml:space="preserve">Posición: 4/5.</w:t>
      </w:r>
      <w:r>
        <w:t xml:space="preserve"> </w:t>
      </w:r>
      <w:r>
        <w:t xml:space="preserve">Es el segundo lanzador comercial de EE. UU. por cadencia y un proveedor de referencia de componentes, con cuota creciente en defensa. Pero va muy por detrás de SpaceX.</w:t>
      </w:r>
    </w:p>
    <w:bookmarkEnd w:id="21"/>
    <w:bookmarkStart w:id="22" w:name="crecimiento"/>
    <w:p>
      <w:pPr>
        <w:pStyle w:val="Heading2"/>
      </w:pPr>
      <w:r>
        <w:t xml:space="preserve">3. Crecimiento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 interanual</w:t>
            </w:r>
          </w:p>
        </w:tc>
      </w:tr>
      <w:tr>
        <w:tc>
          <w:tcPr/>
          <w:p>
            <w:pPr>
              <w:pStyle w:val="Compact"/>
              <w:jc w:val="left"/>
            </w:pPr>
            <w:r>
              <w:t xml:space="preserve">3T 2025</w:t>
            </w:r>
          </w:p>
        </w:tc>
        <w:tc>
          <w:tcPr/>
          <w:p>
            <w:pPr>
              <w:pStyle w:val="Compact"/>
              <w:jc w:val="left"/>
            </w:pPr>
            <w:r>
              <w:t xml:space="preserve">155,1</w:t>
            </w:r>
          </w:p>
        </w:tc>
        <w:tc>
          <w:tcPr/>
          <w:p>
            <w:pPr>
              <w:pStyle w:val="Compact"/>
              <w:jc w:val="left"/>
            </w:pPr>
            <w:r>
              <w:t xml:space="preserve">48,0 %</w:t>
            </w:r>
          </w:p>
        </w:tc>
      </w:tr>
      <w:tr>
        <w:tc>
          <w:tcPr/>
          <w:p>
            <w:pPr>
              <w:pStyle w:val="Compact"/>
              <w:jc w:val="left"/>
            </w:pPr>
            <w:r>
              <w:t xml:space="preserve">4T 2025</w:t>
            </w:r>
          </w:p>
        </w:tc>
        <w:tc>
          <w:tcPr/>
          <w:p>
            <w:pPr>
              <w:pStyle w:val="Compact"/>
              <w:jc w:val="left"/>
            </w:pPr>
            <w:r>
              <w:t xml:space="preserve">179,7</w:t>
            </w:r>
          </w:p>
        </w:tc>
        <w:tc>
          <w:tcPr/>
          <w:p>
            <w:pPr>
              <w:pStyle w:val="Compact"/>
              <w:jc w:val="left"/>
            </w:pPr>
            <w:r>
              <w:t xml:space="preserve">35,7 %</w:t>
            </w:r>
          </w:p>
        </w:tc>
      </w:tr>
      <w:tr>
        <w:tc>
          <w:tcPr/>
          <w:p>
            <w:pPr>
              <w:pStyle w:val="Compact"/>
              <w:jc w:val="left"/>
            </w:pPr>
            <w:r>
              <w:t xml:space="preserve">1T 2026</w:t>
            </w:r>
          </w:p>
        </w:tc>
        <w:tc>
          <w:tcPr/>
          <w:p>
            <w:pPr>
              <w:pStyle w:val="Compact"/>
              <w:jc w:val="left"/>
            </w:pPr>
            <w:r>
              <w:t xml:space="preserve">200,3</w:t>
            </w:r>
          </w:p>
        </w:tc>
        <w:tc>
          <w:tcPr/>
          <w:p>
            <w:pPr>
              <w:pStyle w:val="Compact"/>
              <w:jc w:val="left"/>
            </w:pPr>
            <w:r>
              <w:t xml:space="preserve">63,5 %</w:t>
            </w:r>
          </w:p>
        </w:tc>
      </w:tr>
      <w:tr>
        <w:tc>
          <w:tcPr/>
          <w:p>
            <w:pPr>
              <w:pStyle w:val="Compact"/>
              <w:jc w:val="left"/>
            </w:pPr>
            <w:r>
              <w:t xml:space="preserve">2T 2026</w:t>
            </w:r>
          </w:p>
        </w:tc>
        <w:tc>
          <w:tcPr/>
          <w:p>
            <w:pPr>
              <w:pStyle w:val="Compact"/>
              <w:jc w:val="left"/>
            </w:pPr>
            <w:r>
              <w:t xml:space="preserve">234,1</w:t>
            </w:r>
          </w:p>
        </w:tc>
        <w:tc>
          <w:tcPr/>
          <w:p>
            <w:pPr>
              <w:pStyle w:val="Compact"/>
              <w:jc w:val="left"/>
            </w:pPr>
            <w:r>
              <w:t xml:space="preserve">62,0 %</w:t>
            </w:r>
          </w:p>
        </w:tc>
      </w:tr>
      <w:tr>
        <w:tc>
          <w:tcPr/>
          <w:p>
            <w:pPr>
              <w:pStyle w:val="Compact"/>
              <w:jc w:val="left"/>
            </w:pPr>
            <w:r>
              <w:t xml:space="preserve">Guía 3T 2026</w:t>
            </w:r>
          </w:p>
        </w:tc>
        <w:tc>
          <w:tcPr/>
          <w:p>
            <w:pPr>
              <w:pStyle w:val="Compact"/>
              <w:jc w:val="left"/>
            </w:pPr>
            <w:r>
              <w:t xml:space="preserve">250-265</w:t>
            </w:r>
          </w:p>
        </w:tc>
        <w:tc>
          <w:tcPr/>
          <w:p>
            <w:pPr>
              <w:pStyle w:val="Compact"/>
              <w:jc w:val="left"/>
            </w:pPr>
            <w:r>
              <w:t xml:space="preserve">61-71 %</w:t>
            </w:r>
          </w:p>
        </w:tc>
      </w:tr>
    </w:tbl>
    <w:p>
      <w:pPr>
        <w:pStyle w:val="BodyText"/>
      </w:pPr>
      <w:r>
        <w:t xml:space="preserve">Fuentes: [1][2][21].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Ventas (M USD)</w:t>
            </w:r>
          </w:p>
        </w:tc>
        <w:tc>
          <w:tcPr/>
          <w:p>
            <w:pPr>
              <w:pStyle w:val="Compact"/>
              <w:jc w:val="left"/>
            </w:pPr>
            <w:r>
              <w:t xml:space="preserve">Crec.</w:t>
            </w:r>
          </w:p>
        </w:tc>
      </w:tr>
      <w:tr>
        <w:tc>
          <w:tcPr/>
          <w:p>
            <w:pPr>
              <w:pStyle w:val="Compact"/>
              <w:jc w:val="left"/>
            </w:pPr>
            <w:r>
              <w:t xml:space="preserve">2023</w:t>
            </w:r>
          </w:p>
        </w:tc>
        <w:tc>
          <w:tcPr/>
          <w:p>
            <w:pPr>
              <w:pStyle w:val="Compact"/>
              <w:jc w:val="left"/>
            </w:pPr>
            <w:r>
              <w:t xml:space="preserve">~245</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436</w:t>
            </w:r>
          </w:p>
        </w:tc>
        <w:tc>
          <w:tcPr/>
          <w:p>
            <w:pPr>
              <w:pStyle w:val="Compact"/>
              <w:jc w:val="left"/>
            </w:pPr>
            <w:r>
              <w:t xml:space="preserve">~78 %</w:t>
            </w:r>
          </w:p>
        </w:tc>
      </w:tr>
      <w:tr>
        <w:tc>
          <w:tcPr/>
          <w:p>
            <w:pPr>
              <w:pStyle w:val="Compact"/>
              <w:jc w:val="left"/>
            </w:pPr>
            <w:r>
              <w:t xml:space="preserve">2025</w:t>
            </w:r>
          </w:p>
        </w:tc>
        <w:tc>
          <w:tcPr/>
          <w:p>
            <w:pPr>
              <w:pStyle w:val="Compact"/>
              <w:jc w:val="left"/>
            </w:pPr>
            <w:r>
              <w:t xml:space="preserve">601,8</w:t>
            </w:r>
          </w:p>
        </w:tc>
        <w:tc>
          <w:tcPr/>
          <w:p>
            <w:pPr>
              <w:pStyle w:val="Compact"/>
              <w:jc w:val="left"/>
            </w:pPr>
            <w:r>
              <w:t xml:space="preserve">38 %</w:t>
            </w:r>
          </w:p>
        </w:tc>
      </w:tr>
      <w:tr>
        <w:tc>
          <w:tcPr/>
          <w:p>
            <w:pPr>
              <w:pStyle w:val="Compact"/>
              <w:jc w:val="left"/>
            </w:pPr>
            <w:r>
              <w:t xml:space="preserve">2026 (1S + guía 3T + 4T estimado)</w:t>
            </w:r>
          </w:p>
        </w:tc>
        <w:tc>
          <w:tcPr/>
          <w:p>
            <w:pPr>
              <w:pStyle w:val="Compact"/>
              <w:jc w:val="left"/>
            </w:pPr>
            <w:r>
              <w:t xml:space="preserve">~990</w:t>
            </w:r>
          </w:p>
        </w:tc>
        <w:tc>
          <w:tcPr/>
          <w:p>
            <w:pPr>
              <w:pStyle w:val="Compact"/>
              <w:jc w:val="left"/>
            </w:pPr>
            <w:r>
              <w:t xml:space="preserve">~65 %</w:t>
            </w:r>
          </w:p>
        </w:tc>
      </w:tr>
    </w:tbl>
    <w:p>
      <w:pPr>
        <w:numPr>
          <w:ilvl w:val="0"/>
          <w:numId w:val="1002"/>
        </w:numPr>
        <w:pStyle w:val="Compact"/>
      </w:pPr>
      <w:r>
        <w:rPr>
          <w:bCs/>
          <w:b/>
        </w:rPr>
        <w:t xml:space="preserve">Ventas de los últimos 12 meses</w:t>
      </w:r>
      <w:r>
        <w:t xml:space="preserve">: 769 M USD,</w:t>
      </w:r>
      <w:r>
        <w:t xml:space="preserve"> </w:t>
      </w:r>
      <w:r>
        <w:rPr>
          <w:bCs/>
          <w:b/>
        </w:rPr>
        <w:t xml:space="preserve">+52,5 %</w:t>
      </w:r>
      <w:r>
        <w:t xml:space="preserve"> </w:t>
      </w:r>
      <w:r>
        <w:t xml:space="preserve">(504 M un año antes).</w:t>
      </w:r>
      <w:r>
        <w:t xml:space="preserve"> </w:t>
      </w:r>
      <w:r>
        <w:rPr>
          <w:bCs/>
          <w:b/>
        </w:rPr>
        <w:t xml:space="preserve">CAGR propio a 2 años</w:t>
      </w:r>
      <w:r>
        <w:t xml:space="preserve">:</w:t>
      </w:r>
      <w:r>
        <w:t xml:space="preserve"> </w:t>
      </w:r>
      <w:r>
        <w:rPr>
          <w:bCs/>
          <w:b/>
        </w:rPr>
        <w:t xml:space="preserve">53,4 %</w:t>
      </w:r>
      <w:r>
        <w:t xml:space="preserve"> </w:t>
      </w:r>
      <w:r>
        <w:t xml:space="preserve">(327 M USD en los 12 meses a jun-2024). Las ventas de 2023-2024 son de memoria y cuadran con los crecimientos publicados [21].</w:t>
      </w:r>
    </w:p>
    <w:p>
      <w:pPr>
        <w:numPr>
          <w:ilvl w:val="0"/>
          <w:numId w:val="1002"/>
        </w:numPr>
        <w:pStyle w:val="Compact"/>
      </w:pPr>
      <w:r>
        <w:rPr>
          <w:bCs/>
          <w:b/>
        </w:rPr>
        <w:t xml:space="preserve">Aceleración</w:t>
      </w:r>
      <w:r>
        <w:t xml:space="preserve">: el 2T creció un 62,0 %, frente a una media del 45,8 % en los cuatro trimestres anteriores:</w:t>
      </w:r>
      <w:r>
        <w:t xml:space="preserve"> </w:t>
      </w:r>
      <w:r>
        <w:rPr>
          <w:bCs/>
          <w:b/>
        </w:rPr>
        <w:t xml:space="preserve">+16,2 pp</w:t>
      </w:r>
      <w:r>
        <w:t xml:space="preserve">.</w:t>
      </w:r>
      <w:r>
        <w:t xml:space="preserve"> </w:t>
      </w:r>
      <w:r>
        <w:rPr>
          <w:bCs/>
          <w:b/>
        </w:rPr>
        <w:t xml:space="preserve">Ojo, parte es inorgánica</w:t>
      </w:r>
      <w:r>
        <w:t xml:space="preserve">: Geost (comprada en 2025), Mynaric y Motiv (2026). La empresa no desglosa el crecimiento orgánico, así que la aceleración real es menor.</w:t>
      </w:r>
    </w:p>
    <w:p>
      <w:pPr>
        <w:numPr>
          <w:ilvl w:val="0"/>
          <w:numId w:val="1002"/>
        </w:numPr>
        <w:pStyle w:val="Compact"/>
      </w:pPr>
      <w:r>
        <w:rPr>
          <w:bCs/>
          <w:b/>
        </w:rPr>
        <w:t xml:space="preserve">Cartera de pedidos</w:t>
      </w:r>
      <w:r>
        <w:t xml:space="preserve">: 2.360 M USD (+137 %), con más de 90 lanzamientos. Más de 1.000 M USD en contratos nuevos en el 2T y después [1][18].</w:t>
      </w:r>
    </w:p>
    <w:p>
      <w:pPr>
        <w:numPr>
          <w:ilvl w:val="0"/>
          <w:numId w:val="1002"/>
        </w:numPr>
        <w:pStyle w:val="Compact"/>
      </w:pPr>
      <w:r>
        <w:rPr>
          <w:bCs/>
          <w:b/>
        </w:rPr>
        <w:t xml:space="preserve">Retención</w:t>
      </w:r>
      <w:r>
        <w:t xml:space="preserve">: no aplica (no es un negocio de suscripción);</w:t>
      </w:r>
      <w:r>
        <w:t xml:space="preserve"> </w:t>
      </w:r>
      <w:r>
        <w:rPr>
          <w:rStyle w:val="VerbatimChar"/>
        </w:rPr>
        <w:t xml:space="preserve">nrr_pct</w:t>
      </w:r>
      <w:r>
        <w:t xml:space="preserve"> </w:t>
      </w:r>
      <w:r>
        <w:t xml:space="preserve">= null.</w:t>
      </w:r>
    </w:p>
    <w:p>
      <w:pPr>
        <w:numPr>
          <w:ilvl w:val="0"/>
          <w:numId w:val="1002"/>
        </w:numPr>
        <w:pStyle w:val="Compact"/>
      </w:pPr>
      <w:r>
        <w:rPr>
          <w:bCs/>
          <w:b/>
        </w:rPr>
        <w:t xml:space="preserve">Guía</w:t>
      </w:r>
      <w:r>
        <w:t xml:space="preserve">: 3T de 250-265 M USD, con un margen bruto GAAP del 29-31 % (frente al 36,1 % del 2T) [1].</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w:t>
      </w:r>
      <w:r>
        <w:t xml:space="preserve">: la empresa estimaba en 2022 unos 20.000 M USD para lanzamiento y 44.000 M para sistemas espaciales. En 2024 rebajó las cifras a ~15.000 M y ~25.000 M [20]. Se toman las de 2024,</w:t>
      </w:r>
      <w:r>
        <w:t xml:space="preserve"> </w:t>
      </w:r>
      <w:r>
        <w:rPr>
          <w:bCs/>
          <w:b/>
        </w:rPr>
        <w:t xml:space="preserve">40.000 M USD</w:t>
      </w:r>
      <w:r>
        <w:t xml:space="preserve">, sin Iridium y sin el «billón de la economía espacial».</w:t>
      </w:r>
    </w:p>
    <w:p>
      <w:pPr>
        <w:numPr>
          <w:ilvl w:val="0"/>
          <w:numId w:val="1003"/>
        </w:numPr>
        <w:pStyle w:val="Compact"/>
      </w:pPr>
      <w:r>
        <w:rPr>
          <w:bCs/>
          <w:b/>
        </w:rPr>
        <w:t xml:space="preserve">Penetración</w:t>
      </w:r>
      <w:r>
        <w:t xml:space="preserve">: 769 / 40.000 =</w:t>
      </w:r>
      <w:r>
        <w:t xml:space="preserve"> </w:t>
      </w:r>
      <w:r>
        <w:rPr>
          <w:bCs/>
          <w:b/>
        </w:rPr>
        <w:t xml:space="preserve">1,9 %</w:t>
      </w:r>
      <w:r>
        <w:t xml:space="preserve">.</w:t>
      </w:r>
    </w:p>
    <w:p>
      <w:pPr>
        <w:numPr>
          <w:ilvl w:val="0"/>
          <w:numId w:val="1003"/>
        </w:numPr>
        <w:pStyle w:val="Compact"/>
      </w:pPr>
      <w:r>
        <w:rPr>
          <w:bCs/>
          <w:b/>
        </w:rPr>
        <w:t xml:space="preserve">Rivales</w:t>
      </w:r>
      <w:r>
        <w:t xml:space="preserve">: SpaceX (Falcon 9 y Starship, con un coste por kilo imbatible y ahora con dinero de su salida a bolsa), Firefly, Blue Origin y la ULA en lanzamiento. En satélites y componentes: Northrop, L3Harris, York, Terran Orbital (Lockheed) y Redwire. Kratos en hipersónicos.</w:t>
      </w:r>
    </w:p>
    <w:p>
      <w:pPr>
        <w:numPr>
          <w:ilvl w:val="0"/>
          <w:numId w:val="1003"/>
        </w:numPr>
        <w:pStyle w:val="Compact"/>
      </w:pPr>
      <w:r>
        <w:rPr>
          <w:bCs/>
          <w:b/>
        </w:rPr>
        <w:t xml:space="preserve">Por qué gana</w:t>
      </w:r>
      <w:r>
        <w:t xml:space="preserve">: es el único rival «completo» de SpaceX fuera de los grandes contratistas, ejecuta en defensa (SDA, Space Force, hipersónicos) y su cadencia en Electron es real. Pero el gran mercado de lanzamiento (medio y pesado) depende de que Neutron funcione y salga barato.</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El precio objetivo medio baja de 110,18 USD (julio) a 104,71 (octubre). La guía del 3T es buena, pero no se ha encontrado una subida del consenso.</w:t>
            </w:r>
          </w:p>
        </w:tc>
        <w:tc>
          <w:tcPr/>
          <w:p>
            <w:pPr>
              <w:pStyle w:val="Compact"/>
              <w:jc w:val="left"/>
            </w:pPr>
            <w:r>
              <w:t xml:space="preserve">[5][13]</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64,22 USD frente a una media de ~80 USD que ya gira a la baja. Lleva cinco sesiones seguidas cayendo.</w:t>
            </w:r>
          </w:p>
        </w:tc>
        <w:tc>
          <w:tcPr/>
          <w:p>
            <w:pPr>
              <w:pStyle w:val="Compact"/>
              <w:jc w:val="left"/>
            </w:pPr>
            <w:r>
              <w:t xml:space="preserve">[5][9]</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Está muy por debajo de abril-mayo (151 USD en mayo), mientras el Nasdaq sube.</w:t>
            </w:r>
          </w:p>
        </w:tc>
        <w:tc>
          <w:tcPr/>
          <w:p>
            <w:pPr>
              <w:pStyle w:val="Compact"/>
              <w:jc w:val="left"/>
            </w:pPr>
            <w:r>
              <w:t xml:space="preserve">[8][10]</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Sí (por la regla)</w:t>
            </w:r>
          </w:p>
        </w:tc>
        <w:tc>
          <w:tcPr/>
          <w:p>
            <w:pPr>
              <w:pStyle w:val="Compact"/>
              <w:jc w:val="left"/>
            </w:pPr>
            <w:r>
              <w:t xml:space="preserve">EV/ventas NTM de ~24x en el mínimo de 12 meses (37,57 USD) a ~34x hoy: +40 %. Pero viene de ~80x en mayo: es un rebote desde el mínimo, no un giro.</w:t>
            </w:r>
          </w:p>
        </w:tc>
        <w:tc>
          <w:tcPr/>
          <w:p>
            <w:pPr>
              <w:pStyle w:val="Compact"/>
              <w:jc w:val="left"/>
            </w:pPr>
            <w:r>
              <w:t xml:space="preserve">[5][17]</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Sí</w:t>
            </w:r>
          </w:p>
        </w:tc>
        <w:tc>
          <w:tcPr/>
          <w:p>
            <w:pPr>
              <w:pStyle w:val="Compact"/>
              <w:jc w:val="left"/>
            </w:pPr>
            <w:r>
              <w:t xml:space="preserve">Margen operativo GAAP de −41,2 % a −24,6 % (+16,6 pp) y EBITDA ajustado de −27,6 a −8,8 M USD. El FCF empeora y la guía del 3T es peor.</w:t>
            </w:r>
          </w:p>
        </w:tc>
        <w:tc>
          <w:tcPr/>
          <w:p>
            <w:pPr>
              <w:pStyle w:val="Compact"/>
              <w:jc w:val="left"/>
            </w:pPr>
            <w:r>
              <w:t xml:space="preserve">[1][3]</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Empeora: Reddit pasa de 85 a 18-24, y preocupan la dilución, las ventas de directivos y Neutron.</w:t>
            </w:r>
          </w:p>
        </w:tc>
        <w:tc>
          <w:tcPr/>
          <w:p>
            <w:pPr>
              <w:pStyle w:val="Compact"/>
              <w:jc w:val="left"/>
            </w:pPr>
            <w:r>
              <w:t xml:space="preserve">[11][12]</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El CEO vendió ~286 M USD en julio (plan 10b5-1). Otros directivos también venden.</w:t>
            </w:r>
          </w:p>
        </w:tc>
        <w:tc>
          <w:tcPr/>
          <w:p>
            <w:pPr>
              <w:pStyle w:val="Compact"/>
              <w:jc w:val="left"/>
            </w:pPr>
            <w:r>
              <w:t xml:space="preserve">[16]</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Neutron en la rampa en el 4T y primer vuelo en los próximos ~6 meses. Primeros lanzamientos HASTE del contrato de 266 M USD.</w:t>
            </w:r>
          </w:p>
        </w:tc>
        <w:tc>
          <w:tcPr/>
          <w:p>
            <w:pPr>
              <w:pStyle w:val="Compact"/>
              <w:jc w:val="left"/>
            </w:pPr>
            <w:r>
              <w:t xml:space="preserve">[4][18]</w:t>
            </w:r>
          </w:p>
        </w:tc>
      </w:tr>
    </w:tbl>
    <w:p>
      <w:pPr>
        <w:pStyle w:val="BodyText"/>
      </w:pPr>
      <w:r>
        <w:rPr>
          <w:bCs/>
          <w:b/>
        </w:rPr>
        <w:t xml:space="preserve">Euforia: no.</w:t>
      </w:r>
      <w:r>
        <w:t xml:space="preserve"> </w:t>
      </w:r>
      <w:r>
        <w:t xml:space="preserve">La acción está ~igual que hace 12 meses (−1 %, precio de entonces de memoria [23]) y −57 % desde el máximo. Es lo contrario de la euforia: el sentimiento se ha dado la vuelta a la baja. La tendencia es bajista y solo cuentan como «sí» dos señales de negocio y una mecánica.</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w:t>
      </w:r>
      <w:r>
        <w:t xml:space="preserve">: GAAP del ~37 % en los últimos 12 meses (3T25 ~37 %, 1T26 38,2 %, 2T26 36,1 %) [1][2][3]. La guía del 3T es del 29-31 %, por el arranque de Neutron y por la mezcla de productos. Para un fabricante de hardware está bien, pero es la mitad que un software. Por eso el EV/beneficio bruto (90,8x) castiga mucho más que el EV/ventas.</w:t>
      </w:r>
    </w:p>
    <w:p>
      <w:pPr>
        <w:numPr>
          <w:ilvl w:val="0"/>
          <w:numId w:val="1004"/>
        </w:numPr>
        <w:pStyle w:val="Compact"/>
      </w:pPr>
      <w:r>
        <w:rPr>
          <w:bCs/>
          <w:b/>
        </w:rPr>
        <w:t xml:space="preserve">FCF de los últimos 12 meses</w:t>
      </w:r>
      <w:r>
        <w:t xml:space="preserve">: −69,4 − 114,2 − 77,4 − 110,1 =</w:t>
      </w:r>
      <w:r>
        <w:t xml:space="preserve"> </w:t>
      </w:r>
      <w:r>
        <w:rPr>
          <w:bCs/>
          <w:b/>
        </w:rPr>
        <w:t xml:space="preserve">−371 M USD (−48,2 % de las ventas)</w:t>
      </w:r>
      <w:r>
        <w:t xml:space="preserve"> </w:t>
      </w:r>
      <w:r>
        <w:t xml:space="preserve">[3][22]. Empeora porque Neutron consume mucha inversión.</w:t>
      </w:r>
    </w:p>
    <w:p>
      <w:pPr>
        <w:numPr>
          <w:ilvl w:val="0"/>
          <w:numId w:val="1004"/>
        </w:numPr>
        <w:pStyle w:val="Compact"/>
      </w:pPr>
      <w:r>
        <w:rPr>
          <w:bCs/>
          <w:b/>
        </w:rPr>
        <w:t xml:space="preserve">Regla del 40</w:t>
      </w:r>
      <w:r>
        <w:t xml:space="preserve">: 52,5 − 48,2 =</w:t>
      </w:r>
      <w:r>
        <w:t xml:space="preserve"> </w:t>
      </w:r>
      <w:r>
        <w:rPr>
          <w:bCs/>
          <w:b/>
        </w:rPr>
        <w:t xml:space="preserve">4,3</w:t>
      </w:r>
      <w:r>
        <w:t xml:space="preserve">. Muy floja.</w:t>
      </w:r>
    </w:p>
    <w:p>
      <w:pPr>
        <w:numPr>
          <w:ilvl w:val="0"/>
          <w:numId w:val="1004"/>
        </w:numPr>
        <w:pStyle w:val="Compact"/>
      </w:pPr>
      <w:r>
        <w:rPr>
          <w:bCs/>
          <w:b/>
        </w:rPr>
        <w:t xml:space="preserve">Camino a la rentabilidad: lejos (&gt; 24 meses).</w:t>
      </w:r>
      <w:r>
        <w:t xml:space="preserve"> </w:t>
      </w:r>
      <w:r>
        <w:t xml:space="preserve">El EBITDA ajustado se acercó al equilibrio en el 2T (−8,8 M USD), pero la guía del 3T lo empeora otra vez (−17 a −23 M USD). El FCF positivo exige que Neutron vuele con cadencia, y eso no ocurrirá antes de 2028.</w:t>
      </w:r>
    </w:p>
    <w:p>
      <w:pPr>
        <w:numPr>
          <w:ilvl w:val="0"/>
          <w:numId w:val="1004"/>
        </w:numPr>
        <w:pStyle w:val="Compact"/>
      </w:pPr>
      <w:r>
        <w:rPr>
          <w:bCs/>
          <w:b/>
        </w:rPr>
        <w:t xml:space="preserve">Apalancamiento operativo</w:t>
      </w:r>
      <w:r>
        <w:t xml:space="preserve">: sí en Sistemas espaciales (la pérdida operativa se mantiene plana con un 62 % más de ventas), pero Neutron lo tapa.</w:t>
      </w:r>
    </w:p>
    <w:bookmarkEnd w:id="25"/>
    <w:bookmarkStart w:id="26" w:name="caja-deuda-y-dilución"/>
    <w:p>
      <w:pPr>
        <w:pStyle w:val="Heading2"/>
      </w:pPr>
      <w:r>
        <w:t xml:space="preserve">7. Caja, deuda y dilución</w:t>
      </w:r>
    </w:p>
    <w:p>
      <w:pPr>
        <w:numPr>
          <w:ilvl w:val="0"/>
          <w:numId w:val="1005"/>
        </w:numPr>
        <w:pStyle w:val="Compact"/>
      </w:pPr>
      <w:r>
        <w:rPr>
          <w:bCs/>
          <w:b/>
        </w:rPr>
        <w:t xml:space="preserve">Caja</w:t>
      </w:r>
      <w:r>
        <w:t xml:space="preserve">: 2.303 M USD a 30-jun (2.130 de efectivo y 172,7 de valores negociables). Después entraron los 1.944 M USD del ATM de septiembre. Descontando comisiones y la quema estimada del 3T, quedan</w:t>
      </w:r>
      <w:r>
        <w:t xml:space="preserve"> </w:t>
      </w:r>
      <w:r>
        <w:rPr>
          <w:bCs/>
          <w:b/>
        </w:rPr>
        <w:t xml:space="preserve">~4.100 M USD</w:t>
      </w:r>
      <w:r>
        <w:t xml:space="preserve"> </w:t>
      </w:r>
      <w:r>
        <w:t xml:space="preserve">(estimación) [3][19].</w:t>
      </w:r>
      <w:r>
        <w:t xml:space="preserve"> </w:t>
      </w:r>
      <w:r>
        <w:rPr>
          <w:bCs/>
          <w:b/>
        </w:rPr>
        <w:t xml:space="preserve">Deuda</w:t>
      </w:r>
      <w:r>
        <w:t xml:space="preserve">: ~15 M USD (convertibles residuales de 13,1 M y préstamos de 1,7 M).</w:t>
      </w:r>
    </w:p>
    <w:p>
      <w:pPr>
        <w:numPr>
          <w:ilvl w:val="0"/>
          <w:numId w:val="1005"/>
        </w:numPr>
        <w:pStyle w:val="Compact"/>
      </w:pPr>
      <w:r>
        <w:rPr>
          <w:bCs/>
          <w:b/>
        </w:rPr>
        <w:t xml:space="preserve">Pero la caja tiene destino</w:t>
      </w:r>
      <w:r>
        <w:t xml:space="preserve">: unos ~2.900 M USD irán al pago en efectivo de Iridium (27 USD × ~107 M de acciones; el número de acciones de Iridium es de memoria). Además, Rocket Lab asumirá la deuda de Iridium (1.775 M USD). Una vez cerrada la compra, la caja libre de Rocket Lab sería de ~1.200 M USD.</w:t>
      </w:r>
    </w:p>
    <w:p>
      <w:pPr>
        <w:numPr>
          <w:ilvl w:val="0"/>
          <w:numId w:val="1005"/>
        </w:numPr>
        <w:pStyle w:val="Compact"/>
      </w:pPr>
      <w:r>
        <w:rPr>
          <w:bCs/>
          <w:b/>
        </w:rPr>
        <w:t xml:space="preserve">Pista</w:t>
      </w:r>
      <w:r>
        <w:t xml:space="preserve">: 4.100 / 371 × 12 =</w:t>
      </w:r>
      <w:r>
        <w:t xml:space="preserve"> </w:t>
      </w:r>
      <w:r>
        <w:rPr>
          <w:bCs/>
          <w:b/>
        </w:rPr>
        <w:t xml:space="preserve">133 meses</w:t>
      </w:r>
      <w:r>
        <w:t xml:space="preserve"> </w:t>
      </w:r>
      <w:r>
        <w:t xml:space="preserve">(~40 meses con la caja después de Iridium, sin contar el flujo de caja de Iridium, que es positivo).</w:t>
      </w:r>
    </w:p>
    <w:p>
      <w:pPr>
        <w:numPr>
          <w:ilvl w:val="0"/>
          <w:numId w:val="1005"/>
        </w:numPr>
        <w:pStyle w:val="Compact"/>
      </w:pPr>
      <w:r>
        <w:rPr>
          <w:bCs/>
          <w:b/>
        </w:rPr>
        <w:t xml:space="preserve">Dilución</w:t>
      </w:r>
      <w:r>
        <w:t xml:space="preserve">:</w:t>
      </w:r>
      <w:r>
        <w:t xml:space="preserve"> </w:t>
      </w:r>
      <w:r>
        <w:rPr>
          <w:bCs/>
          <w:b/>
        </w:rPr>
        <w:t xml:space="preserve">+22 % en 12 meses</w:t>
      </w:r>
      <w:r>
        <w:t xml:space="preserve"> </w:t>
      </w:r>
      <w:r>
        <w:t xml:space="preserve">(las acciones medias pasan de 515 a ~630 M; 598 M a 5-ago, más 29,3 M del ATM) [7][19]. Hay que sumarle la acción de Iridium: con RKLB por debajo de 67,50 USD, el canje es de 0,40, unos ~43 M de acciones (+7 %; MarketBeat habla de hasta 72 M) [12].</w:t>
      </w:r>
      <w:r>
        <w:t xml:space="preserve"> </w:t>
      </w:r>
      <w:r>
        <w:rPr>
          <w:bCs/>
          <w:b/>
        </w:rPr>
        <w:t xml:space="preserve">En rojo</w:t>
      </w:r>
      <w:r>
        <w:t xml:space="preserve">.</w:t>
      </w:r>
    </w:p>
    <w:p>
      <w:pPr>
        <w:numPr>
          <w:ilvl w:val="0"/>
          <w:numId w:val="1005"/>
        </w:numPr>
        <w:pStyle w:val="Compact"/>
      </w:pPr>
      <w:r>
        <w:rPr>
          <w:bCs/>
          <w:b/>
        </w:rPr>
        <w:t xml:space="preserve">Pagos en acciones</w:t>
      </w:r>
      <w:r>
        <w:t xml:space="preserve">: ~</w:t>
      </w:r>
      <w:r>
        <w:rPr>
          <w:bCs/>
          <w:b/>
        </w:rPr>
        <w:t xml:space="preserve">11 % de las ventas</w:t>
      </w:r>
      <w:r>
        <w:t xml:space="preserve"> </w:t>
      </w:r>
      <w:r>
        <w:t xml:space="preserve">(71 M USD en 2025) [22]. Por debajo del 15 % del método.</w:t>
      </w:r>
    </w:p>
    <w:bookmarkEnd w:id="26"/>
    <w:bookmarkStart w:id="27" w:name="dirección-y-ejecución"/>
    <w:p>
      <w:pPr>
        <w:pStyle w:val="Heading2"/>
      </w:pPr>
      <w:r>
        <w:t xml:space="preserve">8. Dirección y ejecución</w:t>
      </w:r>
    </w:p>
    <w:p>
      <w:pPr>
        <w:numPr>
          <w:ilvl w:val="0"/>
          <w:numId w:val="1006"/>
        </w:numPr>
        <w:pStyle w:val="Compact"/>
      </w:pPr>
      <w:r>
        <w:rPr>
          <w:bCs/>
          <w:b/>
        </w:rPr>
        <w:t xml:space="preserve">Historial (3/5)</w:t>
      </w:r>
      <w:r>
        <w:t xml:space="preserve">: cumple o supera la guía de ventas trimestral casi siempre (2T: 234 M USD frente a 225-240; 1T: 200 frente a ~191 de consenso). Pero Neutron se ha retrasado tres veces: de 2024 a 2025, luego a 2026 y ahora probablemente a 2027. En la tesis lo que pesa es el producto, no el trimestre.</w:t>
      </w:r>
    </w:p>
    <w:p>
      <w:pPr>
        <w:numPr>
          <w:ilvl w:val="0"/>
          <w:numId w:val="1006"/>
        </w:numPr>
        <w:pStyle w:val="Compact"/>
      </w:pPr>
      <w:r>
        <w:rPr>
          <w:bCs/>
          <w:b/>
        </w:rPr>
        <w:t xml:space="preserve">Dirección (3/5)</w:t>
      </w:r>
      <w:r>
        <w:t xml:space="preserve">: Peter Beck es el fundador, es el CEO y conserva una participación grande. Es un ingeniero con prestigio. En contra: vendió ~286 M USD en julio, justo cuando la empresa emitía acciones, y la compra de Iridium por 8.000 M USD se pagará en parte con acciones emitidas tras una caída del 57 %. La asignación de capital es arriesgada: un 22 % de dilución más Iridium en el mismo año.</w:t>
      </w:r>
    </w:p>
    <w:bookmarkEnd w:id="27"/>
    <w:bookmarkStart w:id="28" w:name="valoración"/>
    <w:p>
      <w:pPr>
        <w:pStyle w:val="Heading2"/>
      </w:pPr>
      <w:r>
        <w:t xml:space="preserve">9. Valoración</w:t>
      </w:r>
    </w:p>
    <w:p>
      <w:pPr>
        <w:pStyle w:val="FirstParagraph"/>
      </w:pPr>
      <w:r>
        <w:rPr>
          <w:bCs/>
          <w:b/>
        </w:rPr>
        <w:t xml:space="preserve">Ejercicio objetivo: 2028</w:t>
      </w:r>
      <w:r>
        <w:t xml:space="preserve"> </w:t>
      </w:r>
      <w:r>
        <w:t xml:space="preserve">(las ventas de los 12 meses siguientes dentro de un año; 2 años sobre los 12 meses a jun-2026, como en el backtest). Métrica:</w:t>
      </w:r>
      <w:r>
        <w:t xml:space="preserve"> </w:t>
      </w:r>
      <w:r>
        <w:rPr>
          <w:bCs/>
          <w:b/>
        </w:rPr>
        <w:t xml:space="preserve">EV/ventas NTM</w:t>
      </w:r>
      <w:r>
        <w:t xml:space="preserve">.</w:t>
      </w:r>
      <w:r>
        <w:t xml:space="preserve"> </w:t>
      </w:r>
      <w:r>
        <w:rPr>
          <w:bCs/>
          <w:b/>
        </w:rPr>
        <w:t xml:space="preserve">Rocket Lab sola</w:t>
      </w:r>
      <w:r>
        <w:t xml:space="preserve">: la caja incluye el dinero que irá a Iridium y las acciones no incluyen las que se emitirán por Iridium. Equivale a suponer que la compra se hace a su valor justo (se paga lo que vale). La sección 11 explica por qué esto importa.</w:t>
      </w:r>
    </w:p>
    <w:p>
      <w:pPr>
        <w:numPr>
          <w:ilvl w:val="0"/>
          <w:numId w:val="1007"/>
        </w:numPr>
        <w:pStyle w:val="Compact"/>
      </w:pPr>
      <w:r>
        <w:rPr>
          <w:bCs/>
          <w:b/>
        </w:rPr>
        <w:t xml:space="preserve">EV de hoy</w:t>
      </w:r>
      <w:r>
        <w:t xml:space="preserve">: 64,22 × 635 + 15 − 4.100 =</w:t>
      </w:r>
      <w:r>
        <w:t xml:space="preserve"> </w:t>
      </w:r>
      <w:r>
        <w:rPr>
          <w:bCs/>
          <w:b/>
        </w:rPr>
        <w:t xml:space="preserve">36.695 M USD</w:t>
      </w:r>
      <w:r>
        <w:t xml:space="preserve"> </w:t>
      </w:r>
      <w:r>
        <w:t xml:space="preserve">(635 M de acciones diluidas, estimación: 598 M a 5-ago más el ATM más ~8 M de acciones restringidas y opciones).</w:t>
      </w:r>
    </w:p>
    <w:p>
      <w:pPr>
        <w:numPr>
          <w:ilvl w:val="0"/>
          <w:numId w:val="1007"/>
        </w:numPr>
        <w:pStyle w:val="Compact"/>
      </w:pPr>
      <w:r>
        <w:rPr>
          <w:bCs/>
          <w:b/>
        </w:rPr>
        <w:t xml:space="preserve">Ventas NTM</w:t>
      </w:r>
      <w:r>
        <w:t xml:space="preserve">: ~1.092 M USD (+42 %: guía del 3T, 4T estimado y consenso del 1S 2027).</w:t>
      </w:r>
      <w:r>
        <w:t xml:space="preserve"> </w:t>
      </w:r>
      <w:r>
        <w:rPr>
          <w:bCs/>
          <w:b/>
        </w:rPr>
        <w:t xml:space="preserve">EV/ventas NTM: 33,6x</w:t>
      </w:r>
      <w:r>
        <w:t xml:space="preserve">; EV/ventas de los 12 meses pasados: 47,7x.</w:t>
      </w:r>
    </w:p>
    <w:p>
      <w:pPr>
        <w:numPr>
          <w:ilvl w:val="0"/>
          <w:numId w:val="1007"/>
        </w:numPr>
        <w:pStyle w:val="Compact"/>
      </w:pPr>
      <w:r>
        <w:rPr>
          <w:bCs/>
          <w:b/>
        </w:rPr>
        <w:t xml:space="preserve">Mediana de 3 años: ~22x NTM; mínimo de 3 años: ~6x</w:t>
      </w:r>
      <w:r>
        <w:t xml:space="preserve">. Son estimaciones propias, marcadas de memoria [17]: ~6-8x en 2023-2024, 20-40x en 2025 y un pico de ~80x en mayo de 2026.</w:t>
      </w:r>
    </w:p>
    <w:p>
      <w:pPr>
        <w:numPr>
          <w:ilvl w:val="0"/>
          <w:numId w:val="1007"/>
        </w:numPr>
        <w:pStyle w:val="Compact"/>
      </w:pPr>
      <w:r>
        <w:rPr>
          <w:bCs/>
          <w:b/>
        </w:rPr>
        <w:t xml:space="preserve">Comparables: ~9x</w:t>
      </w:r>
      <w:r>
        <w:t xml:space="preserve"> </w:t>
      </w:r>
      <w:r>
        <w:t xml:space="preserve">(estimación). Iridium se compra a ~9x ventas, y Kratos, Planet, Redwire y Firefly cotizan en un dígito o en dígitos bajos. SpaceX cotiza a ~45x sus ventas de 2026 [14]. No mueve el alcista, que toma base × 1,3.</w:t>
      </w:r>
    </w:p>
    <w:p>
      <w:pPr>
        <w:numPr>
          <w:ilvl w:val="0"/>
          <w:numId w:val="1007"/>
        </w:numPr>
        <w:pStyle w:val="Compact"/>
      </w:pPr>
      <w:r>
        <w:rPr>
          <w:bCs/>
          <w:b/>
        </w:rPr>
        <w:t xml:space="preserve">Desaceleración</w:t>
      </w:r>
      <w:r>
        <w:t xml:space="preserve">: del 42 % de los próximos 12 meses al 35 % del año objetivo → factor 0,91.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2028 (regla)</w:t>
            </w:r>
          </w:p>
        </w:tc>
        <w:tc>
          <w:tcPr/>
          <w:p>
            <w:pPr>
              <w:pStyle w:val="Compact"/>
              <w:jc w:val="left"/>
            </w:pPr>
            <w:r>
              <w:t xml:space="preserve">Múltiplo</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(35 %)</w:t>
            </w:r>
          </w:p>
        </w:tc>
        <w:tc>
          <w:tcPr/>
          <w:p>
            <w:pPr>
              <w:pStyle w:val="Compact"/>
              <w:jc w:val="left"/>
            </w:pPr>
            <w:r>
              <w:t xml:space="preserve">1.213</w:t>
            </w:r>
          </w:p>
        </w:tc>
        <w:tc>
          <w:tcPr/>
          <w:p>
            <w:pPr>
              <w:pStyle w:val="Compact"/>
              <w:jc w:val="left"/>
            </w:pPr>
            <w:r>
              <w:t xml:space="preserve">18,4x</w:t>
            </w:r>
          </w:p>
        </w:tc>
        <w:tc>
          <w:tcPr/>
          <w:p>
            <w:pPr>
              <w:pStyle w:val="Compact"/>
              <w:jc w:val="left"/>
            </w:pPr>
            <w:r>
              <w:t xml:space="preserve">33,6</w:t>
            </w:r>
          </w:p>
        </w:tc>
        <w:tc>
          <w:tcPr/>
          <w:p>
            <w:pPr>
              <w:pStyle w:val="Compact"/>
              <w:jc w:val="left"/>
            </w:pPr>
            <w:r>
              <w:t xml:space="preserve">−47,7 %</w:t>
            </w:r>
          </w:p>
        </w:tc>
      </w:tr>
      <w:tr>
        <w:tc>
          <w:tcPr/>
          <w:p>
            <w:pPr>
              <w:pStyle w:val="Compact"/>
              <w:jc w:val="left"/>
            </w:pPr>
            <w:r>
              <w:t xml:space="preserve">Base (50 %)</w:t>
            </w:r>
          </w:p>
        </w:tc>
        <w:tc>
          <w:tcPr/>
          <w:p>
            <w:pPr>
              <w:pStyle w:val="Compact"/>
              <w:jc w:val="left"/>
            </w:pPr>
            <w:r>
              <w:t xml:space="preserve">1.756</w:t>
            </w:r>
          </w:p>
        </w:tc>
        <w:tc>
          <w:tcPr/>
          <w:p>
            <w:pPr>
              <w:pStyle w:val="Compact"/>
              <w:jc w:val="left"/>
            </w:pPr>
            <w:r>
              <w:t xml:space="preserve">30,7x</w:t>
            </w:r>
          </w:p>
        </w:tc>
        <w:tc>
          <w:tcPr/>
          <w:p>
            <w:pPr>
              <w:pStyle w:val="Compact"/>
              <w:jc w:val="left"/>
            </w:pPr>
            <w:r>
              <w:t xml:space="preserve">74,3</w:t>
            </w:r>
          </w:p>
        </w:tc>
        <w:tc>
          <w:tcPr/>
          <w:p>
            <w:pPr>
              <w:pStyle w:val="Compact"/>
              <w:jc w:val="left"/>
            </w:pPr>
            <w:r>
              <w:t xml:space="preserve">+15,7 %</w:t>
            </w:r>
          </w:p>
        </w:tc>
      </w:tr>
      <w:tr>
        <w:tc>
          <w:tcPr/>
          <w:p>
            <w:pPr>
              <w:pStyle w:val="Compact"/>
              <w:jc w:val="left"/>
            </w:pPr>
            <w:r>
              <w:t xml:space="preserve">Alcista (15 %)</w:t>
            </w:r>
          </w:p>
        </w:tc>
        <w:tc>
          <w:tcPr/>
          <w:p>
            <w:pPr>
              <w:pStyle w:val="Compact"/>
              <w:jc w:val="left"/>
            </w:pPr>
            <w:r>
              <w:t xml:space="preserve">2.002</w:t>
            </w:r>
          </w:p>
        </w:tc>
        <w:tc>
          <w:tcPr/>
          <w:p>
            <w:pPr>
              <w:pStyle w:val="Compact"/>
              <w:jc w:val="left"/>
            </w:pPr>
            <w:r>
              <w:t xml:space="preserve">39,9x</w:t>
            </w:r>
          </w:p>
        </w:tc>
        <w:tc>
          <w:tcPr/>
          <w:p>
            <w:pPr>
              <w:pStyle w:val="Compact"/>
              <w:jc w:val="left"/>
            </w:pPr>
            <w:r>
              <w:t xml:space="preserve">107,8</w:t>
            </w:r>
          </w:p>
        </w:tc>
        <w:tc>
          <w:tcPr/>
          <w:p>
            <w:pPr>
              <w:pStyle w:val="Compact"/>
              <w:jc w:val="left"/>
            </w:pPr>
            <w:r>
              <w:t xml:space="preserve">+67,9 %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65,1</w:t>
            </w:r>
          </w:p>
        </w:tc>
        <w:tc>
          <w:tcPr/>
          <w:p>
            <w:pPr>
              <w:pStyle w:val="Compact"/>
              <w:jc w:val="left"/>
            </w:pPr>
            <w:r>
              <w:rPr>
                <w:bCs/>
                <w:b/>
              </w:rPr>
              <w:t xml:space="preserve">+1,3 %</w:t>
            </w:r>
          </w:p>
        </w:tc>
      </w:tr>
    </w:tbl>
    <w:p>
      <w:pPr>
        <w:pStyle w:val="BodyText"/>
      </w:pPr>
      <w:r>
        <w:t xml:space="preserve">Las acciones dentro de 12 meses serían 775 M (la regla repite la dilución del 22 %) y la caja, 3.729 M USD.</w:t>
      </w:r>
      <w:r>
        <w:t xml:space="preserve"> </w:t>
      </w:r>
      <w:r>
        <w:rPr>
          <w:bCs/>
          <w:b/>
        </w:rPr>
        <w:t xml:space="preserve">Asimetría</w:t>
      </w:r>
      <w:r>
        <w:t xml:space="preserve">: 1,4.</w:t>
      </w:r>
      <w:r>
        <w:t xml:space="preserve"> </w:t>
      </w:r>
      <w:r>
        <w:rPr>
          <w:bCs/>
          <w:b/>
        </w:rPr>
        <w:t xml:space="preserve">Precio máximo de compra: 28,7 USD</w:t>
      </w:r>
      <w:r>
        <w:t xml:space="preserve">. Lo fija el tope de 35x el beneficio bruto: a 28,7 USD el EV sería de ~14.100 M USD.</w:t>
      </w:r>
    </w:p>
    <w:p>
      <w:pPr>
        <w:numPr>
          <w:ilvl w:val="0"/>
          <w:numId w:val="1008"/>
        </w:numPr>
        <w:pStyle w:val="Compact"/>
      </w:pPr>
      <w:r>
        <w:rPr>
          <w:bCs/>
          <w:b/>
        </w:rPr>
        <w:t xml:space="preserve">Proyección del analista</w:t>
      </w:r>
      <w:r>
        <w:t xml:space="preserve"> </w:t>
      </w:r>
      <w:r>
        <w:t xml:space="preserve">(contraste, no entra): 1.450 / 1.800 / 2.150 M USD. Es parecida a la de la regla en el base (1.756).</w:t>
      </w:r>
    </w:p>
    <w:p>
      <w:pPr>
        <w:numPr>
          <w:ilvl w:val="0"/>
          <w:numId w:val="1008"/>
        </w:numPr>
        <w:pStyle w:val="Compact"/>
      </w:pPr>
      <w:r>
        <w:rPr>
          <w:bCs/>
          <w:b/>
        </w:rPr>
        <w:t xml:space="preserve">Contraste con el consenso</w:t>
      </w:r>
      <w:r>
        <w:t xml:space="preserve">: el precio objetivo medio es de 104,71 USD (MarketBeat; 110 en julio). BofA está en 115, KGI en 107 y Piper Sandler en 83 [5][13][14]. El consenso descuenta Neutron e Iridium a precio de 2025-2026.</w:t>
      </w:r>
    </w:p>
    <w:p>
      <w:pPr>
        <w:numPr>
          <w:ilvl w:val="0"/>
          <w:numId w:val="1008"/>
        </w:numPr>
        <w:pStyle w:val="Compact"/>
      </w:pPr>
      <w:r>
        <w:rPr>
          <w:bCs/>
          <w:b/>
        </w:rPr>
        <w:t xml:space="preserve">Sensibilidades</w:t>
      </w:r>
      <w:r>
        <w:t xml:space="preserve"> </w:t>
      </w:r>
      <w:r>
        <w:t xml:space="preserve">(calculadas con el mismo código, sin cambiarlo): si la dilución futura fuera del 3 % (solo pagos en acciones; la emisión ya está en caja), la ponderada sería del +20 % y la base del +37 %. Seguiría en Mantener por el EV/beneficio bruto. Si se resta la caja que irá a Iridium sin sumar su valor, la ponderada sería del −4,4 %.</w:t>
      </w:r>
    </w:p>
    <w:p>
      <w:pPr>
        <w:numPr>
          <w:ilvl w:val="0"/>
          <w:numId w:val="1008"/>
        </w:numPr>
        <w:pStyle w:val="Compact"/>
      </w:pPr>
      <w:r>
        <w:rPr>
          <w:bCs/>
          <w:b/>
        </w:rPr>
        <w:t xml:space="preserve">DCF inverso</w:t>
      </w:r>
      <w:r>
        <w:t xml:space="preserve">: con un WACC del 10 %, un margen FCF que pasa del −48 % al +20 % en 10 años y un crecimiento terminal del 4 %, el precio descuenta</w:t>
      </w:r>
      <w:r>
        <w:t xml:space="preserve"> </w:t>
      </w:r>
      <w:r>
        <w:rPr>
          <w:bCs/>
          <w:b/>
        </w:rPr>
        <w:t xml:space="preserve">~43 % anual durante 10 años</w:t>
      </w:r>
      <w:r>
        <w:t xml:space="preserve">: unas ventas de ~26.700 M USD en 2036. Es más que el mercado alcanzable de hoy (40.000 M) multiplicado por una cuota del 65 %.</w:t>
      </w:r>
      <w:r>
        <w:t xml:space="preserve"> </w:t>
      </w:r>
      <w:r>
        <w:rPr>
          <w:bCs/>
          <w:b/>
        </w:rPr>
        <w:t xml:space="preserve">Exige que Neutron funcione y que Rocket Lab se convierta en un segundo SpaceX.</w:t>
      </w:r>
    </w:p>
    <w:bookmarkEnd w:id="28"/>
    <w:bookmarkStart w:id="29" w:name="foros-y-sentimiento"/>
    <w:p>
      <w:pPr>
        <w:pStyle w:val="Heading2"/>
      </w:pPr>
      <w:r>
        <w:t xml:space="preserve">10. Foros y sentimiento</w:t>
      </w:r>
    </w:p>
    <w:p>
      <w:pPr>
        <w:numPr>
          <w:ilvl w:val="0"/>
          <w:numId w:val="1009"/>
        </w:numPr>
        <w:pStyle w:val="Compact"/>
      </w:pPr>
      <w:r>
        <w:rPr>
          <w:bCs/>
          <w:b/>
        </w:rPr>
        <w:t xml:space="preserve">Reddit (r/stocks, r/wallstreetbets, r/RKLB)</w:t>
      </w:r>
      <w:r>
        <w:t xml:space="preserve">: según 24/7 Wall St., la puntuación de sentimiento pasó de 85 al anunciarse Iridium a 18-24 a mediados de julio. Los de r/stocks siguen comprando por fundamentales y los de r/wallstreetbets están «en pérdidas». No hay capitulación de los minoristas [11]. No se encontraron hilos indexados de sep-oct.</w:t>
      </w:r>
    </w:p>
    <w:p>
      <w:pPr>
        <w:numPr>
          <w:ilvl w:val="0"/>
          <w:numId w:val="1009"/>
        </w:numPr>
        <w:pStyle w:val="Compact"/>
      </w:pPr>
      <w:r>
        <w:rPr>
          <w:bCs/>
          <w:b/>
        </w:rPr>
        <w:t xml:space="preserve">StockTwits / X</w:t>
      </w:r>
      <w:r>
        <w:t xml:space="preserve">: el flujo de opciones de junio-julio estaba equilibrado o ligeramente bajista. En octubre, las noticias de StockTwits destacan los 12 ensayos hipersónicos (un +1 % antes de la apertura) y la financiación completa de Iridium [15]. No se encontró una medida de sentimiento de octubre.</w:t>
      </w:r>
    </w:p>
    <w:p>
      <w:pPr>
        <w:numPr>
          <w:ilvl w:val="0"/>
          <w:numId w:val="1009"/>
        </w:numPr>
        <w:pStyle w:val="Compact"/>
      </w:pPr>
      <w:r>
        <w:rPr>
          <w:bCs/>
          <w:b/>
        </w:rPr>
        <w:t xml:space="preserve">Seeking Alpha</w:t>
      </w:r>
      <w:r>
        <w:t xml:space="preserve">: está dividido. Hay notas alcistas que la ven como una «mejor entrada» tras el retraso de Neutron (Comprar; 28x las ventas de 2027) y bajistas como «Rocket Lab: The Math Doesn’t Work» (Neutron en 2027 rompe la tesis) [14].</w:t>
      </w:r>
    </w:p>
    <w:p>
      <w:pPr>
        <w:numPr>
          <w:ilvl w:val="0"/>
          <w:numId w:val="1009"/>
        </w:numPr>
        <w:pStyle w:val="Compact"/>
      </w:pPr>
      <w:r>
        <w:rPr>
          <w:bCs/>
          <w:b/>
        </w:rPr>
        <w:t xml:space="preserve">En castellano</w:t>
      </w:r>
      <w:r>
        <w:t xml:space="preserve">: Investing.com ES tiene encuesta de sentimiento de usuarios (hasta agosto) y eToro ES muestra un objetivo medio de 110 USD. No se encontraron hilos de Rankia sobre RKLB [15].</w:t>
      </w:r>
    </w:p>
    <w:p>
      <w:pPr>
        <w:numPr>
          <w:ilvl w:val="0"/>
          <w:numId w:val="1009"/>
        </w:numPr>
        <w:pStyle w:val="Compact"/>
      </w:pPr>
      <w:r>
        <w:rPr>
          <w:bCs/>
          <w:b/>
        </w:rPr>
        <w:t xml:space="preserve">Contraste con los datos</w:t>
      </w:r>
      <w:r>
        <w:t xml:space="preserve">: el sentimiento ha girado a peor justo cuando el negocio va mejor que nunca (ventas +62 %, cartera +137 %). La caída se explica por el precio de partida (~80x ventas en mayo), por la rotación hacia SpaceX y por la dilución, no por el negocio. Es el tipo de giro que el método busca en una tendencia que se da la vuelta. Pero las señales de precio todavía no han girado y el múltiplo sigue alto.</w:t>
      </w:r>
    </w:p>
    <w:bookmarkEnd w:id="29"/>
    <w:bookmarkStart w:id="30" w:name="riesgos-y-qué-rompería-la-tesis"/>
    <w:p>
      <w:pPr>
        <w:pStyle w:val="Heading2"/>
      </w:pPr>
      <w:r>
        <w:t xml:space="preserve">11. Riesgos y qué rompería la tesis</w:t>
      </w:r>
    </w:p>
    <w:p>
      <w:pPr>
        <w:numPr>
          <w:ilvl w:val="0"/>
          <w:numId w:val="1010"/>
        </w:numPr>
        <w:pStyle w:val="Compact"/>
      </w:pPr>
      <w:r>
        <w:rPr>
          <w:bCs/>
          <w:b/>
        </w:rPr>
        <w:t xml:space="preserve">Neutron</w:t>
      </w:r>
      <w:r>
        <w:t xml:space="preserve">: es el riesgo principal. Un fallo en el primer vuelo, o un retraso más allá de mediados de 2027, deja sin valor buena parte del múltiplo. Lo dice el propio Beck: el encendido estático en la rampa es el hito más arriesgado [4].</w:t>
      </w:r>
    </w:p>
    <w:p>
      <w:pPr>
        <w:numPr>
          <w:ilvl w:val="0"/>
          <w:numId w:val="1010"/>
        </w:numPr>
        <w:pStyle w:val="Compact"/>
      </w:pPr>
      <w:r>
        <w:rPr>
          <w:bCs/>
          <w:b/>
        </w:rPr>
        <w:t xml:space="preserve">Dilución</w:t>
      </w:r>
      <w:r>
        <w:t xml:space="preserve">: del 22 % en un año, más ~7-11 % por Iridium.</w:t>
      </w:r>
      <w:r>
        <w:t xml:space="preserve"> </w:t>
      </w:r>
      <w:r>
        <w:rPr>
          <w:bCs/>
          <w:b/>
        </w:rPr>
        <w:t xml:space="preserve">En rojo.</w:t>
      </w:r>
      <w:r>
        <w:t xml:space="preserve"> </w:t>
      </w:r>
      <w:r>
        <w:t xml:space="preserve">El ATM se vendió a ~66 USD, menos de la mitad del máximo.</w:t>
      </w:r>
    </w:p>
    <w:p>
      <w:pPr>
        <w:numPr>
          <w:ilvl w:val="0"/>
          <w:numId w:val="1010"/>
        </w:numPr>
        <w:pStyle w:val="Compact"/>
      </w:pPr>
      <w:r>
        <w:rPr>
          <w:bCs/>
          <w:b/>
        </w:rPr>
        <w:t xml:space="preserve">Iridium</w:t>
      </w:r>
      <w:r>
        <w:t xml:space="preserve">: es una compra de 8.000 M USD (más de 10 veces las ventas de Rocket Lab) de un negocio maduro que crece poco. Tiene riesgo de integración y de regulación, y se suman 1.775 M USD de deuda. El mercado no pagará 30x ventas por la parte de Iridium:</w:t>
      </w:r>
      <w:r>
        <w:t xml:space="preserve"> </w:t>
      </w:r>
      <w:r>
        <w:rPr>
          <w:bCs/>
          <w:b/>
        </w:rPr>
        <w:t xml:space="preserve">el EV/ventas del conjunto bajará de forma mecánica</w:t>
      </w:r>
      <w:r>
        <w:t xml:space="preserve"> </w:t>
      </w:r>
      <w:r>
        <w:t xml:space="preserve">cuando se cierre la compra.</w:t>
      </w:r>
    </w:p>
    <w:p>
      <w:pPr>
        <w:numPr>
          <w:ilvl w:val="0"/>
          <w:numId w:val="1010"/>
        </w:numPr>
        <w:pStyle w:val="Compact"/>
      </w:pPr>
      <w:r>
        <w:rPr>
          <w:bCs/>
          <w:b/>
        </w:rPr>
        <w:t xml:space="preserve">Competencia de SpaceX</w:t>
      </w:r>
      <w:r>
        <w:t xml:space="preserve">: ahora cotiza en bolsa y tiene caja ilimitada; Starship puede hundir el precio del lanzamiento medio.</w:t>
      </w:r>
    </w:p>
    <w:p>
      <w:pPr>
        <w:numPr>
          <w:ilvl w:val="0"/>
          <w:numId w:val="1010"/>
        </w:numPr>
        <w:pStyle w:val="Compact"/>
      </w:pPr>
      <w:r>
        <w:rPr>
          <w:bCs/>
          <w:b/>
        </w:rPr>
        <w:t xml:space="preserve">Reversión del sentimiento</w:t>
      </w:r>
      <w:r>
        <w:t xml:space="preserve">: ya ocurrió (−57 % desde mayo). Puede seguir si el sector espacial pierde el interés que generó la salida a bolsa de SpaceX.</w:t>
      </w:r>
    </w:p>
    <w:p>
      <w:pPr>
        <w:numPr>
          <w:ilvl w:val="0"/>
          <w:numId w:val="1010"/>
        </w:numPr>
        <w:pStyle w:val="Compact"/>
      </w:pPr>
      <w:r>
        <w:rPr>
          <w:bCs/>
          <w:b/>
        </w:rPr>
        <w:t xml:space="preserve">Concentración en defensa de EE. UU.</w:t>
      </w:r>
      <w:r>
        <w:t xml:space="preserve"> </w:t>
      </w:r>
      <w:r>
        <w:t xml:space="preserve">(SDA, Space Force) y dependencia del presupuesto.</w:t>
      </w:r>
    </w:p>
    <w:p>
      <w:pPr>
        <w:pStyle w:val="FirstParagraph"/>
      </w:pPr>
      <w:r>
        <w:rPr>
          <w:bCs/>
          <w:b/>
        </w:rPr>
        <w:t xml:space="preserve">Señales de venta concretas</w:t>
      </w:r>
      <w:r>
        <w:t xml:space="preserve"> </w:t>
      </w:r>
      <w:r>
        <w:t xml:space="preserve">(para quien la tenga):</w:t>
      </w:r>
      <w:r>
        <w:t xml:space="preserve"> </w:t>
      </w:r>
      <w:r>
        <w:t xml:space="preserve">- Fallo en el primer vuelo de Neutron, o un retraso anunciado más allá del 2T 2027.</w:t>
      </w:r>
      <w:r>
        <w:t xml:space="preserve"> </w:t>
      </w:r>
      <w:r>
        <w:t xml:space="preserve">- Margen bruto GAAP por debajo del 30 % dos trimestres seguidos.</w:t>
      </w:r>
      <w:r>
        <w:t xml:space="preserve"> </w:t>
      </w:r>
      <w:r>
        <w:t xml:space="preserve">- Crecimiento orgánico por debajo del 25 %.</w:t>
      </w:r>
      <w:r>
        <w:t xml:space="preserve"> </w:t>
      </w:r>
      <w:r>
        <w:t xml:space="preserve">- Otra ampliación de capital antes del cierre de Iridium.</w:t>
      </w:r>
      <w:r>
        <w:t xml:space="preserve"> </w:t>
      </w:r>
      <w:r>
        <w:t xml:space="preserve">- Ruptura del acuerdo con Iridium con una penalización relevante.</w:t>
      </w:r>
    </w:p>
    <w:p>
      <w:pPr>
        <w:pStyle w:val="BodyText"/>
      </w:pPr>
      <w:r>
        <w:t xml:space="preserve">Hoy no hay tesis rota.</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Sentido</w:t>
            </w:r>
          </w:p>
        </w:tc>
      </w:tr>
      <w:tr>
        <w:tc>
          <w:tcPr/>
          <w:p>
            <w:pPr>
              <w:pStyle w:val="Compact"/>
              <w:jc w:val="left"/>
            </w:pPr>
            <w:r>
              <w:t xml:space="preserve">9-nov-2026 (Barchart)</w:t>
            </w:r>
          </w:p>
        </w:tc>
        <w:tc>
          <w:tcPr/>
          <w:p>
            <w:pPr>
              <w:pStyle w:val="Compact"/>
              <w:jc w:val="left"/>
            </w:pPr>
            <w:r>
              <w:t xml:space="preserve">Resultados del 3T (guía de 250-265 M USD, margen bruto del 29-31 %)</w:t>
            </w:r>
          </w:p>
        </w:tc>
        <w:tc>
          <w:tcPr/>
          <w:p>
            <w:pPr>
              <w:pStyle w:val="Compact"/>
              <w:jc w:val="left"/>
            </w:pPr>
            <w:r>
              <w:t xml:space="preserve">+/−</w:t>
            </w:r>
          </w:p>
        </w:tc>
      </w:tr>
      <w:tr>
        <w:tc>
          <w:tcPr/>
          <w:p>
            <w:pPr>
              <w:pStyle w:val="Compact"/>
              <w:jc w:val="left"/>
            </w:pPr>
            <w:r>
              <w:t xml:space="preserve">4T 2026</w:t>
            </w:r>
          </w:p>
        </w:tc>
        <w:tc>
          <w:tcPr/>
          <w:p>
            <w:pPr>
              <w:pStyle w:val="Compact"/>
              <w:jc w:val="left"/>
            </w:pPr>
            <w:r>
              <w:t xml:space="preserve">Neutron en la rampa del LC-3 (Wallops) y encendido estático</w:t>
            </w:r>
          </w:p>
        </w:tc>
        <w:tc>
          <w:tcPr/>
          <w:p>
            <w:pPr>
              <w:pStyle w:val="Compact"/>
              <w:jc w:val="left"/>
            </w:pPr>
            <w:r>
              <w:t xml:space="preserve">+/−</w:t>
            </w:r>
          </w:p>
        </w:tc>
      </w:tr>
      <w:tr>
        <w:tc>
          <w:tcPr/>
          <w:p>
            <w:pPr>
              <w:pStyle w:val="Compact"/>
              <w:jc w:val="left"/>
            </w:pPr>
            <w:r>
              <w:t xml:space="preserve">Finales de 2026 - 1S 2027</w:t>
            </w:r>
          </w:p>
        </w:tc>
        <w:tc>
          <w:tcPr/>
          <w:p>
            <w:pPr>
              <w:pStyle w:val="Compact"/>
              <w:jc w:val="left"/>
            </w:pPr>
            <w:r>
              <w:t xml:space="preserve">Primer vuelo de Neutron</w:t>
            </w:r>
          </w:p>
        </w:tc>
        <w:tc>
          <w:tcPr/>
          <w:p>
            <w:pPr>
              <w:pStyle w:val="Compact"/>
              <w:jc w:val="left"/>
            </w:pPr>
            <w:r>
              <w:t xml:space="preserve">++/−−</w:t>
            </w:r>
          </w:p>
        </w:tc>
      </w:tr>
      <w:tr>
        <w:tc>
          <w:tcPr/>
          <w:p>
            <w:pPr>
              <w:pStyle w:val="Compact"/>
              <w:jc w:val="left"/>
            </w:pPr>
            <w:r>
              <w:t xml:space="preserve">Finales de 2026</w:t>
            </w:r>
          </w:p>
        </w:tc>
        <w:tc>
          <w:tcPr/>
          <w:p>
            <w:pPr>
              <w:pStyle w:val="Compact"/>
              <w:jc w:val="left"/>
            </w:pPr>
            <w:r>
              <w:t xml:space="preserve">Primeros lanzamientos HASTE del contrato de la Space Force</w:t>
            </w:r>
          </w:p>
        </w:tc>
        <w:tc>
          <w:tcPr/>
          <w:p>
            <w:pPr>
              <w:pStyle w:val="Compact"/>
              <w:jc w:val="left"/>
            </w:pPr>
            <w:r>
              <w:t xml:space="preserve">+</w:t>
            </w:r>
          </w:p>
        </w:tc>
      </w:tr>
      <w:tr>
        <w:tc>
          <w:tcPr/>
          <w:p>
            <w:pPr>
              <w:pStyle w:val="Compact"/>
              <w:jc w:val="left"/>
            </w:pPr>
            <w:r>
              <w:t xml:space="preserve">Feb-mar 2027</w:t>
            </w:r>
          </w:p>
        </w:tc>
        <w:tc>
          <w:tcPr/>
          <w:p>
            <w:pPr>
              <w:pStyle w:val="Compact"/>
              <w:jc w:val="left"/>
            </w:pPr>
            <w:r>
              <w:t xml:space="preserve">Resultados de 2026 y guía de 2027</w:t>
            </w:r>
          </w:p>
        </w:tc>
        <w:tc>
          <w:tcPr/>
          <w:p>
            <w:pPr>
              <w:pStyle w:val="Compact"/>
              <w:jc w:val="left"/>
            </w:pPr>
            <w:r>
              <w:t xml:space="preserve">+/−</w:t>
            </w:r>
          </w:p>
        </w:tc>
      </w:tr>
      <w:tr>
        <w:tc>
          <w:tcPr/>
          <w:p>
            <w:pPr>
              <w:pStyle w:val="Compact"/>
              <w:jc w:val="left"/>
            </w:pPr>
            <w:r>
              <w:t xml:space="preserve">Mediados de 2027</w:t>
            </w:r>
          </w:p>
        </w:tc>
        <w:tc>
          <w:tcPr/>
          <w:p>
            <w:pPr>
              <w:pStyle w:val="Compact"/>
              <w:jc w:val="left"/>
            </w:pPr>
            <w:r>
              <w:t xml:space="preserve">Cierre de la compra de Iridium (canje fijado con la media de 10 sesiones)</w:t>
            </w:r>
          </w:p>
        </w:tc>
        <w:tc>
          <w:tcPr/>
          <w:p>
            <w:pPr>
              <w:pStyle w:val="Compact"/>
              <w:jc w:val="left"/>
            </w:pPr>
            <w:r>
              <w:t xml:space="preserve">+/−</w:t>
            </w:r>
          </w:p>
        </w:tc>
      </w:tr>
    </w:tbl>
    <w:bookmarkEnd w:id="31"/>
    <w:bookmarkStart w:id="32" w:name="encaje-en-cartera"/>
    <w:p>
      <w:pPr>
        <w:pStyle w:val="Heading2"/>
      </w:pPr>
      <w:r>
        <w:t xml:space="preserve">13. Encaje en cartera</w:t>
      </w:r>
    </w:p>
    <w:p>
      <w:pPr>
        <w:pStyle w:val="FirstParagraph"/>
      </w:pPr>
      <w:r>
        <w:t xml:space="preserve">La cartera value propuesta suma : IGLN (oro), Edenred, Daiichi Sankyo, Uber, Viscofan, Alphabet, Netflix, SAP, Intuit, Nemetschek, LVMH y liquidez. Ya hay 8 empresas growth analizadas (</w:t>
      </w:r>
      <w:r>
        <w:rPr>
          <w:rStyle w:val="VerbatimChar"/>
        </w:rPr>
        <w:t xml:space="preserve">informes-growth/resumen.md</w:t>
      </w:r>
      <w:r>
        <w:t xml:space="preserve">) y tres compras growth aprobadas: Nu, argenx y Axon (≈ 12 % de la cartera,</w:t>
      </w:r>
      <w:r>
        <w:t xml:space="preserve"> </w:t>
      </w:r>
      <w:r>
        <w:rPr>
          <w:rStyle w:val="VerbatimChar"/>
        </w:rPr>
        <w:t xml:space="preserve">informes-growth/cartera-growth.md</w:t>
      </w:r>
      <w:r>
        <w:t xml:space="preserve">). El bolsillo growth podría llegar al 20 %. Una posición de convicción baja sería del 3,5 %.</w:t>
      </w:r>
    </w:p>
    <w:p>
      <w:pPr>
        <w:pStyle w:val="BodyText"/>
      </w:pPr>
      <w:r>
        <w:rPr>
          <w:bCs/>
          <w:b/>
        </w:rPr>
        <w:t xml:space="preserve">Rocket Lab no entra hoy: peso 0 %.</w:t>
      </w:r>
      <w:r>
        <w:t xml:space="preserve"> </w:t>
      </w:r>
      <w:r>
        <w:t xml:space="preserve">La regla da Mantener. Le faltan rentabilidad (ponderada del +1,3 %, frente al 5 % que se exige) y valoración (90,8x el beneficio bruto, frente a un máximo de 35x). Sería además la única exposición al espacio y a la defensa de EE. UU. de la cartera. Eso diversifica, pero el riesgo es binario (Neutron). Axon ya cubre el gasto público en seguridad con un negocio rentable. La liquidez se queda donde está.</w:t>
      </w:r>
    </w:p>
    <w:p>
      <w:pPr>
        <w:pStyle w:val="BodyText"/>
      </w:pPr>
      <w:r>
        <w:rPr>
          <w:bCs/>
          <w:b/>
        </w:rPr>
        <w:t xml:space="preserve">Cuándo reconsiderarla</w:t>
      </w:r>
      <w:r>
        <w:t xml:space="preserve">: por debajo de</w:t>
      </w:r>
      <w:r>
        <w:t xml:space="preserve"> </w:t>
      </w:r>
      <w:r>
        <w:rPr>
          <w:bCs/>
          <w:b/>
        </w:rPr>
        <w:t xml:space="preserve">~29 USD</w:t>
      </w:r>
      <w:r>
        <w:t xml:space="preserve"> </w:t>
      </w:r>
      <w:r>
        <w:t xml:space="preserve">sin cambio de tesis, o si Neutron vuela con éxito y el margen bruto sube por encima del 40 % (subiría el beneficio bruto y bajaría el EV/beneficio bruto). La entrada sería en dos tramos: la mitad al precio de compra y la otra mitad tras los resultados siguientes al cierre de Iridium. Conviene apuntarla en la cola growth para revisarla tras el primer vuelo de Neutron.</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25,0</w:t>
            </w:r>
          </w:p>
        </w:tc>
        <w:tc>
          <w:tcPr/>
          <w:p>
            <w:pPr>
              <w:pStyle w:val="Compact"/>
              <w:jc w:val="left"/>
            </w:pPr>
            <w:r>
              <w:t xml:space="preserve">25</w:t>
            </w:r>
          </w:p>
        </w:tc>
        <w:tc>
          <w:tcPr/>
          <w:p>
            <w:pPr>
              <w:pStyle w:val="Compact"/>
              <w:jc w:val="left"/>
            </w:pPr>
            <w:r>
              <w:t xml:space="preserve">Ventas 12 m +52,5 % (5), CAGR a 2 años 53,4 % (5), aceleración +16,2 pp (5)</w:t>
            </w:r>
          </w:p>
        </w:tc>
      </w:tr>
      <w:tr>
        <w:tc>
          <w:tcPr/>
          <w:p>
            <w:pPr>
              <w:pStyle w:val="Compact"/>
              <w:jc w:val="left"/>
            </w:pPr>
            <w:r>
              <w:t xml:space="preserve">B. Mercado y tecnología</w:t>
            </w:r>
          </w:p>
        </w:tc>
        <w:tc>
          <w:tcPr/>
          <w:p>
            <w:pPr>
              <w:pStyle w:val="Compact"/>
              <w:jc w:val="left"/>
            </w:pPr>
            <w:r>
              <w:t xml:space="preserve">17,3</w:t>
            </w:r>
          </w:p>
        </w:tc>
        <w:tc>
          <w:tcPr/>
          <w:p>
            <w:pPr>
              <w:pStyle w:val="Compact"/>
              <w:jc w:val="left"/>
            </w:pPr>
            <w:r>
              <w:t xml:space="preserve">20</w:t>
            </w:r>
          </w:p>
        </w:tc>
        <w:tc>
          <w:tcPr/>
          <w:p>
            <w:pPr>
              <w:pStyle w:val="Compact"/>
              <w:jc w:val="left"/>
            </w:pPr>
            <w:r>
              <w:t xml:space="preserve">Penetración 1,9 % (5), tecnología 4, posición 4</w:t>
            </w:r>
          </w:p>
        </w:tc>
      </w:tr>
      <w:tr>
        <w:tc>
          <w:tcPr/>
          <w:p>
            <w:pPr>
              <w:pStyle w:val="Compact"/>
              <w:jc w:val="left"/>
            </w:pPr>
            <w:r>
              <w:t xml:space="preserve">C. Cambio de tendencia</w:t>
            </w:r>
          </w:p>
        </w:tc>
        <w:tc>
          <w:tcPr/>
          <w:p>
            <w:pPr>
              <w:pStyle w:val="Compact"/>
              <w:jc w:val="left"/>
            </w:pPr>
            <w:r>
              <w:t xml:space="preserve">7,5</w:t>
            </w:r>
          </w:p>
        </w:tc>
        <w:tc>
          <w:tcPr/>
          <w:p>
            <w:pPr>
              <w:pStyle w:val="Compact"/>
              <w:jc w:val="left"/>
            </w:pPr>
            <w:r>
              <w:t xml:space="preserve">20</w:t>
            </w:r>
          </w:p>
        </w:tc>
        <w:tc>
          <w:tcPr/>
          <w:p>
            <w:pPr>
              <w:pStyle w:val="Compact"/>
              <w:jc w:val="left"/>
            </w:pPr>
            <w:r>
              <w:t xml:space="preserve">3/8 señales (múltiplo, inflexión operativa, catalizador), sin euforia</w:t>
            </w:r>
          </w:p>
        </w:tc>
      </w:tr>
      <w:tr>
        <w:tc>
          <w:tcPr/>
          <w:p>
            <w:pPr>
              <w:pStyle w:val="Compact"/>
              <w:jc w:val="left"/>
            </w:pPr>
            <w:r>
              <w:t xml:space="preserve">D. Economía unitaria</w:t>
            </w:r>
          </w:p>
        </w:tc>
        <w:tc>
          <w:tcPr/>
          <w:p>
            <w:pPr>
              <w:pStyle w:val="Compact"/>
              <w:jc w:val="left"/>
            </w:pPr>
            <w:r>
              <w:t xml:space="preserve">3,0</w:t>
            </w:r>
          </w:p>
        </w:tc>
        <w:tc>
          <w:tcPr/>
          <w:p>
            <w:pPr>
              <w:pStyle w:val="Compact"/>
              <w:jc w:val="left"/>
            </w:pPr>
            <w:r>
              <w:t xml:space="preserve">15</w:t>
            </w:r>
          </w:p>
        </w:tc>
        <w:tc>
          <w:tcPr/>
          <w:p>
            <w:pPr>
              <w:pStyle w:val="Compact"/>
              <w:jc w:val="left"/>
            </w:pPr>
            <w:r>
              <w:t xml:space="preserve">Margen bruto 37 % (2), regla del 40 = 4,3 (0), rentabilidad lejos (1)</w:t>
            </w:r>
          </w:p>
        </w:tc>
      </w:tr>
      <w:tr>
        <w:tc>
          <w:tcPr/>
          <w:p>
            <w:pPr>
              <w:pStyle w:val="Compact"/>
              <w:jc w:val="left"/>
            </w:pPr>
            <w:r>
              <w:t xml:space="preserve">E. Caja y dilución</w:t>
            </w:r>
          </w:p>
        </w:tc>
        <w:tc>
          <w:tcPr/>
          <w:p>
            <w:pPr>
              <w:pStyle w:val="Compact"/>
              <w:jc w:val="left"/>
            </w:pPr>
            <w:r>
              <w:t xml:space="preserve">5,0</w:t>
            </w:r>
          </w:p>
        </w:tc>
        <w:tc>
          <w:tcPr/>
          <w:p>
            <w:pPr>
              <w:pStyle w:val="Compact"/>
              <w:jc w:val="left"/>
            </w:pPr>
            <w:r>
              <w:t xml:space="preserve">10</w:t>
            </w:r>
          </w:p>
        </w:tc>
        <w:tc>
          <w:tcPr/>
          <w:p>
            <w:pPr>
              <w:pStyle w:val="Compact"/>
              <w:jc w:val="left"/>
            </w:pPr>
            <w:r>
              <w:t xml:space="preserve">Pista de 133 meses (5), dilución del 22 % (0)</w:t>
            </w:r>
          </w:p>
        </w:tc>
      </w:tr>
      <w:tr>
        <w:tc>
          <w:tcPr/>
          <w:p>
            <w:pPr>
              <w:pStyle w:val="Compact"/>
              <w:jc w:val="left"/>
            </w:pPr>
            <w:r>
              <w:t xml:space="preserve">F. Ejecución y dirección</w:t>
            </w:r>
          </w:p>
        </w:tc>
        <w:tc>
          <w:tcPr/>
          <w:p>
            <w:pPr>
              <w:pStyle w:val="Compact"/>
              <w:jc w:val="left"/>
            </w:pPr>
            <w:r>
              <w:t xml:space="preserve">6,0</w:t>
            </w:r>
          </w:p>
        </w:tc>
        <w:tc>
          <w:tcPr/>
          <w:p>
            <w:pPr>
              <w:pStyle w:val="Compact"/>
              <w:jc w:val="left"/>
            </w:pPr>
            <w:r>
              <w:t xml:space="preserve">10</w:t>
            </w:r>
          </w:p>
        </w:tc>
        <w:tc>
          <w:tcPr/>
          <w:p>
            <w:pPr>
              <w:pStyle w:val="Compact"/>
              <w:jc w:val="left"/>
            </w:pPr>
            <w:r>
              <w:t xml:space="preserve">Historial 3, dirección 3</w:t>
            </w:r>
          </w:p>
        </w:tc>
      </w:tr>
      <w:tr>
        <w:tc>
          <w:tcPr/>
          <w:p>
            <w:pPr>
              <w:pStyle w:val="Compact"/>
              <w:jc w:val="left"/>
            </w:pPr>
            <w:r>
              <w:rPr>
                <w:bCs/>
                <w:b/>
              </w:rPr>
              <w:t xml:space="preserve">Total</w:t>
            </w:r>
          </w:p>
        </w:tc>
        <w:tc>
          <w:tcPr/>
          <w:p>
            <w:pPr>
              <w:pStyle w:val="Compact"/>
              <w:jc w:val="left"/>
            </w:pPr>
            <w:r>
              <w:rPr>
                <w:bCs/>
                <w:b/>
              </w:rPr>
              <w:t xml:space="preserve">63,8</w:t>
            </w:r>
          </w:p>
        </w:tc>
        <w:tc>
          <w:tcPr/>
          <w:p>
            <w:pPr>
              <w:pStyle w:val="Compact"/>
              <w:jc w:val="left"/>
            </w:pPr>
            <w:r>
              <w:rPr>
                <w:bCs/>
                <w:b/>
              </w:rPr>
              <w:t xml:space="preserve">100</w:t>
            </w:r>
          </w:p>
        </w:tc>
        <w:tc>
          <w:tcPr/>
          <w:p>
            <w:pPr>
              <w:pStyle w:val="Compact"/>
              <w:jc w:val="left"/>
            </w:pPr>
            <w:r>
              <w:t xml:space="preserve">Señal:</w:t>
            </w:r>
            <w:r>
              <w:t xml:space="preserve"> </w:t>
            </w:r>
            <w:r>
              <w:rPr>
                <w:bCs/>
                <w:b/>
              </w:rPr>
              <w:t xml:space="preserve">Mantener</w:t>
            </w:r>
            <w:r>
              <w:t xml:space="preserve">: no compra por ponderada &lt; 5 % y EV/beneficio bruto &gt; 35</w:t>
            </w:r>
          </w:p>
        </w:tc>
      </w:tr>
    </w:tbl>
    <w:p>
      <w:pPr>
        <w:pStyle w:val="BodyText"/>
      </w:pPr>
      <w:r>
        <w:rPr>
          <w:bCs/>
          <w:b/>
        </w:rPr>
        <w:t xml:space="preserve">Lo que la regla mide mal en esta empresa</w:t>
      </w:r>
      <w:r>
        <w:t xml:space="preserve"> </w:t>
      </w:r>
      <w:r>
        <w:t xml:space="preserve">(propuesta para el backtest; el código no se ha tocado):</w:t>
      </w:r>
      <w:r>
        <w:t xml:space="preserve"> </w:t>
      </w:r>
      <w:r>
        <w:t xml:space="preserve">1.</w:t>
      </w:r>
      <w:r>
        <w:t xml:space="preserve"> </w:t>
      </w:r>
      <w:r>
        <w:rPr>
          <w:bCs/>
          <w:b/>
        </w:rPr>
        <w:t xml:space="preserve">Dilución futura frente a pasada</w:t>
      </w:r>
      <w:r>
        <w:t xml:space="preserve">: la regla repite la dilución de los últimos 12 meses (22 %) en las acciones dentro de 12 meses. Pero esa emisión ya está en la caja (el ATM de 1.944 M USD). Así se cuenta dos veces: con la dilución esperada (~3 %, solo pagos en acciones), la ponderada pasa del +1,3 % al +20 %.</w:t>
      </w:r>
      <w:r>
        <w:t xml:space="preserve"> </w:t>
      </w:r>
      <w:r>
        <w:rPr>
          <w:bCs/>
          <w:b/>
        </w:rPr>
        <w:t xml:space="preserve">Propuesta</w:t>
      </w:r>
      <w:r>
        <w:t xml:space="preserve">: un campo</w:t>
      </w:r>
      <w:r>
        <w:t xml:space="preserve"> </w:t>
      </w:r>
      <w:r>
        <w:rPr>
          <w:rStyle w:val="VerbatimChar"/>
        </w:rPr>
        <w:t xml:space="preserve">dilucion_esperada_pct</w:t>
      </w:r>
      <w:r>
        <w:t xml:space="preserve"> </w:t>
      </w:r>
      <w:r>
        <w:t xml:space="preserve">para la proyección, distinto del que puntúa el bloque E.</w:t>
      </w:r>
      <w:r>
        <w:t xml:space="preserve"> </w:t>
      </w:r>
      <w:r>
        <w:t xml:space="preserve">2.</w:t>
      </w:r>
      <w:r>
        <w:t xml:space="preserve"> </w:t>
      </w:r>
      <w:r>
        <w:rPr>
          <w:bCs/>
          <w:b/>
        </w:rPr>
        <w:t xml:space="preserve">Compras transformadoras pendientes</w:t>
      </w:r>
      <w:r>
        <w:t xml:space="preserve">: el método no tiene modo para una compra que cierra dentro del horizonte (Iridium, mediados de 2027). Aquí se ha valorado la empresa sola con la caja que irá a la compra, que equivale a suponer que se compra a su valor justo.</w:t>
      </w:r>
      <w:r>
        <w:t xml:space="preserve"> </w:t>
      </w:r>
      <w:r>
        <w:rPr>
          <w:bCs/>
          <w:b/>
        </w:rPr>
        <w:t xml:space="preserve">Propuesta</w:t>
      </w:r>
      <w:r>
        <w:t xml:space="preserve">: suma de partes (la empresa con su múltiplo más el negocio comprado a su precio de compra, menos la caja y las acciones que cuesta) cuando la compra pese más del 20 % del EV.</w:t>
      </w:r>
      <w:r>
        <w:t xml:space="preserve"> </w:t>
      </w:r>
      <w:r>
        <w:t xml:space="preserve">3.</w:t>
      </w:r>
      <w:r>
        <w:t xml:space="preserve"> </w:t>
      </w:r>
      <w:r>
        <w:rPr>
          <w:bCs/>
          <w:b/>
        </w:rPr>
        <w:t xml:space="preserve">Señal de múltiplo «desde el mínimo de 12 meses»</w:t>
      </w:r>
      <w:r>
        <w:t xml:space="preserve">: aquí cuenta como «sí» aunque el múltiplo haya caído a menos de la mitad desde mayo. Refuerza el tope de v8 (no contar la señal si el múltiplo está &gt; 1,3 × su mediana), y además convendría exigir que el máximo de 12 meses no quede &gt; 50 % por encima del múltiplo actual.</w:t>
      </w:r>
    </w:p>
    <w:bookmarkEnd w:id="33"/>
    <w:bookmarkStart w:id="34" w:name="fuentes"/>
    <w:p>
      <w:pPr>
        <w:pStyle w:val="Heading2"/>
      </w:pPr>
      <w:r>
        <w:t xml:space="preserve">Fuentes</w:t>
      </w:r>
    </w:p>
    <w:p>
      <w:pPr>
        <w:pStyle w:val="FirstParagraph"/>
      </w:pPr>
      <w:r>
        <w:t xml:space="preserve">[1] Rocket Lab, nota de resultados del 2T 2026 (10-ago-2026), 8-K (SEC, ex. 99.1) y GlobeNewswire; resúmenes en Investing.com, Yahoo Finance y Bitget.</w:t>
      </w:r>
      <w:r>
        <w:t xml:space="preserve"> </w:t>
      </w:r>
      <w:r>
        <w:t xml:space="preserve">[2] Rocket Lab, nota de resultados del 4T y de 2025 (26-feb-2026), 8-K (SEC); resultados del 1T 2026 (7-may-2026) vía Alpha-Sense, Nasdaq / MarketBeat y Barchart.</w:t>
      </w:r>
      <w:r>
        <w:t xml:space="preserve"> </w:t>
      </w:r>
      <w:r>
        <w:t xml:space="preserve">[3] Trefis (12-ago-2026), mvcinvesting (Substack), beancount.io (26-sep-2026) y Panabee: margen bruto, FCF, EBITDA ajustado, pérdida operativa y balance del 2T 2026.</w:t>
      </w:r>
      <w:r>
        <w:t xml:space="preserve"> </w:t>
      </w:r>
      <w:r>
        <w:t xml:space="preserve">[4] Spaceflight Now (10-ago-2026), «Window for 2026 launch debut of Rocket Lab’s Neutron rocket is narrowing»; Motley Fool (13-ago-2026) y VT Markets.</w:t>
      </w:r>
      <w:r>
        <w:t xml:space="preserve"> </w:t>
      </w:r>
      <w:r>
        <w:t xml:space="preserve">[5] MarketBeat (13-oct-2026): cierre, rango de 52 semanas y precio objetivo medio.</w:t>
      </w:r>
      <w:r>
        <w:t xml:space="preserve"> </w:t>
      </w:r>
      <w:r>
        <w:t xml:space="preserve">[6] Coinbase y Kraken (cotización del 13-oct-2026); Barchart (fecha de resultados).</w:t>
      </w:r>
      <w:r>
        <w:t xml:space="preserve"> </w:t>
      </w:r>
      <w:r>
        <w:t xml:space="preserve">[7] Rocket Lab, 10-Q del 2T 2026 (SEC): acciones en circulación a 5-ago-2026.</w:t>
      </w:r>
      <w:r>
        <w:t xml:space="preserve"> </w:t>
      </w:r>
      <w:r>
        <w:t xml:space="preserve">[8] Digrin y StockAnalysis (historial de precios); Motley Fool vía Webull (+46 % en el 1S 2026).</w:t>
      </w:r>
      <w:r>
        <w:t xml:space="preserve"> </w:t>
      </w:r>
      <w:r>
        <w:t xml:space="preserve">[9] Análisis técnico citado por capital.com (16-sep-2026): medias de 50, 100 y 200 sesiones.</w:t>
      </w:r>
      <w:r>
        <w:t xml:space="preserve"> </w:t>
      </w:r>
      <w:r>
        <w:t xml:space="preserve">[10] Motley Fool (7-jun y 22-jul-2026), Benzinga y Nasdaq (salida a bolsa de SpaceX y rotación).</w:t>
      </w:r>
      <w:r>
        <w:t xml:space="preserve"> </w:t>
      </w:r>
      <w:r>
        <w:t xml:space="preserve">[11] 24/7 Wall St. (20-jul-2026), «Reddit still believes in Rocket Lab even as shares slide».</w:t>
      </w:r>
      <w:r>
        <w:t xml:space="preserve"> </w:t>
      </w:r>
      <w:r>
        <w:t xml:space="preserve">[12] MarketBeat (30-sep y 7-oct-2026): ATM, acciones por Iridium, ventas de directivos.</w:t>
      </w:r>
      <w:r>
        <w:t xml:space="preserve"> </w:t>
      </w:r>
      <w:r>
        <w:t xml:space="preserve">[13] MarketBeat (24-jul-2026): consenso de 22 analistas y precios objetivo.</w:t>
      </w:r>
      <w:r>
        <w:t xml:space="preserve"> </w:t>
      </w:r>
      <w:r>
        <w:t xml:space="preserve">[14] Bank of America (14-ago-2026); Seeking Alpha (vía Pluang, 9-sep-2026, y «Rocket Lab: The Math Doesn’t Work»); Tickflow (consenso de ventas de 2027).</w:t>
      </w:r>
      <w:r>
        <w:t xml:space="preserve"> </w:t>
      </w:r>
      <w:r>
        <w:t xml:space="preserve">[15] Investing.com ES, eToro ES, Historical Option Data, StockTwits News.</w:t>
      </w:r>
      <w:r>
        <w:t xml:space="preserve"> </w:t>
      </w:r>
      <w:r>
        <w:t xml:space="preserve">[16] Quantisnow, EarningsWhispers e Insidertrades (formularios 4 y 144 de la SEC).</w:t>
      </w:r>
      <w:r>
        <w:t xml:space="preserve"> </w:t>
      </w:r>
      <w:r>
        <w:t xml:space="preserve">[17] Estimación propia de múltiplos históricos (Multiples.vc, ChartRow, Roic.ai, GuruFocus; precios y ventas antiguos de memoria).</w:t>
      </w:r>
      <w:r>
        <w:t xml:space="preserve"> </w:t>
      </w:r>
      <w:r>
        <w:t xml:space="preserve">[18] Rocket Lab / Barchart / Nasdaq (27-jul-2026), contrato de 266 M USD de la Space Force; Pulse2 (contratos y cartera del 2T).</w:t>
      </w:r>
      <w:r>
        <w:t xml:space="preserve"> </w:t>
      </w:r>
      <w:r>
        <w:t xml:space="preserve">[19] Rocket Lab, 8-K y S-4/A (SEC); GovConWire, Benzinga y StockTwits (15-sep-2026): términos de Iridium, ATM y cancelación del préstamo puente.</w:t>
      </w:r>
      <w:r>
        <w:t xml:space="preserve"> </w:t>
      </w:r>
      <w:r>
        <w:t xml:space="preserve">[20] Rocket Lab, Investor Day 2022, y resumen de 2024 del mercado alcanzable.</w:t>
      </w:r>
      <w:r>
        <w:t xml:space="preserve"> </w:t>
      </w:r>
      <w:r>
        <w:t xml:space="preserve">[21] Ventas trimestrales de 2023-2025 de las notas de resultados de Rocket Lab (de memoria, cuadradas con los crecimientos publicados).</w:t>
      </w:r>
      <w:r>
        <w:t xml:space="preserve"> </w:t>
      </w:r>
      <w:r>
        <w:t xml:space="preserve">[22] Agregadores de flujo de caja (vcpscanner, digrin, StockAnalysis, edgar.tools).</w:t>
      </w:r>
      <w:r>
        <w:t xml:space="preserve"> </w:t>
      </w:r>
      <w:r>
        <w:t xml:space="preserve">[23] Precio de mediados de oct-2025, de memoria; cuadra con Motley Fool (9 y 11-oct-2025).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2026-10-14T21:44:34Z</dcterms:created>
  <dcterms:modified xsi:type="dcterms:W3CDTF">2026-10-14T21:44:34Z</dcterms:modified>
</cp:coreProperties>
</file>

<file path=docProps/custom.xml><?xml version="1.0" encoding="utf-8"?>
<Properties xmlns="http://schemas.openxmlformats.org/officeDocument/2006/custom-properties" xmlns:vt="http://schemas.openxmlformats.org/officeDocument/2006/docPropsVTypes"/>
</file>