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amsara-iot-análisis-growth-14-oct-2026"/>
    <w:p>
      <w:pPr>
        <w:pStyle w:val="Heading1"/>
      </w:pPr>
      <w:r>
        <w:t xml:space="preserve">Samsara (IOT):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Comprar (convicción media)</w:t>
      </w:r>
      <w:r>
        <w:t xml:space="preserve"> </w:t>
      </w:r>
      <w:r>
        <w:t xml:space="preserve">· Puntuación 78,5/100 · Señales de cambio de tendencia 7/8 · EV/beneficio bruto 13,8x</w:t>
      </w:r>
      <w:r>
        <w:t xml:space="preserve"> </w:t>
      </w:r>
      <w:r>
        <w:t xml:space="preserve">Precio 41,27 USD · Objetivo 12 m 49,8 USD (ponderada +20,6 %, base +23,8 %, bajista −38,2 %, alcista +73,0 %) · Compra hasta 47,4 USD</w:t>
      </w:r>
      <w:r>
        <w:t xml:space="preserve"> </w:t>
      </w:r>
      <w:r>
        <w:t xml:space="preserve">Peso orientativo: 4 %, 30 acciones en dos tramos), pero</w:t>
      </w:r>
      <w:r>
        <w:t xml:space="preserve"> </w:t>
      </w:r>
      <w:r>
        <w:rPr>
          <w:bCs/>
          <w:b/>
        </w:rPr>
        <w:t xml:space="preserve">el bolsillo growth está lleno y no hay liquidez</w:t>
      </w:r>
      <w:r>
        <w:t xml:space="preserve">: entra</w:t>
      </w:r>
      <w:r>
        <w:t xml:space="preserve"> </w:t>
      </w:r>
      <w:r>
        <w:rPr>
          <w:bCs/>
          <w:b/>
        </w:rPr>
        <w:t xml:space="preserve">sustituyendo a Shopify</w:t>
      </w:r>
      <w:r>
        <w:t xml:space="preserve">, sin vender nada a pérdida (sección 13) · Por qué: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). Las ventas del año objetivo salen de la regla mecánica (3.005 M USD en el base, con un crecimiento de partida del 29,8 %) y el múltiplo, del de hoy rebajado por desaceleración (6,1x / 10,2x / 13,3x EV/ventas NTM).</w:t>
      </w:r>
      <w:r>
        <w:t xml:space="preserve"> </w:t>
      </w:r>
      <w:r>
        <w:rPr>
          <w:bCs/>
          <w:b/>
        </w:rPr>
        <w:t xml:space="preserve">Contraste con la guía (mejora pendiente de la tanda 4, calculada a mano sin tocar el código):</w:t>
      </w:r>
      <w:r>
        <w:t xml:space="preserve"> </w:t>
      </w:r>
      <w:r>
        <w:t xml:space="preserve">si la proyección parte del crecimiento que implica la guía de la empresa (+22,7 % en los 12 meses siguientes, menos que el 29,8 % mecánico), las ventas base bajan a 2.704 M y la señal</w:t>
      </w:r>
      <w:r>
        <w:t xml:space="preserve"> </w:t>
      </w:r>
      <w:r>
        <w:rPr>
          <w:bCs/>
          <w:b/>
        </w:rPr>
        <w:t xml:space="preserve">sigue siendo Comprar (media)</w:t>
      </w:r>
      <w:r>
        <w:t xml:space="preserve">, pero con ponderada</w:t>
      </w:r>
      <w:r>
        <w:t xml:space="preserve"> </w:t>
      </w:r>
      <w:r>
        <w:rPr>
          <w:bCs/>
          <w:b/>
        </w:rPr>
        <w:t xml:space="preserve">+9,1 %</w:t>
      </w:r>
      <w:r>
        <w:t xml:space="preserve">, base +11,9 %, bajista −41,4 % y</w:t>
      </w:r>
      <w:r>
        <w:t xml:space="preserve"> </w:t>
      </w:r>
      <w:r>
        <w:rPr>
          <w:bCs/>
          <w:b/>
        </w:rPr>
        <w:t xml:space="preserve">compra hasta 42,9 USD</w:t>
      </w:r>
      <w:r>
        <w:t xml:space="preserve">. Samsara bate su guía trimestral en un 4-5 % cada trimestre (sección 3): con la guía más esa batida (~28 %) la ponderada sería +17,6 %.</w:t>
      </w:r>
      <w:r>
        <w:t xml:space="preserve"> </w:t>
      </w:r>
      <w:r>
        <w:rPr>
          <w:bCs/>
          <w:b/>
        </w:rPr>
        <w:t xml:space="preserve">El límite que recomiendo para la orden es 42,9 USD</w:t>
      </w:r>
      <w:r>
        <w:t xml:space="preserve">, el de la guía sin batida.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Samsara vende la plataforma de «operaciones conectadas»: cámaras con IA, localizadores y sensores para camiones, maquinaria y obras, más el software que convierte esos datos en seguridad, ahorro de combustible y cumplimiento normativo.</w:t>
      </w:r>
      <w:r>
        <w:t xml:space="preserve"> </w:t>
      </w:r>
      <w:r>
        <w:rPr>
          <w:bCs/>
          <w:b/>
        </w:rPr>
        <w:t xml:space="preserve">ARR de 2.125 M USD (+30 %)</w:t>
      </w:r>
      <w:r>
        <w:t xml:space="preserve">, ventas de 12 meses de 1.847 M (+29,5 %), margen bruto del 76 % y sin deuda.</w:t>
      </w:r>
    </w:p>
    <w:p>
      <w:pPr>
        <w:numPr>
          <w:ilvl w:val="0"/>
          <w:numId w:val="1001"/>
        </w:numPr>
        <w:pStyle w:val="Compact"/>
      </w:pPr>
      <w:r>
        <w:t xml:space="preserve">Crece al 30 %</w:t>
      </w:r>
      <w:r>
        <w:t xml:space="preserve"> </w:t>
      </w:r>
      <w:r>
        <w:rPr>
          <w:bCs/>
          <w:b/>
        </w:rPr>
        <w:t xml:space="preserve">por tercer año seguido y sin frenar</w:t>
      </w:r>
      <w:r>
        <w:t xml:space="preserve"> </w:t>
      </w:r>
      <w:r>
        <w:t xml:space="preserve">(aceleración +0,3 pp) con una escala 4-5 veces mayor que su rival directo (Motive, +22 %, que retiró su salida a bolsa el 10-sep). Los clientes grandes (&gt; 100.000 USD de ARR) crecen un 38 % y ya son el 63 % del ARR.</w:t>
      </w:r>
    </w:p>
    <w:p>
      <w:pPr>
        <w:numPr>
          <w:ilvl w:val="0"/>
          <w:numId w:val="1001"/>
        </w:numPr>
        <w:pStyle w:val="Compact"/>
      </w:pPr>
      <w:r>
        <w:t xml:space="preserve">Ha girado a la rentabilidad: cuatro trimestres seguidos con beneficio neto GAAP, primer beneficio operativo GAAP y margen operativo no GAAP del 15 % al 21 % en un año. FCF positivo y creciente (14 % de las ventas).</w:t>
      </w:r>
    </w:p>
    <w:p>
      <w:pPr>
        <w:numPr>
          <w:ilvl w:val="0"/>
          <w:numId w:val="1001"/>
        </w:numPr>
        <w:pStyle w:val="Compact"/>
      </w:pPr>
      <w:r>
        <w:t xml:space="preserve">La percepción gira: cayó un 46 % entre diciembre de 2025 y febrero de 2026 con el miedo a que la IA se coma el software, y desde entonces sube un 55 % en seis meses. Aun así, cotiza a</w:t>
      </w:r>
      <w:r>
        <w:t xml:space="preserve"> </w:t>
      </w:r>
      <w:r>
        <w:rPr>
          <w:bCs/>
          <w:b/>
        </w:rPr>
        <w:t xml:space="preserve">10,6x ventas y 13,8x beneficio bruto NTM</w:t>
      </w:r>
      <w:r>
        <w:t xml:space="preserve">, por debajo de su mediana de 3 años (~12,5x). Cumple 7 de las 8 señales sin euforia (+9,9 % en 12 meses).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Comprar con convicción media</w:t>
      </w:r>
      <w:r>
        <w:t xml:space="preserve"> </w:t>
      </w:r>
      <w:r>
        <w:t xml:space="preserve">(78,5 puntos). No llega a alta porque la asimetría es 1,9 (el bajista, −38 %, es duro). Los pagos en acciones (18 % de las ventas) y las ventas de los fundadores son el lado feo. Con el bolsillo growth lleno, es mejor candidata que Shopify, a la que sustituiría.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Samsara vende</w:t>
      </w:r>
      <w:r>
        <w:t xml:space="preserve"> </w:t>
      </w:r>
      <w:r>
        <w:rPr>
          <w:bCs/>
          <w:b/>
        </w:rPr>
        <w:t xml:space="preserve">suscripciones</w:t>
      </w:r>
      <w:r>
        <w:t xml:space="preserve"> </w:t>
      </w:r>
      <w:r>
        <w:t xml:space="preserve">(casi todos los ingresos) a su «Connected Operations Cloud»: aplicaciones de seguridad vial (cámaras con IA que avisan al conductor y graban incidentes), telemática de flotas (localización, combustible, horas de conducción obligatorias en EE. UU.), equipos y maquinaria, obras, mantenimiento, formularios para trabajadores de campo y gestión de gasto. El hardware (cámaras, pasarelas, sensores) se entrega con la suscripción, normalmente en contratos de varios años, y se paga por adelantado: por eso el FCF va por detrás del beneficio cuando la demanda de dispositivos se acelera [1][3][8].</w:t>
      </w:r>
    </w:p>
    <w:p>
      <w:pPr>
        <w:pStyle w:val="BodyText"/>
      </w:pPr>
      <w:r>
        <w:t xml:space="preserve">Sus clientes son la economía física: transporte, construcción, distribución, servicios de campo, servicios públicos, administraciones y alimentación (Asplundh, que la eligió en septiembre, es un ejemplo) [10]. El 96 % de los clientes de más de 100.000 USD usa dos o más productos [8].</w:t>
      </w:r>
    </w:p>
    <w:p>
      <w:pPr>
        <w:pStyle w:val="BodyText"/>
      </w:pPr>
      <w:r>
        <w:t xml:space="preserve">Lo diferencial es</w:t>
      </w:r>
      <w:r>
        <w:t xml:space="preserve"> </w:t>
      </w:r>
      <w:r>
        <w:rPr>
          <w:bCs/>
          <w:b/>
        </w:rPr>
        <w:t xml:space="preserve">el dato</w:t>
      </w:r>
      <w:r>
        <w:t xml:space="preserve">: más de 25 billones de datos al año de vehículos y equipos reales (carta del 4T26), que entrenan los modelos de visión de las cámaras y ahora los agentes de IA (AI Safety Coach, inteligencia de residuos y de obras) [2]. La adopción de las funciones de IA más nuevas se multiplicó por 4 en dos meses (2T27) y los productos nuevos aportan más del 20 % de los bookings nuevos desde hace tres trimestres [1][8].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 4/5</w:t>
      </w:r>
      <w:r>
        <w:t xml:space="preserve">: datos propios a gran escala y una plataforma integrada (hardware, red y software) que un rival tardaría años en replicar. No es 5 porque los rivales (Motive, Geotab, Lytx, Netradyne) ofrecen productos parecidos en cámaras y telemática.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 5/5</w:t>
      </w:r>
      <w:r>
        <w:t xml:space="preserve">: líder en cuota de ingresos en las flotas medianas y grandes de EE. UU., con crecimiento mayor que su principal rival a 4-5 veces su tamaño. Además, ganó el arbitraje contra Motive por fraude y competencia desleal (feb-2026, 30,3 M USD) [3][7].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(ejercicio que acaba en enero)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(punto 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 (M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 (ago-2025)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(nov-2025)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 (ene-2026)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1T27 (may-2026)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2T27 (ago-2026)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2.124,7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514-516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Fuentes: [1][2][4]. El 4T del ejercicio 2024 tuvo 14 semanas, lo que deprime algo el crecimiento del 4T25 y el CAGR.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 (acaba en enero)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(53 semanas)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1.249,2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(guía de sep.)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2.043-2.047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 </w:t>
      </w:r>
      <w:r>
        <w:t xml:space="preserve">(3T26-2T27):</w:t>
      </w:r>
      <w:r>
        <w:t xml:space="preserve"> </w:t>
      </w:r>
      <w:r>
        <w:rPr>
          <w:bCs/>
          <w:b/>
        </w:rPr>
        <w:t xml:space="preserve">1.847,4 M USD, +29,5 %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29,9 %</w:t>
      </w:r>
      <w:r>
        <w:t xml:space="preserve"> </w:t>
      </w:r>
      <w:r>
        <w:t xml:space="preserve">(1.094,7 M en los 12 meses a jul-2024) [4].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Aceleración: +0,3 pp</w:t>
      </w:r>
      <w:r>
        <w:t xml:space="preserve"> </w:t>
      </w:r>
      <w:r>
        <w:t xml:space="preserve">(2T27 +29,9 % frente a +29,6 % de media de los cuatro anteriores). Crecimiento muy estable: entre el 28 % y el 31 % siete trimestres seguidos.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la retención neta en dólares de los clientes principales está en su objetivo de ~115 %, según el director financiero (no la publica como cifra) [8][14]. Los clientes de más de 1 M USD de ARR aportan más de 500 M (+50 % por tercer trimestre seguido) [1].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Cartera contratada (RPO)</w:t>
      </w:r>
      <w:r>
        <w:t xml:space="preserve">: 4.285 M USD, de los que 1.839 M se reconocerán en 12 meses 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el año 2027 se ha elevado dos veces (de 1.970 a 2.045 M, +3,8 %). La guía es conservadora a propósito: los cuatro últimos trimestres la batió en un 4-5 %, unos 5-6 puntos de crecimiento. La guía del 3T (+24 %) parece un frenazo, pero es el mismo patrón que antes de cada trimestre de +29-30 % [2].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~30.000 M USD de ingresos en 2028</w:t>
      </w:r>
      <w:r>
        <w:t xml:space="preserve"> </w:t>
      </w:r>
      <w:r>
        <w:t xml:space="preserve">(estimación propia, de memoria [14]). Parte del TAM de ~50.000 M USD del folleto de 2021 y se queda con flotas, vídeo de seguridad, equipos y obras en Norteamérica y Europa.</w:t>
      </w:r>
      <w:r>
        <w:t xml:space="preserve"> </w:t>
      </w:r>
      <w:r>
        <w:rPr>
          <w:bCs/>
          <w:b/>
        </w:rPr>
        <w:t xml:space="preserve">Penetración: 1.847 / 30.000 = 6,2 %.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Motive (privada; 327 M USD de ventas en los nueve meses a sep-2025, +22 %, según su S-1, unos 440 M anualizados; retiró la salida a bolsa el 10-sep-2026 [7]), Geotab (privada), Verizon Connect, Trimble/PeopleNet y Omnitracs en telemática, y Lytx y Netradyne en cámaras. En software de operaciones compiten de lado Procore (obras) y ServiceTitan (servicios de campo).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la plataforma única (una sola aplicación y un solo dispositivo para vehículos, equipos y personas) se vende cada vez más a grandes cuentas (récord de 242 clientes nuevos de más de 100.000 USD en el 2T27). Además, el volumen de datos mejora los modelos de IA, y eso mejora el producto: es un efecto red de datos [1][8].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del año elevada dos veces (1.970 → 2.009 → 2.045 M USD) y margen operativo de la guía del 19 % al 21 %. Precio objetivo de consenso de 45,5 a 54,2 USD (+19 %) entre el 25-ago y mediados de septiembre; Jefferies inicia con Compra y 50 USD (5-oct). Basada en guía y precios objetivo.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[1][2][9][11]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41,27 frente a 33,76 USD (+22 %). La media tocó fondo en agosto (33,60) y gira al alza despacio. Señal débil.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+55,2 % desde el 13-abr frente a +20,4 % del Nasdaq-100.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~6,6x (5-feb) a 10,6x (+60 %), aún por debajo de su mediana de 3 años (~12,5x). También contaría con el tope de la v8.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Primeros trimestres con beneficio operativo GAAP (7,2 y 4,9 M en el 1T y 2T27, frente a −26,6 M un año antes) y margen no GAAP +6 pp (15 % → 21 %).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«la IA se come el software» (−46 % de dic. a feb.) a «ganador de la IA física con foso» (Jefferies). StockTwits: 12 alcistas y 0 bajistas. Sin euforia.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ventas: los cofundadores, ~50 M USD cada uno desde junio (planes 10b5-1); Andreessen, ~76 M. T. Rowe Price tiene el 13,1 % de la clase A, pero no es entrada nueva.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Agentes de IA (adopción ×4), productos nuevos con &gt; 20 % de los bookings nuevos, resultados del 3T a principios de diciembre y el rival Motive fuera de bolsa y con un laudo en contra.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[1][7][8]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Sube un 9,9 % en 12 meses (de 37,56 a 41,27 USD) y sigue un 9 % por debajo del máximo de diciembre (45,22). El EV/beneficio bruto es de 13,8x.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76,4 %</w:t>
      </w:r>
      <w:r>
        <w:t xml:space="preserve"> </w:t>
      </w:r>
      <w:r>
        <w:t xml:space="preserve">en 12 meses (1.411 M de beneficio bruto sobre 1.847 M) y 77 % en el 2T27, estable con hardware incluido [1][4].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</w:t>
      </w:r>
      <w:r>
        <w:t xml:space="preserve">: 117,5 M (2S26) + 137,9 M (1S27) =</w:t>
      </w:r>
      <w:r>
        <w:t xml:space="preserve"> </w:t>
      </w:r>
      <w:r>
        <w:rPr>
          <w:bCs/>
          <w:b/>
        </w:rPr>
        <w:t xml:space="preserve">255,4 M USD (13,8 %)</w:t>
      </w:r>
      <w:r>
        <w:t xml:space="preserve">, frente a 207,4 M (12,8 %) en el ejercicio 2026 y 111,5 M (8,9 %) en el 2025:</w:t>
      </w:r>
      <w:r>
        <w:t xml:space="preserve"> </w:t>
      </w:r>
      <w:r>
        <w:rPr>
          <w:bCs/>
          <w:b/>
        </w:rPr>
        <w:t xml:space="preserve">FCF creciente</w:t>
      </w:r>
      <w:r>
        <w:t xml:space="preserve">. Para el año 2027 la empresa espera un margen FCF ~1 pp menor que el de 2026, porque compra dispositivos por adelantado para atender la demanda («crecemos más deprisa de lo esperado») [8].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29,5 + 13,8 =</w:t>
      </w:r>
      <w:r>
        <w:t xml:space="preserve"> </w:t>
      </w:r>
      <w:r>
        <w:rPr>
          <w:bCs/>
          <w:b/>
        </w:rPr>
        <w:t xml:space="preserve">43,3</w:t>
      </w:r>
      <w:r>
        <w:t xml:space="preserve">. Si se restan los pagos en acciones (17,9 % de las ventas), queda en ~25: es el punto débil.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claro. Margen operativo no GAAP del 15 % al 21 % en un año, con la guía anual en el 21 %. El GAAP pasa de −7 % a +1 %. Los gastos generales y de administración bajan en términos absolutos (67,4 frente a 67,9 M) [1].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e inversiones</w:t>
      </w:r>
      <w:r>
        <w:t xml:space="preserve">:</w:t>
      </w:r>
      <w:r>
        <w:t xml:space="preserve"> </w:t>
      </w:r>
      <w:r>
        <w:rPr>
          <w:bCs/>
          <w:b/>
        </w:rPr>
        <w:t xml:space="preserve">1.325,7 M USD</w:t>
      </w:r>
      <w:r>
        <w:t xml:space="preserve"> </w:t>
      </w:r>
      <w:r>
        <w:t xml:space="preserve">a 1-ago-2026 (291,4 de caja, 537,5 a corto y 496,8 a largo plazo en renta fija) [1].</w:t>
      </w:r>
      <w:r>
        <w:t xml:space="preserve"> </w:t>
      </w:r>
      <w:r>
        <w:rPr>
          <w:bCs/>
          <w:b/>
        </w:rPr>
        <w:t xml:space="preserve">Deuda financiera: 0.</w:t>
      </w:r>
      <w:r>
        <w:t xml:space="preserve"> </w:t>
      </w:r>
      <w:r>
        <w:rPr>
          <w:bCs/>
          <w:b/>
        </w:rPr>
        <w:t xml:space="preserve">Pista</w:t>
      </w:r>
      <w:r>
        <w:t xml:space="preserve">: FCF positivo.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Acciones</w:t>
      </w:r>
      <w:r>
        <w:t xml:space="preserve">: 585,6 M en circulación (380,3 M de clase A y 205,3 M de clase B a 1-sep) más 5,4 M de opciones y 21,4 M de RSU pendientes:</w:t>
      </w:r>
      <w:r>
        <w:t xml:space="preserve"> </w:t>
      </w:r>
      <w:r>
        <w:rPr>
          <w:bCs/>
          <w:b/>
        </w:rPr>
        <w:t xml:space="preserve">612,1 M totalmente diluidas</w:t>
      </w:r>
      <w:r>
        <w:t xml:space="preserve"> </w:t>
      </w:r>
      <w:r>
        <w:t xml:space="preserve">[3].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</w:t>
      </w:r>
      <w:r>
        <w:t xml:space="preserve"> </w:t>
      </w:r>
      <w:r>
        <w:rPr>
          <w:bCs/>
          <w:b/>
        </w:rPr>
        <w:t xml:space="preserve">+2,2 %</w:t>
      </w:r>
      <w:r>
        <w:t xml:space="preserve"> </w:t>
      </w:r>
      <w:r>
        <w:t xml:space="preserve">en 12 meses (media ponderada básica de 571,7 a 584,1 M). La frena en parte con la liquidación neta de las RSU: retiene acciones y paga los impuestos en efectivo (70,4 M USD en el semestre, una recompra encubierta) [1]. No tiene programa de recompra.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acciones: 17,9 % de las ventas</w:t>
      </w:r>
      <w:r>
        <w:t xml:space="preserve"> </w:t>
      </w:r>
      <w:r>
        <w:t xml:space="preserve">(330,7 M en 12 meses).</w:t>
      </w:r>
      <w:r>
        <w:t xml:space="preserve"> </w:t>
      </w:r>
      <w:r>
        <w:rPr>
          <w:bCs/>
          <w:b/>
        </w:rPr>
        <w:t xml:space="preserve">En rojo</w:t>
      </w:r>
      <w:r>
        <w:t xml:space="preserve"> </w:t>
      </w:r>
      <w:r>
        <w:t xml:space="preserve">(&gt; 15 %). Baja despacio: 22,2 % en el ejercicio 2025 y 19,5 % en el 2026 [4].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(5/5)</w:t>
      </w:r>
      <w:r>
        <w:t xml:space="preserve">: ha batido la guía de ventas en los cuatro últimos trimestres comprobados en la SEC, un 4-5 % cada vez (y, de memoria, en todos desde su salida a bolsa en 2021 [14]), y ha elevado la guía anual dos veces este año [1][2]. Pasó de quemar 172 M USD de caja operativa en 2021 a generar 255 M de FCF.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(4/5)</w:t>
      </w:r>
      <w:r>
        <w:t xml:space="preserve">: los cofundadores Sanjit Biswas (consejero delegado) y John Bicket (director técnico) ya fundaron Meraki (vendida a Cisco). Controlan el voto con las acciones de clase B (10 votos). Asignación de capital sensata: sin deuda, sin compras caras y con salida a bolsa sin dilución posterior grande. Le restan las</w:t>
      </w:r>
      <w:r>
        <w:t xml:space="preserve"> </w:t>
      </w:r>
      <w:r>
        <w:rPr>
          <w:bCs/>
          <w:b/>
        </w:rPr>
        <w:t xml:space="preserve">ventas continuas de los fundadores</w:t>
      </w:r>
      <w:r>
        <w:t xml:space="preserve"> </w:t>
      </w:r>
      <w:r>
        <w:t xml:space="preserve">(1,32 M de acciones cada uno desde junio, por planes 10b5-1, más donaciones) y del consejero Marc Andreessen [5].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</w:t>
      </w:r>
      <w:r>
        <w:t xml:space="preserve">: las ventas de los 12 meses siguientes dentro de un año (3T28-2T29 fiscal), 2 años sobre los 12 meses a ago-2026, como en el backtest.</w:t>
      </w:r>
      <w:r>
        <w:t xml:space="preserve"> </w:t>
      </w:r>
      <w:r>
        <w:rPr>
          <w:bCs/>
          <w:b/>
        </w:rPr>
        <w:t xml:space="preserve">Métrica: EV/ventas NTM.</w:t>
      </w:r>
      <w:r>
        <w:t xml:space="preserve"> </w:t>
      </w:r>
      <w:r>
        <w:t xml:space="preserve">El margen GAAP aún es ~1 %, así que el EV/EBITDA no sirve.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</w:t>
      </w:r>
      <w:r>
        <w:t xml:space="preserve">: 41,27 × 612,1 − 1.325,7 =</w:t>
      </w:r>
      <w:r>
        <w:t xml:space="preserve"> </w:t>
      </w:r>
      <w:r>
        <w:rPr>
          <w:bCs/>
          <w:b/>
        </w:rPr>
        <w:t xml:space="preserve">23.936 M USD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: ~2.267 M USD (+22,7 %, con la guía).</w:t>
      </w:r>
      <w:r>
        <w:t xml:space="preserve"> </w:t>
      </w:r>
      <w:r>
        <w:rPr>
          <w:bCs/>
          <w:b/>
        </w:rPr>
        <w:t xml:space="preserve">EV/ventas NTM: 10,6x; EV/beneficio bruto NTM: 13,8x</w:t>
      </w:r>
      <w:r>
        <w:t xml:space="preserve"> </w:t>
      </w:r>
      <w:r>
        <w:t xml:space="preserve">(tope del método: 35x).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Mediana de 3 años: ~12,5x NTM</w:t>
      </w:r>
      <w:r>
        <w:t xml:space="preserve"> </w:t>
      </w:r>
      <w:r>
        <w:t xml:space="preserve">(cálculo propio al cierre de cada trimestre: 13,3x en jul-2023, 17,2x en nov-2024, 8,0x en may-2026) [12].</w:t>
      </w:r>
      <w:r>
        <w:t xml:space="preserve"> </w:t>
      </w:r>
      <w:r>
        <w:rPr>
          <w:bCs/>
          <w:b/>
        </w:rPr>
        <w:t xml:space="preserve">Mínimo: ~6,6x</w:t>
      </w:r>
      <w:r>
        <w:t xml:space="preserve"> </w:t>
      </w:r>
      <w:r>
        <w:t xml:space="preserve">(5-feb-2026).</w:t>
      </w:r>
      <w:r>
        <w:t xml:space="preserve"> </w:t>
      </w:r>
      <w:r>
        <w:rPr>
          <w:bCs/>
          <w:b/>
        </w:rPr>
        <w:t xml:space="preserve">Comparables: ~4,5x</w:t>
      </w:r>
      <w:r>
        <w:t xml:space="preserve"> </w:t>
      </w:r>
      <w:r>
        <w:t xml:space="preserve">(Procore ~5,6x y ServiceTitan ~6,1x sobre ventas pasadas, ambas creciendo menos; Trimble ~4,1x; Powerfleet ~1,3x) [13]. No influyen: el alcista lo fija 1,3 veces el base.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del 22,7 % NTM al 21 % en el año objetivo (base propio), factor 0,96.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año objetivo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+73,0 %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 (regla v7)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+20,6 %</w:t>
            </w:r>
          </w:p>
        </w:tc>
      </w:tr>
    </w:tbl>
    <w:p>
      <w:pPr>
        <w:pStyle w:val="BodyText"/>
      </w:pPr>
      <w:r>
        <w:t xml:space="preserve">Acciones dentro de 12 meses: 625,6 M (dilución del 2,2 %); caja de 1.325,7 M y sin deuda.</w:t>
      </w:r>
      <w:r>
        <w:t xml:space="preserve"> </w:t>
      </w:r>
      <w:r>
        <w:rPr>
          <w:bCs/>
          <w:b/>
        </w:rPr>
        <w:t xml:space="preserve">Asimetría: 1,9.</w:t>
      </w:r>
      <w:r>
        <w:t xml:space="preserve"> </w:t>
      </w:r>
      <w:r>
        <w:rPr>
          <w:bCs/>
          <w:b/>
        </w:rPr>
        <w:t xml:space="preserve">Precio máximo de compra (regla): 47,4 USD</w:t>
      </w:r>
      <w:r>
        <w:t xml:space="preserve"> </w:t>
      </w:r>
      <w:r>
        <w:t xml:space="preserve">(el que da ponderada +5 %; el tope de 35x beneficio bruto estaría por encima de 100 USD).</w:t>
      </w:r>
    </w:p>
    <w:p>
      <w:pPr>
        <w:pStyle w:val="BodyText"/>
      </w:pPr>
      <w:r>
        <w:rPr>
          <w:bCs/>
          <w:b/>
        </w:rPr>
        <w:t xml:space="preserve">Contraste con la guía de la empresa (mejora pendiente de la tanda 4, calculado a mano con las mismas fórmulas del motor y sin tocar el código).</w:t>
      </w:r>
      <w:r>
        <w:t xml:space="preserve"> </w:t>
      </w:r>
      <w:r>
        <w:t xml:space="preserve">La guía implica +22,7 % en los 12 meses siguientes, menos que el 29,8 % mecánico, así que aquí la mejora sí actúa: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Partida del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bajista / base / alcista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bajista / base / 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hasta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Mecánica (v7): 29,8 %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2.391 / 3.005 / 3.270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25,5 / 51,1 / 71,4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Guía: 22,7 %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2.256 / 2.704 / 2.895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 / 46,2 / 63,5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+9,1 %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+11,9 %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Comprar (media)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más la batida media (~28 %)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2.357 / 2.927 / 3.173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25,2 / 49,8 / 69,3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Proyección propia (26 % y 23 %)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2.549 / 2.863 / 3.027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 / 48,8 / 66,3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45,5</w:t>
            </w:r>
          </w:p>
        </w:tc>
      </w:tr>
    </w:tbl>
    <w:p>
      <w:pPr>
        <w:pStyle w:val="BodyText"/>
      </w:pPr>
      <w:r>
        <w:t xml:space="preserve">La v8 da lo mismo que la v7 (+20,6 %): ni la aceleración es menor de −10 pp ni el múltiplo supera 1,3 veces su mediana.</w:t>
      </w:r>
      <w:r>
        <w:t xml:space="preserve"> </w:t>
      </w:r>
      <w:r>
        <w:rPr>
          <w:bCs/>
          <w:b/>
        </w:rPr>
        <w:t xml:space="preserve">La señal aguanta en todas las variantes.</w:t>
      </w:r>
      <w:r>
        <w:t xml:space="preserve"> </w:t>
      </w:r>
      <w:r>
        <w:t xml:space="preserve">Solo pasaría a Mantener con la guía y probabilidades 35/50/15 (ponderada −0,4 %), y no hay motivo para aplicarlas: tiene pista infinita, ejecución probada y no depende de un solo producto.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</w:t>
      </w:r>
      <w:r>
        <w:t xml:space="preserve"> </w:t>
      </w:r>
      <w:r>
        <w:rPr>
          <w:bCs/>
          <w:b/>
        </w:rPr>
        <w:t xml:space="preserve">54,2 USD</w:t>
      </w:r>
      <w:r>
        <w:t xml:space="preserve"> </w:t>
      </w:r>
      <w:r>
        <w:t xml:space="preserve">(Fintel, mediados de septiembre; rango 46-63), por encima de nuestro objetivo ponderado. 17 Compra y 5 Mantener, ninguna Venta [9]. Consenso de ventas del año objetivo: no encontrado (null).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con WACC del 10 %, margen FCF que sube del 14 % al 25 % en 10 años y crecimiento terminal del 3 %, el precio descuenta</w:t>
      </w:r>
      <w:r>
        <w:t xml:space="preserve"> </w:t>
      </w:r>
      <w:r>
        <w:rPr>
          <w:bCs/>
          <w:b/>
        </w:rPr>
        <w:t xml:space="preserve">~20,7 % anual durante 10 años</w:t>
      </w:r>
      <w:r>
        <w:t xml:space="preserve"> </w:t>
      </w:r>
      <w:r>
        <w:t xml:space="preserve">(18,5 % con margen final del 30 %). Es exigente, pero está por debajo del 30 % actual y del ~26 % de la guía de este año. Si se restan los pagos en acciones, harían falta más de 25 puntos:</w:t>
      </w:r>
      <w:r>
        <w:t xml:space="preserve"> </w:t>
      </w:r>
      <w:r>
        <w:rPr>
          <w:bCs/>
          <w:b/>
        </w:rPr>
        <w:t xml:space="preserve">el precio ya cuenta con años de crecimiento alto.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analistas</w:t>
      </w:r>
      <w:r>
        <w:t xml:space="preserve">: en el 1T de 2026 dominó el miedo a la «SaaSpocalipsis» (la IA abarata el software por usuario) y la acción tocó 24,25 USD. Desde mayo el relato es el de «IA física»: Samsara como dueña de los datos del mundo real, beneficiada y no amenazada por la IA. Tras el 2T (ventas un 5 % sobre el consenso, BPA un 27 %) llegaron subidas de objetivo (Loop Capital 63, BMO 57, Wells Fargo 55, Morgan Stanley 52) y el inicio de Jefferies con Compra (5-oct). BMO, Piper Sandler, Morgan Stanley y Truist siguen neutrales por valoración [8][9][11].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(14-oct): 12 alcistas, 0 bajistas y 18 neutros en los 30 últimos mensajes. Hay compras inusuales de opciones de compra de diciembre a 42 USD y se habla de la «cesta de IA física» y de la resistencia de los 42 USD. Hay ganas, pero sin el tono de euforia de las que ya se han multiplicado [10].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</w:t>
      </w:r>
      <w:r>
        <w:t xml:space="preserve">: no se pudieron leer artículos recientes.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 (r/stocks, r/investing)</w:t>
      </w:r>
      <w:r>
        <w:t xml:space="preserve">: bloqueado desde aquí (403) y sin hilos recientes indexados.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 castellano</w:t>
      </w:r>
      <w:r>
        <w:t xml:space="preserve">: TIKR ES («Las ganancias del 2T confirman un cuarto trimestre consecutivo de beneficio GAAP») y MarketScreener ES (ventas de directivos en junio y julio). Rankia e Investing ES: sin hilos encontrados [8].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giro de percepción tiene base (crecimiento estable del 30 %, beneficio GAAP y guía elevada dos veces), y el múltiplo sigue por debajo de su historia. El riesgo es que la acción se ha vuelto un valor de «tema» (IA física), y eso hace que el sentimiento pueda girar rápido en las dos direcciones.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Valoración y sentimiento</w:t>
      </w:r>
      <w:r>
        <w:t xml:space="preserve">: a 10,6x ventas, una vuelta al mínimo de febrero (6,6x) es el bajista (−38 %). Ya pasó en enero-febrero de 2026 sin que cambiara nada del negocio.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Pagos en acciones del 18 % de las ventas</w:t>
      </w:r>
      <w:r>
        <w:t xml:space="preserve"> </w:t>
      </w:r>
      <w:r>
        <w:t xml:space="preserve">y ventas continuas de los fundadores y de Andreessen. El FCF «limpio» de pagos en acciones aún es negativo (~−4 %).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Ciclo del transporte y la construcción</w:t>
      </w:r>
      <w:r>
        <w:t xml:space="preserve">: los clientes son flotas y obras. Una recesión en EE. UU. frenaría los clientes nuevos (la retención es más sólida).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Competencia</w:t>
      </w:r>
      <w:r>
        <w:t xml:space="preserve">: Motive (financiada con capital privado, agresiva en precio) y Geotab. Aranceles y coste de memoria y chips encarecen el hardware (la empresa lo cita entre los riesgos) [1].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Compra anticipada de dispositivos</w:t>
      </w:r>
      <w:r>
        <w:t xml:space="preserve">: el capital circulante se come parte del FCF mientras crezca deprisa.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Crecimiento del ARR por debajo del 22 % dos trimestres seguidos (hoy, 30 %).</w:t>
      </w:r>
      <w:r>
        <w:t xml:space="preserve"> </w:t>
      </w:r>
      <w:r>
        <w:t xml:space="preserve">- Un trimestre por debajo de la guía de ventas (no ha pasado en los cuatro comprobados).</w:t>
      </w:r>
      <w:r>
        <w:t xml:space="preserve"> </w:t>
      </w:r>
      <w:r>
        <w:t xml:space="preserve">- Retención neta por debajo del 110 % o nuevo ARR neto cayendo en interanual dos trimestres seguidos.</w:t>
      </w:r>
      <w:r>
        <w:t xml:space="preserve"> </w:t>
      </w:r>
      <w:r>
        <w:t xml:space="preserve">- Margen operativo no GAAP de vuelta por debajo del 15 % sin una inversión anunciada.</w:t>
      </w:r>
    </w:p>
    <w:p>
      <w:pPr>
        <w:pStyle w:val="BodyText"/>
      </w:pPr>
      <w:r>
        <w:t xml:space="preserve">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Principios de dic-2026 (el año pasado, 4-dic)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3T27 (guía: 514-516 M, +24 %; si se repite la batida, ~+30 %)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la guía del 4T, primera visión del ejercicio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4T27 y guía del ejercicio 2028 (en 2026 la guía inicial, del 21-22 %, coincidió con el mínimo de la acción)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Agentes de IA de pago y nuevos productos (obras, residuos, equipos); posible nueva salida a bolsa de Motive, que daría una referencia de valoración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Cartera value vigente (</w:t>
      </w:r>
      <w:r>
        <w:rPr>
          <w:rStyle w:val="VerbatimChar"/>
        </w:rPr>
        <w:t xml:space="preserve">informes/cartera-2026-10-14-15h.md</w:t>
      </w:r>
      <w:r>
        <w:t xml:space="preserve">): IGLN (oro), Edenred, Daiichi Sankyo, Uber, Viscofan, Alphabet, Netflix, SAP, Intuit, Nemetschek, LVMH y Bureau Veritas, con órdenes abiertas hasta el 7-nov. Bolsillo growth aprobado (</w:t>
      </w:r>
      <w:r>
        <w:rPr>
          <w:rStyle w:val="VerbatimChar"/>
        </w:rPr>
        <w:t xml:space="preserve">informes-growth/cartera-growth.md</w:t>
      </w:r>
      <w:r>
        <w:t xml:space="preserve">): Nu (4 %), argenx (4,9 %), Shopify (4 %), Axon (3,7 %) y Duolingo (3,5 %),</w:t>
      </w:r>
      <w:r>
        <w:t xml:space="preserve"> </w:t>
      </w:r>
      <w:r>
        <w:rPr>
          <w:bCs/>
          <w:b/>
        </w:rPr>
        <w:t xml:space="preserve">~19,5 % de la cartera (tope 20 %): lleno, y sin liquidez</w:t>
      </w:r>
      <w:r>
        <w:t xml:space="preserve">. El tramo 1 de Duolingo ya se pagó cancelando la orden value de Deutsche Börse.</w:t>
      </w:r>
    </w:p>
    <w:p>
      <w:pPr>
        <w:pStyle w:val="BodyText"/>
      </w:pPr>
      <w:r>
        <w:t xml:space="preserve">Samsara merece un 4 % (convicción media):</w:t>
      </w:r>
      <w:r>
        <w:t xml:space="preserve"> </w:t>
      </w:r>
      <w:r>
        <w:rPr>
          <w:bCs/>
          <w:b/>
        </w:rPr>
        <w:t xml:space="preserve">30 acciones, ~1.070 EUR</w:t>
      </w:r>
      <w:r>
        <w:t xml:space="preserve"> </w:t>
      </w:r>
      <w:r>
        <w:t xml:space="preserve">(a ~1,16 USD/EUR). No puede entrar sin sacar otra growth. Comparación con las cinco: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(regla)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EV/benef.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Duolingo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+40,6 % (+12,5 % con la 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Samsara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+20,6 % (+9,1 % con la guía)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+23,8 %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−38,2 %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13,8x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Propuesta: Samsara sustituye a Shopify.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qué Shopify</w:t>
      </w:r>
      <w:r>
        <w:t xml:space="preserve">: es la de menor ponderada del bolsillo (+14,9 %) y la más cara (27,7x beneficio bruto, el doble que Samsara). Tiene el peor bajista después de Nu (−43 %) y es el perfil más parecido (plataforma de software que crece ~30 %, misma convicción media). Samsara la mejora en todo con la regla: +5,7 pp de ponderada, bajista 5 pp menos malo, 7 señales frente a 5 y la mitad de múltiplo. No toco las otras cuatro: argenx, Duolingo y Axon tienen ponderadas mucho mayores y aportan sectores que la cartera no tiene (biotecnología, consumo digital, seguridad pública), y Nu es la única financiera.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 ventaja no es robusta</w:t>
      </w:r>
      <w:r>
        <w:t xml:space="preserve"> </w:t>
      </w:r>
      <w:r>
        <w:t xml:space="preserve">(con la guía, Samsara da +9,1 % frente al +14,9 % de Shopify; con la guía y su batida habitual, +17,6 %), así que</w:t>
      </w:r>
      <w:r>
        <w:t xml:space="preserve"> </w:t>
      </w:r>
      <w:r>
        <w:rPr>
          <w:bCs/>
          <w:b/>
        </w:rPr>
        <w:t xml:space="preserve">el cambio se hace sin coste de rotación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Ya</w:t>
      </w:r>
      <w:r>
        <w:t xml:space="preserve">: cancelar el</w:t>
      </w:r>
      <w:r>
        <w:t xml:space="preserve"> </w:t>
      </w:r>
      <w:r>
        <w:rPr>
          <w:bCs/>
          <w:b/>
        </w:rPr>
        <w:t xml:space="preserve">tramo 2 de Shopify</w:t>
      </w:r>
      <w:r>
        <w:t xml:space="preserve"> </w:t>
      </w:r>
      <w:r>
        <w:t xml:space="preserve">(4 acciones,, aún no ejecutado) y poner el</w:t>
      </w:r>
      <w:r>
        <w:t xml:space="preserve"> </w:t>
      </w:r>
      <w:r>
        <w:rPr>
          <w:bCs/>
          <w:b/>
        </w:rPr>
        <w:t xml:space="preserve">tramo 1 de Samsara: 15 acciones con límite de 42,9 USD</w:t>
      </w:r>
      <w:r>
        <w:t xml:space="preserve"> </w:t>
      </w:r>
      <w:r>
        <w:t xml:space="preserve">(el precio máximo con la guía;.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Shopify tramo 1</w:t>
      </w:r>
      <w:r>
        <w:t xml:space="preserve">: si la orden (límite 193,2 USD) aún no se ha ejecutado, se cancela. Si ya se ejecutó, esas 4 acciones se venden</w:t>
      </w:r>
      <w:r>
        <w:t xml:space="preserve"> </w:t>
      </w:r>
      <w:r>
        <w:rPr>
          <w:bCs/>
          <w:b/>
        </w:rPr>
        <w:t xml:space="preserve">después de los resultados de Shopify del 3-nov</w:t>
      </w:r>
      <w:r>
        <w:t xml:space="preserve">, y solo si Samsara mantiene la tesis. Hasta entonces convivirán dos posiciones de, por debajo del mínimo, de forma transitoria.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Tramo 2 de Samsara</w:t>
      </w:r>
      <w:r>
        <w:t xml:space="preserve"> </w:t>
      </w:r>
      <w:r>
        <w:t xml:space="preserve">(15 acciones): tras los resultados del 3T (principios de diciembre), si el ARR crece ≥ 27 % y bate la guía, o con una caída del 10 % sin cambio de tesis. Se paga con la venta del tramo 1 de Shopify o con la liquidez de las órdenes value vencidas el 7-nov.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Motivo de negocio</w:t>
      </w:r>
      <w:r>
        <w:t xml:space="preserve">: líder de la digitalización de flotas y obras, que crece al 30 % sin frenar, ya gana dinero en GAAP y tiene caja neta. Cotiza por debajo de su múltiplo histórico porque el mercado aún duda de si la IA ayuda o perjudica al software. La cartera no tiene nada parecido: le da exposición a la «IA física», es decir, a la economía industrial de EE. UU., que la value solo toca con Uber.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Encaje</w:t>
      </w:r>
      <w:r>
        <w:t xml:space="preserve">: no es juego ni comercio minorista. Se solapa algo con SAP, Intuit y Nemetschek (software), pero su mercado es distinto (vehículos y equipos).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+29,5 % (3), CAGR a 2 años 29,9 % (3), aceleración +0,3 pp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6,2 % (3), tecnología 4, posición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76,4 % (5), regla del 40 = 43,3 (3),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2,2 %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Comprar (media)</w:t>
            </w:r>
            <w:r>
              <w:t xml:space="preserve">; cumple todos los requisitos de compra</w:t>
            </w:r>
          </w:p>
        </w:tc>
      </w:tr>
    </w:tbl>
    <w:p>
      <w:pPr>
        <w:pStyle w:val="BodyText"/>
      </w:pPr>
      <w:r>
        <w:rPr>
          <w:bCs/>
          <w:b/>
        </w:rPr>
        <w:t xml:space="preserve">Mejora del método que propone este informe</w:t>
      </w:r>
      <w:r>
        <w:t xml:space="preserve"> </w:t>
      </w:r>
      <w:r>
        <w:t xml:space="preserve">(sin tocar el código; pendiente del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Si la proyección parte de la guía, sumar la batida media de los últimos cuatro trimestres.</w:t>
      </w:r>
      <w:r>
        <w:t xml:space="preserve"> </w:t>
      </w:r>
      <w:r>
        <w:t xml:space="preserve">La propuesta de la tanda 4 (limitar el crecimiento de partida al de la guía cuando es menor que el mecánico) penaliza a las empresas que guían bajo a propósito. Samsara guía un ~24 % y entrega un ~30 % trimestre tras trimestre (batidas del 4,3 %, 5,3 %, 5,2 % y 5,3 % sobre el punto medio). Con la guía sola la ponderada cae de +20,6 % a +9,1 %; con la guía más la batida, +17,6 %. Regla sugerida: crecimiento de partida = mínimo entre el mecánico y la guía de los 12 meses siguientes más la batida media de los cuatro últimos trimestres, expresada en puntos de crecimiento (aquí ~5,5 pp). En Datadog la diferencia sería pequeña (batida del 4-5 %) y en Duolingo, ninguna (frenada anunciada).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Samsara, nota de resultados del 2T del ejercicio 2027 (3-sep-2026), 8-K ex. 99.1, SEC (leída directamente).</w:t>
      </w:r>
      <w:r>
        <w:t xml:space="preserve"> </w:t>
      </w:r>
      <w:r>
        <w:t xml:space="preserve">[2] Samsara, notas de resultados del 1T27 (4-jun-2026), 4T26 (5-mar-2026), 3T26 (4-dic-2025) y 2T26 (4-sep-2025), 8-K ex. 99.1, SEC (ventas, ARR y guías).</w:t>
      </w:r>
      <w:r>
        <w:t xml:space="preserve"> </w:t>
      </w:r>
      <w:r>
        <w:t xml:space="preserve">[3] Samsara, 10-Q del 2T27 (8-sep-2026), SEC: acciones, opciones y RSU, RPO, laudo contra Motive.</w:t>
      </w:r>
      <w:r>
        <w:t xml:space="preserve"> </w:t>
      </w:r>
      <w:r>
        <w:t xml:space="preserve">[4] SEC, XBRL companyfacts de Samsara (CIK 1642896): ventas, beneficio bruto, flujo de caja, pagos en acciones, acciones y caja por trimestre.</w:t>
      </w:r>
      <w:r>
        <w:t xml:space="preserve"> </w:t>
      </w:r>
      <w:r>
        <w:t xml:space="preserve">[5] SEC, Formularios 4 de junio a octubre de 2026 (ventas de directivos y consejeros) y Schedule 13G/A de T. Rowe Price (14-ago-2026).</w:t>
      </w:r>
      <w:r>
        <w:t xml:space="preserve"> </w:t>
      </w:r>
      <w:r>
        <w:t xml:space="preserve">[6] Yahoo Finance, API de gráficos (IOT y QQQ): cierres, mínimo y máximo de 12 meses, medias de 200 sesiones (cálculo propio). Segunda fuente del cierre del 13-oct (41,27 USD): Nasdaq.com, histórico de IOT.</w:t>
      </w:r>
      <w:r>
        <w:t xml:space="preserve"> </w:t>
      </w:r>
      <w:r>
        <w:t xml:space="preserve">[7] SEC, Motive Technologies: S-1 (23-dic-2025) y retirada del registro (10-sep-2026).</w:t>
      </w:r>
      <w:r>
        <w:t xml:space="preserve"> </w:t>
      </w:r>
      <w:r>
        <w:t xml:space="preserve">[8] TIKR (sep-2026, en inglés y en castellano): comparación con el consenso, clientes grandes, comentarios del director financiero sobre FCF y retención.</w:t>
      </w:r>
      <w:r>
        <w:t xml:space="preserve"> </w:t>
      </w:r>
      <w:r>
        <w:t xml:space="preserve">[9] Fintel / Nasdaq.com (consenso de precio objetivo, mediados de sep-2026); TheFly / TipRanks (subidas de objetivo; fechas no confirmadas); CMC Markets (recomendaciones).</w:t>
      </w:r>
      <w:r>
        <w:t xml:space="preserve"> </w:t>
      </w:r>
      <w:r>
        <w:t xml:space="preserve">[10] StockTwits, flujo público de IOT (14-oct-2026); notas de prensa de Samsara citadas allí (Asplundh, 24-sep-2026).</w:t>
      </w:r>
      <w:r>
        <w:t xml:space="preserve"> </w:t>
      </w:r>
      <w:r>
        <w:t xml:space="preserve">[11] Jefferies, inicio de cobertura con Compra y 50 USD (5-oct-2026), vía StockTwits/Benzinga.</w:t>
      </w:r>
      <w:r>
        <w:t xml:space="preserve"> </w:t>
      </w:r>
      <w:r>
        <w:t xml:space="preserve">[12] Cálculo propio de EV y múltiplos (actuales e históricos; acciones históricas aproximadas).</w:t>
      </w:r>
      <w:r>
        <w:t xml:space="preserve"> </w:t>
      </w:r>
      <w:r>
        <w:t xml:space="preserve">[13] Comparables: SEC XBRL y Yahoo Finance (Procore, ServiceTitan, Trimble, Powerfleet).</w:t>
      </w:r>
      <w:r>
        <w:t xml:space="preserve"> </w:t>
      </w:r>
      <w:r>
        <w:t xml:space="preserve">[14]</w:t>
      </w:r>
      <w:r>
        <w:t xml:space="preserve"> </w:t>
      </w:r>
      <w:r>
        <w:rPr>
          <w:bCs/>
          <w:b/>
        </w:rPr>
        <w:t xml:space="preserve">De memoria o estimación propia, sin verificar con fuente primaria en esta sesión</w:t>
      </w:r>
      <w:r>
        <w:t xml:space="preserve">: mercado alcanzable de ~30.000 M USD (a partir del TAM de ~50.000 M del folleto de 2021), retención neta de ~115 % (objetivo citado por el director financiero, no cifra publicada) el pasado de los fundadores en Meraki y el historial de batir la guía antes de 2025-2026.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2026-10-14T21:44:37Z</dcterms:created>
  <dcterms:modified xsi:type="dcterms:W3CDTF">2026-10-14T21:44:37Z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