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f0fb8b9bcf60c7b98e60387e265f96afda804b"/>
    <w:p>
      <w:pPr>
        <w:pStyle w:val="Heading1"/>
      </w:pPr>
      <w:r>
        <w:t xml:space="preserve">TransMedics (TMDX): análisis growth, 14-oct-2026</w:t>
      </w:r>
    </w:p>
    <w:p>
      <w:pPr>
        <w:pStyle w:val="FirstParagraph"/>
      </w:pPr>
      <w:r>
        <w:rPr>
          <w:bCs/>
          <w:b/>
        </w:rPr>
        <w:t xml:space="preserve">Señal (método v11, vigente): Mantener (no comprar)</w:t>
      </w:r>
      <w:r>
        <w:t xml:space="preserve"> </w:t>
      </w:r>
      <w:r>
        <w:t xml:space="preserve">· Puntuación 51,2/100 · Señales de cambio de tendencia 1/8 · EV/beneficio bruto NTM 6,8x</w:t>
      </w:r>
      <w:r>
        <w:t xml:space="preserve"> </w:t>
      </w:r>
      <w:r>
        <w:t xml:space="preserve">Precio 79,14 USD (cierre del 13-oct) · Objetivo 12 m 72,0 USD (ponderada −9,0 %, base −1,6 %, bajista −56,4 %, alcista +77,0 %) · Compra hasta 68,6 USD (pero la puntuación &lt; 60 la deja fuera a cualquier precio)</w:t>
      </w:r>
      <w:r>
        <w:t xml:space="preserve"> </w:t>
      </w:r>
      <w:r>
        <w:t xml:space="preserve">Peso orientativo: no entra · Por qué: no compra: puntuación &lt; 60, ponderada &lt; 5 %, base &lt; 0 %, bajista peor que −50 %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 hasta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v11 (vigente)</w:t>
            </w:r>
            <w:r>
              <w:t xml:space="preserve">: ventas = menor entre mecánica y analista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−56,4 %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+77,0 %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68,6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 (referencia): ventas mecánicas (1.089 M en el 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+6,8 % (objetivo 84,5)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−51,7 %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+112,3 %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80,5 USD (con bajista −52,5 %)</w:t>
            </w:r>
          </w:p>
        </w:tc>
      </w:tr>
    </w:tbl>
    <w:p>
      <w:pPr>
        <w:pStyle w:val="BlockText"/>
      </w:pPr>
      <w:r>
        <w:rPr>
          <w:bCs/>
          <w:b/>
        </w:rPr>
        <w:t xml:space="preserve">Al precio actual</w:t>
      </w:r>
      <w:r>
        <w:t xml:space="preserve"> </w:t>
      </w:r>
      <w:r>
        <w:t xml:space="preserve">(75,21 USD, 14-oct 17:21 UTC, Yahoo) y con el objetivo del informe</w:t>
      </w:r>
      <w:r>
        <w:t xml:space="preserve"> </w:t>
      </w:r>
      <w:r>
        <w:rPr>
          <w:bCs/>
          <w:b/>
        </w:rPr>
        <w:t xml:space="preserve">fijo</w:t>
      </w:r>
      <w:r>
        <w:t xml:space="preserve"> </w:t>
      </w:r>
      <w:r>
        <w:t xml:space="preserve">(72,0 USD): ponderada</w:t>
      </w:r>
      <w:r>
        <w:t xml:space="preserve"> </w:t>
      </w:r>
      <w:r>
        <w:rPr>
          <w:bCs/>
          <w:b/>
        </w:rPr>
        <w:t xml:space="preserve">−4,3 %</w:t>
      </w:r>
      <w:r>
        <w:t xml:space="preserve">, base (77,9 USD)</w:t>
      </w:r>
      <w:r>
        <w:t xml:space="preserve"> </w:t>
      </w:r>
      <w:r>
        <w:rPr>
          <w:bCs/>
          <w:b/>
        </w:rPr>
        <w:t xml:space="preserve">+3,6 %</w:t>
      </w:r>
      <w:r>
        <w:t xml:space="preserve">. Sigue en Mantener: la acción cae, pero la puntuación no llega a 60 y el precio sigue por encima del «compra hasta» (68,6).</w:t>
      </w:r>
      <w:r>
        <w:t xml:space="preserve"> </w:t>
      </w:r>
      <w:r>
        <w:rPr>
          <w:bCs/>
          <w:b/>
        </w:rPr>
        <w:t xml:space="preserve">Valoración por EV/ventas NTM</w:t>
      </w:r>
      <w:r>
        <w:t xml:space="preserve"> </w:t>
      </w:r>
      <w:r>
        <w:t xml:space="preserve">y no por EV/EBITDA: TransMedics gana dinero desde 2024, pero no de forma estable (margen operativo GAAP del 23 % al 12,5 % en un año y FCF del 1S26 ≈ 0). El EV incluye como deuda la sede de Somerville (347,7 M; compra de 374,6 M en 2027).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TransMedics hace el único sistema aprobado por la FDA que mantiene «vivos» y perfundidos en caliente hígados, corazones y pulmones durante el transporte (OCS), y lo vende como servicio integral (NOP): cirujanos propios, logística y</w:t>
      </w:r>
      <w:r>
        <w:t xml:space="preserve"> </w:t>
      </w:r>
      <w:r>
        <w:rPr>
          <w:bCs/>
          <w:b/>
        </w:rPr>
        <w:t xml:space="preserve">una flota propia de 22 aviones</w:t>
      </w:r>
      <w:r>
        <w:t xml:space="preserve">. Vende 668,5 M USD en 12 meses (+25,8 %), con margen bruto del 58,7 %.</w:t>
      </w:r>
    </w:p>
    <w:p>
      <w:pPr>
        <w:numPr>
          <w:ilvl w:val="0"/>
          <w:numId w:val="1001"/>
        </w:numPr>
        <w:pStyle w:val="Compact"/>
      </w:pPr>
      <w:r>
        <w:t xml:space="preserve">Ha sido una de las grandes historias de crecimiento de la tecnología médica (+37 % en 2025, guía batida por 14,6 pp), pero en 2026 frena: +21 % en el 1T y el 2T, el corazón crece solo un +6 % y el margen operativo se ha hundido del 23 % al 12,5 % por la inversión en riñón, Gen 3.0, ensayos y Europa.</w:t>
      </w:r>
    </w:p>
    <w:p>
      <w:pPr>
        <w:numPr>
          <w:ilvl w:val="0"/>
          <w:numId w:val="1001"/>
        </w:numPr>
        <w:pStyle w:val="Compact"/>
      </w:pPr>
      <w:r>
        <w:t xml:space="preserve">La acción ha caído un 29 % en 12 meses y un 47 % desde su máximo (150 USD en dic-2025); cotiza a 4,0x ventas NTM y 6,8x el beneficio bruto, cerca del mínimo de 3 años (3,4x) y con un DCF inverso que solo descuenta un ~10,5 % anual a 10 años: barata frente a su historia.</w:t>
      </w:r>
    </w:p>
    <w:p>
      <w:pPr>
        <w:numPr>
          <w:ilvl w:val="0"/>
          <w:numId w:val="1001"/>
        </w:numPr>
        <w:pStyle w:val="Compact"/>
      </w:pPr>
      <w:r>
        <w:t xml:space="preserve">Pero la tendencia no ha girado (1/8 señales), las posiciones cortas son del 25 % del capital, y el balance tiene un calendario exigente (sede 374,6 M en 2027 + convertible 460 M en jun-2028 frente a 473 M de caja). Con las ventas del consenso (~940-950 M a jun-2028) el precio de hoy ya está pagado: base −1,6 %.</w:t>
      </w:r>
    </w:p>
    <w:p>
      <w:pPr>
        <w:numPr>
          <w:ilvl w:val="0"/>
          <w:numId w:val="1001"/>
        </w:numPr>
        <w:pStyle w:val="Compact"/>
      </w:pPr>
      <w:r>
        <w:t xml:space="preserve">Conclusión:</w:t>
      </w:r>
      <w:r>
        <w:t xml:space="preserve"> </w:t>
      </w:r>
      <w:r>
        <w:rPr>
          <w:bCs/>
          <w:b/>
        </w:rPr>
        <w:t xml:space="preserve">Mantener (no comprar)</w:t>
      </w:r>
      <w:r>
        <w:t xml:space="preserve">. Es un negocio único que puede volver, pero hoy falla tres listones a la vez (puntuación, ponderada y bajista). Disparadores: un 3T (finales de octubre) con el corazón y el margen girando, la aprobación de CHOPS y una guía 2027 ≥ +20 %.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OCS (Organ Care System)</w:t>
      </w:r>
      <w:r>
        <w:t xml:space="preserve"> </w:t>
      </w:r>
      <w:r>
        <w:t xml:space="preserve">conserva el órgano del donante a temperatura corporal, oxigenado y funcionando (el corazón late, el hígado produce bilis), en vez de en hielo. Eso alarga el tiempo de transporte, permite</w:t>
      </w:r>
      <w:r>
        <w:t xml:space="preserve"> </w:t>
      </w:r>
      <w:r>
        <w:rPr>
          <w:bCs/>
          <w:b/>
        </w:rPr>
        <w:t xml:space="preserve">evaluar</w:t>
      </w:r>
      <w:r>
        <w:t xml:space="preserve"> </w:t>
      </w:r>
      <w:r>
        <w:t xml:space="preserve">el órgano antes de trasplantarlo y recuperar órganos que antes se desechaban (donantes en asistolia, órganos «marginales») [2][3]. Ingresos:</w:t>
      </w:r>
      <w:r>
        <w:t xml:space="preserve"> </w:t>
      </w:r>
      <w:r>
        <w:rPr>
          <w:bCs/>
          <w:b/>
        </w:rPr>
        <w:t xml:space="preserve">producto</w:t>
      </w:r>
      <w:r>
        <w:t xml:space="preserve"> </w:t>
      </w:r>
      <w:r>
        <w:t xml:space="preserve">(kits desechables y consolas, 111 M en el 2T26, margen ~77 %) y</w:t>
      </w:r>
      <w:r>
        <w:t xml:space="preserve"> </w:t>
      </w:r>
      <w:r>
        <w:rPr>
          <w:bCs/>
          <w:b/>
        </w:rPr>
        <w:t xml:space="preserve">servicio</w:t>
      </w:r>
      <w:r>
        <w:t xml:space="preserve"> </w:t>
      </w:r>
      <w:r>
        <w:t xml:space="preserve">(79 M, +29 %, margen ~35 %): el programa NOP, en el que TransMedics extrae el órgano con su propio equipo y lo lleva en sus aviones [1][13].</w:t>
      </w:r>
    </w:p>
    <w:p>
      <w:pPr>
        <w:pStyle w:val="BodyText"/>
      </w:pPr>
      <w:r>
        <w:t xml:space="preserve">Lo nuevo: OCS Kidney (primer uso clínico a finales de 2027), OCS Gen 3.0 (más pequeño y barato), CHOPS (conservación en frío controlada, para los brazos de control de los ensayos ENHANCE Corazón y DENOVO Pulmón, que abrirían 2.000-5.000 trasplantes más al año) y Europa con la compra de PAD Aviation (Alemania, 9 Phenom 300) y el reembolso en Italia [4][13].</w:t>
      </w:r>
    </w:p>
    <w:p>
      <w:pPr>
        <w:pStyle w:val="BodyText"/>
      </w:pPr>
      <w:r>
        <w:rPr>
          <w:bCs/>
          <w:b/>
        </w:rPr>
        <w:t xml:space="preserve">Tecnología 4/5</w:t>
      </w:r>
      <w:r>
        <w:t xml:space="preserve">: único aparato multiórgano aprobado por la FDA y una red logística que nadie más tiene; no es 5 porque en hígado ya compite OrganOx (Terumo) y en corazón XVIVO ha pedido la aprobación PMA (28-sep-2026) [21].</w:t>
      </w:r>
      <w:r>
        <w:t xml:space="preserve"> </w:t>
      </w:r>
      <w:r>
        <w:rPr>
          <w:bCs/>
          <w:b/>
        </w:rPr>
        <w:t xml:space="preserve">Posición 4/5</w:t>
      </w:r>
      <w:r>
        <w:t xml:space="preserve">: líder claro en EE. UU. en perfusión caliente (5.139 casos en 2025, ~27 % de los trasplantes de hígado, corazón y pulmón, estimación propia), pero el corazón casi no crece y depende del hígado (~80 % de las ventas de trasplante en EE. UU.).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GAAP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12,5 %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Exceso sobre la guía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530-552 (+22,5 %)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+14,6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(guía)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737-757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+22-25 %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727-757 (+22,5 %)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1S26 real +20,9 %</w:t>
            </w:r>
          </w:p>
        </w:tc>
      </w:tr>
    </w:tbl>
    <w:p>
      <w:pPr>
        <w:pStyle w:val="BodyText"/>
      </w:pPr>
      <w:r>
        <w:t xml:space="preserve">Fuentes: SEC XBRL y notas de resultados [1][3][4][5][6]. 12 meses: +25,8 %; CAGR propio a 2 años: 36,5 %;</w:t>
      </w:r>
      <w:r>
        <w:t xml:space="preserve"> </w:t>
      </w:r>
      <w:r>
        <w:rPr>
          <w:bCs/>
          <w:b/>
        </w:rPr>
        <w:t xml:space="preserve">aceleración −10,1 pp</w:t>
      </w:r>
      <w:r>
        <w:t xml:space="preserve"> </w:t>
      </w:r>
      <w:r>
        <w:t xml:space="preserve">(2T26 +20,7 % frente a +30,8 % de media de los cuatro anteriores). Por órgano (2T26, EE. UU.): hígado ~148 M (+28 %), corazón ~33 M (+6 %), pulmón ~2 M; logística ~41 M (+39 %) [13].</w:t>
      </w:r>
      <w:r>
        <w:t xml:space="preserve"> </w:t>
      </w:r>
      <w:r>
        <w:rPr>
          <w:bCs/>
          <w:b/>
        </w:rPr>
        <w:t xml:space="preserve">Guía</w:t>
      </w:r>
      <w:r>
        <w:t xml:space="preserve">: 2S26 implícito +25,8 % (747 − 363,9 = 383,1 M frente a 304,6 M) [1]; la guía 2027 llegará con el 3T o el 4T. No hay retención en dólares (vende por caso).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pStyle w:val="FirstParagraph"/>
      </w:pPr>
      <w:r>
        <w:t xml:space="preserve">Mercado alcanzable en 2028 (estimación propia,</w:t>
      </w:r>
      <w:r>
        <w:t xml:space="preserve"> </w:t>
      </w:r>
      <w:r>
        <w:rPr>
          <w:rStyle w:val="VerbatimChar"/>
        </w:rPr>
        <w:t xml:space="preserve">mercado.nota_tam</w:t>
      </w:r>
      <w:r>
        <w:t xml:space="preserve">): ~20.000 trasplantes de hígado, corazón y pulmón al año en EE. UU. × ~115.000 USD por caso ≈ 2.300 M, más Europa ≈</w:t>
      </w:r>
      <w:r>
        <w:t xml:space="preserve"> </w:t>
      </w:r>
      <w:r>
        <w:rPr>
          <w:bCs/>
          <w:b/>
        </w:rPr>
        <w:t xml:space="preserve">2.500 M</w:t>
      </w:r>
      <w:r>
        <w:t xml:space="preserve">; penetración del 26,7 % (mucha cuota ya ganada). El riñón (~28.000 trasplantes en EE. UU.) duplicaría el mercado, pero no antes de 2028 [13][22]. La empresa apunta a 10.000 trasplantes en EE. UU. en 2028 y a más de 2.000 M de ventas en 2032.</w:t>
      </w:r>
    </w:p>
    <w:p>
      <w:pPr>
        <w:pStyle w:val="BodyText"/>
      </w:pPr>
      <w:r>
        <w:t xml:space="preserve">Rivales:</w:t>
      </w:r>
      <w:r>
        <w:t xml:space="preserve"> </w:t>
      </w:r>
      <w:r>
        <w:rPr>
          <w:bCs/>
          <w:b/>
        </w:rPr>
        <w:t xml:space="preserve">OrganOx (metra, hígado)</w:t>
      </w:r>
      <w:r>
        <w:t xml:space="preserve">, comprada por Terumo por ~1.500 M USD en 2025, con más músculo comercial;</w:t>
      </w:r>
      <w:r>
        <w:t xml:space="preserve"> </w:t>
      </w:r>
      <w:r>
        <w:rPr>
          <w:bCs/>
          <w:b/>
        </w:rPr>
        <w:t xml:space="preserve">XVIVO</w:t>
      </w:r>
      <w:r>
        <w:t xml:space="preserve"> </w:t>
      </w:r>
      <w:r>
        <w:t xml:space="preserve">(corazón: PRESERVE cumplió sus objetivos y la FDA tiene la PMA desde el 28-sep-2026; pulmón ya aprobado);</w:t>
      </w:r>
      <w:r>
        <w:t xml:space="preserve"> </w:t>
      </w:r>
      <w:r>
        <w:rPr>
          <w:bCs/>
          <w:b/>
        </w:rPr>
        <w:t xml:space="preserve">Paragonix</w:t>
      </w:r>
      <w:r>
        <w:t xml:space="preserve"> </w:t>
      </w:r>
      <w:r>
        <w:t xml:space="preserve">(Getinge, transporte en frío, barato y extendido en corazón y pulmón) [21]. Por qué gana hoy: su ventaja es el</w:t>
      </w:r>
      <w:r>
        <w:t xml:space="preserve"> </w:t>
      </w:r>
      <w:r>
        <w:rPr>
          <w:bCs/>
          <w:b/>
        </w:rPr>
        <w:t xml:space="preserve">paquete</w:t>
      </w:r>
      <w:r>
        <w:t xml:space="preserve"> </w:t>
      </w:r>
      <w:r>
        <w:t xml:space="preserve">(aparato + equipo quirúrgico + aviones), no solo el aparato; la dirección dice que un rival perdió una cuenta grande que pasó a TransMedics [13]. Por qué puede perder: en corazón, el +6 % sugiere que los centros ya usan alternativas más baratas, y la aprobación de XVIVO en 2027 añadiría otra.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2026: +10 M en el extremo bajo; margen operativo guiado de ~16 % a 12,5-14 %; BPA del 1T y 2T por debajo del consenso; objetivos medios de ~145 a ~98-100 USD; Canaccord 95 → 94 (13-oct) [1][10][11][12]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Precio sobre la media de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79,14 frente a 98,4, que baja (110,9 hace 60 sesiones) 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Fuerza relativa 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−30,2 % frente a +20,4 % del Nasdaq-100 y −2,3 % del IHI 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Mejora de múltiplo ≥ 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3,4x (mínimo del 14-may) a 4,0x: +18 % [20]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−10,7 pp interanual; FCF del 1S26 ≈ 0 frente a +53 M [1][2]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−23 % tras el 1T, investigación de un bufete, cortos del 25 % en máximos del año [10][12][14]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compra de 109.000 USD de un consejero (sep-2026) frente a ventas a 135-150 USD en marzo; 13G de Vanguard por reorganización [17]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Catalizador nuevo en 6 meses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CHOPS (finales del 3T o 4T), resultados del 3T y guía 2027, recertificación de las OPO, reembolso en Italia [13]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</w:t>
      </w:r>
      <w:r>
        <w:t xml:space="preserve"> </w:t>
      </w:r>
      <w:r>
        <w:t xml:space="preserve">(−29 % en 12 meses).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pStyle w:val="FirstParagraph"/>
      </w:pPr>
      <w:r>
        <w:t xml:space="preserve">Margen bruto de 12 meses</w:t>
      </w:r>
      <w:r>
        <w:t xml:space="preserve"> </w:t>
      </w:r>
      <w:r>
        <w:rPr>
          <w:bCs/>
          <w:b/>
        </w:rPr>
        <w:t xml:space="preserve">58,7 %</w:t>
      </w:r>
      <w:r>
        <w:t xml:space="preserve">, mezcla de producto (~77 %) y servicio (~35 %, con aviones, pilotos y combustible). Como el servicio crece más (41 % de las ventas), el margen total no sube: la empresa guía ~59 % en el 2S26 y ~60 % a largo plazo [1][13].</w:t>
      </w:r>
      <w:r>
        <w:t xml:space="preserve"> </w:t>
      </w:r>
      <w:r>
        <w:rPr>
          <w:bCs/>
          <w:b/>
        </w:rPr>
        <w:t xml:space="preserve">Regla del 40: 37,6</w:t>
      </w:r>
      <w:r>
        <w:t xml:space="preserve"> </w:t>
      </w:r>
      <w:r>
        <w:t xml:space="preserve">(25,8 + 11,8). FCF de 12 meses 79 M (11,8 %), pero ≈ 0 en el 1S26: el gasto en I+D casi se dobla (+99 %) y el SG&amp;A sube un 27 %. Camino a la rentabilidad: «FCF positivo» (no creciente). La dirección promete apalancamiento operativo cuando lleguen el riñón y Europa; hoy es una promesa.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pStyle w:val="FirstParagraph"/>
      </w:pPr>
      <w:r>
        <w:t xml:space="preserve">Caja 472,7 M; deuda 867,7 M: convertible al 1,5 % de 460 M (vence el 1-jun-2028, conversión a 94 USD, con capped call), préstamo CIBC de 60 M (se amortiza hasta jul-2027) y arrendamiento financiero de la sede de Somerville (347,7 M; compra por</w:t>
      </w:r>
      <w:r>
        <w:t xml:space="preserve"> </w:t>
      </w:r>
      <w:r>
        <w:rPr>
          <w:bCs/>
          <w:b/>
        </w:rPr>
        <w:t xml:space="preserve">374,6 M antes de fin de 2027</w:t>
      </w:r>
      <w:r>
        <w:t xml:space="preserve">, que la empresa da por hecha) [2].</w:t>
      </w:r>
      <w:r>
        <w:t xml:space="preserve"> </w:t>
      </w:r>
      <w:r>
        <w:rPr>
          <w:bCs/>
          <w:b/>
        </w:rPr>
        <w:t xml:space="preserve">Vencimientos 2027-2028 ≈ 895 M frente a 473 M de caja</w:t>
      </w:r>
      <w:r>
        <w:t xml:space="preserve"> </w:t>
      </w:r>
      <w:r>
        <w:t xml:space="preserve">y un FCF cercano a cero: hará falta refinanciar (nuevo convertible, hipoteca de la sede) o diluir si la acción no supera los 94 USD. Pista de caja: FCF positivo (5/5 en la regla), pero el riesgo de balance es real. Dilución +2,0 % (básicas); pagos en acciones 5,5 % de las ventas (bien, &lt; 15 %).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pStyle w:val="FirstParagraph"/>
      </w:pPr>
      <w:r>
        <w:t xml:space="preserve">Fundador y consejero delegado: Waleed Hassanein (desde 1998), visionario y agresivo (flota propia, NOP, 30.000 trasplantes en 2032).</w:t>
      </w:r>
      <w:r>
        <w:t xml:space="preserve"> </w:t>
      </w:r>
      <w:r>
        <w:rPr>
          <w:bCs/>
          <w:b/>
        </w:rPr>
        <w:t xml:space="preserve">Historial 3/5</w:t>
      </w:r>
      <w:r>
        <w:t xml:space="preserve">: 2024 y 2025 brillantes (guía subida tres veces), 2026 flojo en márgenes (guía de margen recortada, dos fallos de BPA).</w:t>
      </w:r>
      <w:r>
        <w:t xml:space="preserve"> </w:t>
      </w:r>
      <w:r>
        <w:rPr>
          <w:bCs/>
          <w:b/>
        </w:rPr>
        <w:t xml:space="preserve">Dirección 3/5</w:t>
      </w:r>
      <w:r>
        <w:t xml:space="preserve">: nuevo director financiero (Fernando Araujo, exGE HealthCare, desde el 21-sep-2026), debilidad material en el control interno, sede de ~400 M comprada en plena caída del margen, PAD Aviation sin precio publicado y una investigación de un bufete sobre la información de márgenes [2][7][14][18].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a jun-2028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−56,4 %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+77,0 %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−9,0 %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Ventas</w:t>
      </w:r>
      <w:r>
        <w:t xml:space="preserve">: v11 toma la menor entre la mecánica (866 / 1.089 / 1.185 M) y la del informe (800 / 940 / 1.000 M), que se construye con la guía del 2S26 (383 M), +18 % en el 1S27 y +16 % el segundo año.</w:t>
      </w:r>
      <w:r>
        <w:t xml:space="preserve"> </w:t>
      </w:r>
      <w:r>
        <w:rPr>
          <w:bCs/>
          <w:b/>
        </w:rPr>
        <w:t xml:space="preserve">Consenso</w:t>
      </w:r>
      <w:r>
        <w:t xml:space="preserve"> </w:t>
      </w:r>
      <w:r>
        <w:t xml:space="preserve">para la misma ventana: ~950 M (2026 742 M, 2027 ~875 M, 2028 ~1.030 M) [11][19]; la base del informe está un 1 % por debajo. La mecánica (+29,9 % de partida, con la guía + 14,6 pp de exceso que casi no recorta) iría un 15 % por encima del consenso.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Múltiplo</w:t>
      </w:r>
      <w:r>
        <w:t xml:space="preserve">: base = 4,0x de hoy × 0,86 por la desaceleración (21,5 % → 16 %) = 3,5x; bajista × 0,6; alcista = mediana de 3 años (5,6x), dentro del techo ×1,6.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Probabilidades 35/50/15</w:t>
      </w:r>
      <w:r>
        <w:t xml:space="preserve">: depende de una plataforma y de un órgano (el hígado, ~80 %), y la ejecución de 2026 es dudosa.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Por qué el bajista es tan malo</w:t>
      </w:r>
      <w:r>
        <w:t xml:space="preserve">: la deuda neta (395 M) pesa sobre el precio cuando el múltiplo cae; sin contar la sede como deuda el bajista sería −50,9 % y la señal igual.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DCF inverso</w:t>
      </w:r>
      <w:r>
        <w:t xml:space="preserve">: el precio descuenta ~10,5 % anual de crecimiento durante 10 años (con el margen FCF subiendo al 20 %), muy por debajo del +22-25 % de hoy [20]. Es el argumento alcista: si el crecimiento aguanta y el margen vuelve, está barata. El método no compra porque, con el consenso, el múltiplo base ya baja con la desaceleración y la probabilidad de un bajista profundo es alta.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Contraste</w:t>
      </w:r>
      <w:r>
        <w:t xml:space="preserve">: precio objetivo medio de los analistas 97-100 USD (65-125; 13 analistas, 9 Compra y 4 Mantener) [10][11], +24 % sobre el cierre: el mercado ve más valor que el método.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StockTwits</w:t>
      </w:r>
      <w:r>
        <w:t xml:space="preserve"> </w:t>
      </w:r>
      <w:r>
        <w:t xml:space="preserve">(30 mensajes, 14-oct): 10 alcistas, 0 bajistas y 20 sin etiqueta, pero el tono es de frustración («una empresa que crece un 25 % y mira el precio», «vuelve a donde vendí en el 1T», miedo a caer a 72 o a los 60) [15].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Bajistas</w:t>
      </w:r>
      <w:r>
        <w:t xml:space="preserve">: posiciones cortas de 8,55 M acciones (≈ 25 % de las acciones, 13 días para cubrir), en máximos del año; el relato bajista (márgenes, dependencia del hígado, competencia, «dry runs») sigue vivo desde los informes cortos de 2024-2025 (de memoria) [10][16].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Prensa y analistas</w:t>
      </w:r>
      <w:r>
        <w:t xml:space="preserve">: Barclays inicia con Compra y 120 USD (6-oct) y TD Cowen mantiene 120, pero Canaccord recorta y Stifel tiene 80 [11][12]. Reddit y foros en castellano (Rankia, Investing ES): sin hilos activos encontrados.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sentimiento es peor que el negocio (crece un 21 % y tiene un servicio único), algo típico de un fondo; pero hasta que no haya un trimestre que lo cambie, el método no se anticipa (en el backtest, Mantener batió al índice solo 2 de 20 veces, y comprar caídas sin señales es lo que más falla).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Riesgo de IA</w:t>
      </w:r>
      <w:r>
        <w:t xml:space="preserve">:</w:t>
      </w:r>
      <w:r>
        <w:t xml:space="preserve"> </w:t>
      </w:r>
      <w:r>
        <w:rPr>
          <w:bCs/>
          <w:b/>
        </w:rPr>
        <w:t xml:space="preserve">bajo</w:t>
      </w:r>
      <w:r>
        <w:t xml:space="preserve">. Es un negocio físico (aparatos médicos aprobados por la FDA, cirujanos, aviones) que la IA no sustituye; si acaso la IA ayuda a evaluar órganos. El riesgo es de competencia médica y de márgenes, no de IA.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Robustez (alertas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calc.alertas</w:t>
      </w:r>
      <w:r>
        <w:rPr>
          <w:bCs/>
          <w:b/>
        </w:rPr>
        <w:t xml:space="preserve">)</w:t>
      </w:r>
      <w:r>
        <w:t xml:space="preserve">: una sola.</w:t>
      </w:r>
      <w:r>
        <w:t xml:space="preserve"> </w:t>
      </w:r>
      <w:r>
        <w:rPr>
          <w:bCs/>
          <w:b/>
        </w:rPr>
        <w:t xml:space="preserve">«Exceso sobre la guía de 14,6 pp (&gt; 10): el recorte por la guía casi no actúa.»</w:t>
      </w:r>
      <w:r>
        <w:t xml:space="preserve"> </w:t>
      </w:r>
      <w:r>
        <w:t xml:space="preserve">Es cierto y</w:t>
      </w:r>
      <w:r>
        <w:t xml:space="preserve"> </w:t>
      </w:r>
      <w:r>
        <w:rPr>
          <w:bCs/>
          <w:b/>
        </w:rPr>
        <w:t xml:space="preserve">debilita a v9, no a v11</w:t>
      </w:r>
      <w:r>
        <w:t xml:space="preserve">: el exceso sale de 2025 (+37 % frente a +22,5 % guiado), pero en 2026 apenas bate la guía (1S26 +20,9 % frente a +22,5 %), así que la mecánica (1.089 M) proyecta un crecimiento que ya no se ve. Por eso v9 da Comprar en ponderada (+6,8 %) pero no en puntuación, y v11, al tomar las ventas del informe (≈ consenso), da −9 %.</w:t>
      </w:r>
      <w:r>
        <w:t xml:space="preserve"> </w:t>
      </w:r>
      <w:r>
        <w:rPr>
          <w:bCs/>
          <w:b/>
        </w:rPr>
        <w:t xml:space="preserve">La señal no depende de esto</w:t>
      </w:r>
      <w:r>
        <w:t xml:space="preserve">: con cualquier combinación (v7, v9, v11, ventas mecánicas, 25/50/25, sin la sede como deuda, sin exceso sobre la guía, precio de hoy) la señal es</w:t>
      </w:r>
      <w:r>
        <w:t xml:space="preserve"> </w:t>
      </w:r>
      <w:r>
        <w:rPr>
          <w:bCs/>
          <w:b/>
        </w:rPr>
        <w:t xml:space="preserve">Mantener</w:t>
      </w:r>
      <w:r>
        <w:t xml:space="preserve">, porque la puntuación (51,2) está por debajo de 60 en todas (prueba de robustez: «SÓLIDA», herramientas/robustez-growth.mjs). Avisos de esa prueba: el objetivo se mueve con el precio (elasticidad 0,87; por eso se deja fijo) y bajista de −56 %.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Cerca del listón de venta</w:t>
      </w:r>
      <w:r>
        <w:t xml:space="preserve">: con 51,2 puntos, perder 1,2 puntos (otro trimestre de desaceleración fuerte o una caída del margen bruto) la llevaría a Vender. Tesis rota si: dos trimestres seguidos por debajo del +15 %, pérdida de cuota en hígado frente a OrganOx/Terumo, retirada o problema regulatorio del OCS o de la flota (FAA), o una refinanciación muy dilutiva.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Competencia</w:t>
      </w:r>
      <w:r>
        <w:t xml:space="preserve">: XVIVO aprobado en corazón (2027), Terumo empujando OrganOx en hígado en EE. UU., Paragonix en frío.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Balance</w:t>
      </w:r>
      <w:r>
        <w:t xml:space="preserve">: ~895 M de vencimientos en 2027-2028 frente a 473 M de caja.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Regulación y política</w:t>
      </w:r>
      <w:r>
        <w:t xml:space="preserve">: recertificación de las OPO (CMS) y cambios en la red de trasplantes (OPTN); un solo pagador indirecto (centros que lo cobran a Medicare y aseguradoras).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Contabilidad y gobierno</w:t>
      </w:r>
      <w:r>
        <w:t xml:space="preserve">: debilidad material en el control interno, cambio de director financiero e investigación sobre la información de márgenes.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Finales de oct-2026</w:t>
      </w:r>
      <w:r>
        <w:t xml:space="preserve">: resultados del 3T (primera consolidación de PAD Aviation; la empresa avisa de que el 3T será más flojo que el 2T por agosto) [13].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3T-4T 2026</w:t>
      </w:r>
      <w:r>
        <w:t xml:space="preserve">: aprobación de la FDA del suplemento IDE de CHOPS y arranque de ENHANCE parte B y DENOVO.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4T 2026 / feb-2027</w:t>
      </w:r>
      <w:r>
        <w:t xml:space="preserve">: guía 2027 y decisión de recertificación de las OPO.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Finales de 2026 o principios de 2027</w:t>
      </w:r>
      <w:r>
        <w:t xml:space="preserve">: reembolso en Italia.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2027</w:t>
      </w:r>
      <w:r>
        <w:t xml:space="preserve">: compra de la sede (374,6 M), posible aprobación de XVIVO en corazón, primeros casos de OCS Kidney a finales de año.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1-jun-2028</w:t>
      </w:r>
      <w:r>
        <w:t xml:space="preserve">: vencimiento del convertible.</w:t>
      </w:r>
    </w:p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entra.</w:t>
      </w:r>
      <w:r>
        <w:t xml:space="preserve"> </w:t>
      </w:r>
      <w:r>
        <w:t xml:space="preserve">El bolsillo growth está lleno (~20 %: Nu +19 %, Axon +36 %, Shopify +18 %, Snowflake +13 %, Samsara +15 % al precio actual con v11;</w:t>
      </w:r>
      <w:r>
        <w:t xml:space="preserve"> </w:t>
      </w:r>
      <w:r>
        <w:rPr>
          <w:rStyle w:val="VerbatimChar"/>
        </w:rPr>
        <w:t xml:space="preserve">informes-growth/cartera-growth.md</w:t>
      </w:r>
      <w:r>
        <w:t xml:space="preserve">) y la liquidez libre es casi nula, así que solo cabría sustituyendo, y TransMedics no da Comprar: ponderada −9 % (−4,3 % al precio de hoy con el objetivo fijo) frente a +13-36 % de las cinco posiciones. No sustituye a ninguna ni entra en la lista de suplentes (MongoDB, Toast, Zscaler, Dexcom, Datadog, argenx, Natera, todas en Comprar).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Dónde queda</w:t>
      </w:r>
      <w:r>
        <w:t xml:space="preserve">: en el grupo de Mantener (con Eli Lilly, Wise, Arista, DoorDash, HubSpot, Insulet), por detrás de los suplentes. No es exposición a IA (Alphabet se vende mañana y no cuenta).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Encaje temático</w:t>
      </w:r>
      <w:r>
        <w:t xml:space="preserve">: aportaría algo que la cartera no tiene (tecnología médica de trasplantes, inmune a la IA), igual que Dexcom e Insulet; si algún día pasa a Comprar, competiría con Dexcom (4.º suplente) por el hueco de tecnología médica.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Qué la llevaría a Comprar</w:t>
      </w:r>
      <w:r>
        <w:t xml:space="preserve">: puntuación ≥ 60 (≈ +9 puntos: con el negocio igual, 4 señales más, por ejemplo precio sobre la media de 200, revisiones al alza, inflexión de margen y sentimiento mejorando)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precio por debajo del «compra hasta» (68,6 USD, o el que salga si el 3T y la guía 2027 suben las ventas o el margen). Se revisa con los resultados del 3T.</w:t>
      </w:r>
    </w:p>
    <w:p>
      <w:pPr>
        <w:numPr>
          <w:ilvl w:val="0"/>
          <w:numId w:val="1006"/>
        </w:numPr>
        <w:pStyle w:val="Compact"/>
      </w:pPr>
      <w:r>
        <w:t xml:space="preserve">Preferencias de</w:t>
      </w:r>
      <w:r>
        <w:t xml:space="preserve"> </w:t>
      </w:r>
      <w:r>
        <w:rPr>
          <w:rStyle w:val="VerbatimChar"/>
        </w:rPr>
        <w:t xml:space="preserve">MEMORIA.md</w:t>
      </w:r>
      <w:r>
        <w:t xml:space="preserve">: no es juego, ni minorista, ni una empresa vetada.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+25,8 % en 12 m y CAGR del 36,5 %, pero desacelera 10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ya alta (26,7 %); tecnología 4 y posición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1/8 (solo catalizadores)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58,7 %, regla del 40 = 37,6, FCF positivo no creciente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y dilución del 2 % (pero vencimientos grandes en 2027-28)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+ 3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TransMedics, resultados del 2T 2026 (4-ago-2026), 8-K ex. 99.1 (SEC, leído directamente): ventas 189,9 M (+21 %), producto 111,2 M (+16 %), servicio 78,8 M (+29 %); margen bruto 60 %; margen operativo 12,5 %; caja 472,7 M; guía 2026 de 737-757 M.</w:t>
      </w:r>
      <w:r>
        <w:t xml:space="preserve"> </w:t>
      </w:r>
      <w:r>
        <w:t xml:space="preserve">[2] TransMedics, 10-Q del 2T 2026 (SEC): balance, flujo de caja del 1S26, convertible 2028 a 94 USD, préstamo CIBC, arrendamiento y opción de compra de la sede (374,6 M), flota, ningún cliente &gt; 10 %, debilidad material, PAD Aviation.</w:t>
      </w:r>
      <w:r>
        <w:t xml:space="preserve"> </w:t>
      </w:r>
      <w:r>
        <w:t xml:space="preserve">[3] TransMedics, resultados del 4T y del año 2025 (24-feb-2026) y aclaración fiscal (27-feb-2026), 8-K (SEC): 605,5 M (+37 %), 5.139 casos en EE. UU., 22 aviones, guía 2026 de 727-757 M.</w:t>
      </w:r>
      <w:r>
        <w:t xml:space="preserve"> </w:t>
      </w:r>
      <w:r>
        <w:t xml:space="preserve">[4] TransMedics, resultados del 1T 2026 (5-may-2026), 8-K (SEC).</w:t>
      </w:r>
      <w:r>
        <w:t xml:space="preserve"> </w:t>
      </w:r>
      <w:r>
        <w:t xml:space="preserve">[5] TransMedics, resultados del 3T 2025 (29-oct-2025), 8-K (SEC): objetivo de 10.000 trasplantes en 2028.</w:t>
      </w:r>
      <w:r>
        <w:t xml:space="preserve"> </w:t>
      </w:r>
      <w:r>
        <w:t xml:space="preserve">[6] TransMedics, 8-K del 27-feb, 8-may y 30-jul de 2025 (SEC): guía 2025 de 530-552 → 565-585 → 585-605 M.</w:t>
      </w:r>
      <w:r>
        <w:t xml:space="preserve"> </w:t>
      </w:r>
      <w:r>
        <w:t xml:space="preserve">[7] TransMedics, 8-K del 10-sep-2026 (SEC): nuevo director financiero; guía reiterada.</w:t>
      </w:r>
      <w:r>
        <w:t xml:space="preserve"> </w:t>
      </w:r>
      <w:r>
        <w:t xml:space="preserve">[8] Yahoo Finance chart API (TMDX, QQQ, IHI): cierres, medias de 200 sesiones y precio intradía del 14-oct (75,21 USD, 17:21 UTC).</w:t>
      </w:r>
      <w:r>
        <w:t xml:space="preserve"> </w:t>
      </w:r>
      <w:r>
        <w:t xml:space="preserve">[9] Nasdaq.com, históricos: cierre del 13-oct-2026 79,135 USD.</w:t>
      </w:r>
      <w:r>
        <w:t xml:space="preserve"> </w:t>
      </w:r>
      <w:r>
        <w:t xml:space="preserve">[10] Nasdaq.com, consenso y posiciones cortas (8,55 M a 30-sep-2026).</w:t>
      </w:r>
      <w:r>
        <w:t xml:space="preserve"> </w:t>
      </w:r>
      <w:r>
        <w:t xml:space="preserve">[11] StockAnalysis, previsiones (13-oct-2026): ventas 2026 742 M y 2027 ~875 M; objetivo medio 99,82 USD; cambios de recomendación.</w:t>
      </w:r>
      <w:r>
        <w:t xml:space="preserve"> </w:t>
      </w:r>
      <w:r>
        <w:t xml:space="preserve">[12] Zacks, CNHI News, DeepValue Capital y Webull (may-ago 2026): caída tras el 1T y márgenes.</w:t>
      </w:r>
      <w:r>
        <w:t xml:space="preserve"> </w:t>
      </w:r>
      <w:r>
        <w:t xml:space="preserve">[13] Resumen de la llamada del 2T26 (Vectorshift, generado por IA y contrastado con [1]): ventas por órgano, márgenes de producto y servicio, CHOPS, riñón, PAD, objetivos a largo plazo.</w:t>
      </w:r>
      <w:r>
        <w:t xml:space="preserve"> </w:t>
      </w:r>
      <w:r>
        <w:t xml:space="preserve">[14] Johnson Fistel (vía ScanX, may-2026): investigación sobre la información de márgenes.</w:t>
      </w:r>
      <w:r>
        <w:t xml:space="preserve"> </w:t>
      </w:r>
      <w:r>
        <w:t xml:space="preserve">[15] StockTwits, flujo de TMDX (14-oct-2026).</w:t>
      </w:r>
      <w:r>
        <w:t xml:space="preserve"> </w:t>
      </w:r>
      <w:r>
        <w:t xml:space="preserve">[16] Benzinga, Fintel y Equibles: posiciones cortas.</w:t>
      </w:r>
      <w:r>
        <w:t xml:space="preserve"> </w:t>
      </w:r>
      <w:r>
        <w:t xml:space="preserve">[17] SEC, Formularios 4 de mar-sep 2026 y 13G de Vanguard.</w:t>
      </w:r>
      <w:r>
        <w:t xml:space="preserve"> </w:t>
      </w:r>
      <w:r>
        <w:t xml:space="preserve">[18] TransMedics, 10-K de 2025 (SEC): debilidad material; fundador y consejero delegado.</w:t>
      </w:r>
      <w:r>
        <w:t xml:space="preserve"> </w:t>
      </w:r>
      <w:r>
        <w:t xml:space="preserve">[19] TickFlow y StocksGuide: ventas 2027-2028 del consenso.</w:t>
      </w:r>
      <w:r>
        <w:t xml:space="preserve"> </w:t>
      </w:r>
      <w:r>
        <w:t xml:space="preserve">[20] Cálculo propio: EV, EV/ventas NTM histórico (mediana ~5,6x, mínimo ~3,4x) y DCF inverso (~10,5 %).</w:t>
      </w:r>
      <w:r>
        <w:t xml:space="preserve"> </w:t>
      </w:r>
      <w:r>
        <w:t xml:space="preserve">[21] XVIVO Perfusion (MFN, Placera, 2026): PRESERVE y PMA del corazón; MedTech Dive: Terumo compra OrganOx. DE MEMORIA: Getinge compró Paragonix.</w:t>
      </w:r>
      <w:r>
        <w:t xml:space="preserve"> </w:t>
      </w:r>
      <w:r>
        <w:t xml:space="preserve">[22] DE MEMORIA: cifras de trasplantes en EE. UU. de 2024.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2026-10-14T21:42:22Z</dcterms:created>
  <dcterms:modified xsi:type="dcterms:W3CDTF">2026-10-14T21:42:22Z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