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ypsomed-ypsn-análisis-growth-14-oct-2026"/>
    <w:p>
      <w:pPr>
        <w:pStyle w:val="Heading1"/>
      </w:pPr>
      <w:r>
        <w:t xml:space="preserve">Ypsomed (YPSN): análisis growth, 14-oct-2026</w:t>
      </w:r>
    </w:p>
    <w:p>
      <w:pPr>
        <w:pStyle w:val="FirstParagraph"/>
      </w:pPr>
      <w:r>
        <w:rPr>
          <w:bCs/>
          <w:b/>
        </w:rPr>
        <w:t xml:space="preserve">Señal (método v11, vigente): Comprar (convicción baja), por los pelos</w:t>
      </w:r>
      <w:r>
        <w:t xml:space="preserve"> </w:t>
      </w:r>
      <w:r>
        <w:t xml:space="preserve">· Puntuación 60,3/100 · Señales de cambio de tendencia 4/8 · EV/beneficio bruto 14,3x · EV/EBITDA de los 12 meses siguientes 16,5x</w:t>
      </w:r>
    </w:p>
    <w:p>
      <w:pPr>
        <w:pStyle w:val="BodyText"/>
      </w:pPr>
      <w:r>
        <w:t xml:space="preserve">Precio 356,60 CHF, cierre del 13-oct · Objetivo a 12 meses 375,7 CHF · Rentabilidad ponderada +6,6 % · Escenario base +9,6 % · Escenario bajista −43,7 % · Escenario alcista +50,7 % · Compra hasta 361,9 CHF</w:t>
      </w:r>
    </w:p>
    <w:p>
      <w:pPr>
        <w:pStyle w:val="BodyText"/>
      </w:pPr>
      <w:r>
        <w:rPr>
          <w:bCs/>
          <w:b/>
        </w:rPr>
        <w:t xml:space="preserve">Al precio actual</w:t>
      </w:r>
      <w:r>
        <w:t xml:space="preserve">, 367,60 CHF al cierre del 14-oct (15:31 UTC), con el objetivo del informe fijo: rentabilidad ponderada</w:t>
      </w:r>
      <w:r>
        <w:t xml:space="preserve"> </w:t>
      </w:r>
      <w:r>
        <w:rPr>
          <w:bCs/>
          <w:b/>
        </w:rPr>
        <w:t xml:space="preserve">+3,4 %</w:t>
      </w:r>
      <w:r>
        <w:t xml:space="preserve">. Está por encima del «compra hasta», así que</w:t>
      </w:r>
      <w:r>
        <w:t xml:space="preserve"> </w:t>
      </w:r>
      <w:r>
        <w:rPr>
          <w:bCs/>
          <w:b/>
        </w:rPr>
        <w:t xml:space="preserve">hoy no se compraría</w:t>
      </w:r>
      <w:r>
        <w:t xml:space="preserve">.</w:t>
      </w:r>
    </w:p>
    <w:p>
      <w:pPr>
        <w:pStyle w:val="BodyText"/>
      </w:pPr>
      <w:r>
        <w:t xml:space="preserve">Peso orientativo: 3,5 % por la regla, pero</w:t>
      </w:r>
      <w:r>
        <w:t xml:space="preserve"> </w:t>
      </w:r>
      <w:r>
        <w:rPr>
          <w:bCs/>
          <w:b/>
        </w:rPr>
        <w:t xml:space="preserve">no entra</w:t>
      </w:r>
      <w:r>
        <w:t xml:space="preserve">: el bolsillo growth está lleno y Ypsomed rinde mucho menos que las cinco que lo ocupan (sección 13). Queda</w:t>
      </w:r>
      <w:r>
        <w:t xml:space="preserve"> </w:t>
      </w:r>
      <w:r>
        <w:rPr>
          <w:bCs/>
          <w:b/>
        </w:rPr>
        <w:t xml:space="preserve">10.ª suplente</w:t>
      </w:r>
      <w:r>
        <w:t xml:space="preserve">, solo por debajo de 361,9 CHF.</w:t>
      </w:r>
    </w:p>
    <w:p>
      <w:pPr>
        <w:pStyle w:val="BodyText"/>
      </w:pPr>
      <w:r>
        <w:t xml:space="preserve">Referencia v9: el mismo resultado, Comprar con convicción baja y ponderada +6,6 %. Las ventas del informe están por encima de las de la regla mecánica, así que v11 no recorta nada.</w:t>
      </w:r>
    </w:p>
    <w:p>
      <w:pPr>
        <w:pStyle w:val="BodyText"/>
      </w:pPr>
      <w:r>
        <w:t xml:space="preserve">Alertas de robustez del motor: ninguna. Prueba</w:t>
      </w:r>
      <w:r>
        <w:t xml:space="preserve"> </w:t>
      </w:r>
      <w:r>
        <w:rPr>
          <w:rStyle w:val="VerbatimChar"/>
        </w:rPr>
        <w:t xml:space="preserve">robustez-growth</w:t>
      </w:r>
      <w:r>
        <w:t xml:space="preserve">:</w:t>
      </w:r>
      <w:r>
        <w:t xml:space="preserve"> </w:t>
      </w:r>
      <w:r>
        <w:rPr>
          <w:bCs/>
          <w:b/>
        </w:rPr>
        <w:t xml:space="preserve">SÓLIDA</w:t>
      </w:r>
      <w:r>
        <w:t xml:space="preserve">. Pero la compra depende de tres juicios en el límite (sección 11): con cualquiera de ellos al otro lado, la puntuación baja de 60 y la señal pasa a Mantener.</w:t>
      </w:r>
    </w:p>
    <w:bookmarkStart w:id="20" w:name="la-tesis-en-cinco-líneas"/>
    <w:p>
      <w:pPr>
        <w:pStyle w:val="Heading2"/>
      </w:pPr>
      <w:r>
        <w:t xml:space="preserve">1. La tesis en cinco líneas</w:t>
      </w:r>
    </w:p>
    <w:p>
      <w:pPr>
        <w:numPr>
          <w:ilvl w:val="0"/>
          <w:numId w:val="1001"/>
        </w:numPr>
        <w:pStyle w:val="Compact"/>
      </w:pPr>
      <w:r>
        <w:t xml:space="preserve">Ypsomed ya es una empresa pura de</w:t>
      </w:r>
      <w:r>
        <w:t xml:space="preserve"> </w:t>
      </w:r>
      <w:r>
        <w:rPr>
          <w:bCs/>
          <w:b/>
        </w:rPr>
        <w:t xml:space="preserve">plumas y autoinyectores</w:t>
      </w:r>
      <w:r>
        <w:t xml:space="preserve"> </w:t>
      </w:r>
      <w:r>
        <w:t xml:space="preserve">que fabrica para las farmacéuticas. En 2025 vendió las bombas de insulina (Diabetes Care) y el resto de negocios secundarios. El negocio que queda crece un 22 % con un margen operativo del 32,5 % [1].</w:t>
      </w:r>
    </w:p>
    <w:p>
      <w:pPr>
        <w:numPr>
          <w:ilvl w:val="0"/>
          <w:numId w:val="1001"/>
        </w:numPr>
        <w:pStyle w:val="Compact"/>
      </w:pPr>
      <w:r>
        <w:t xml:space="preserve">Gana con tres tendencias a la vez: los fármacos biológicos que el paciente se inyecta en casa, los</w:t>
      </w:r>
      <w:r>
        <w:t xml:space="preserve"> </w:t>
      </w:r>
      <w:r>
        <w:rPr>
          <w:bCs/>
          <w:b/>
        </w:rPr>
        <w:t xml:space="preserve">biosimilares</w:t>
      </w:r>
      <w:r>
        <w:t xml:space="preserve"> </w:t>
      </w:r>
      <w:r>
        <w:t xml:space="preserve">(más de 40 proyectos de incretinas, dos tercios de ellos biosimilares de semaglutida) y los fármacos de obesidad (contrato con Novo Nordisk que incluye CagriSema). Hoy el GLP-1 es solo un 10 % de las ventas y puede llegar al 27 % en 2029/30 [1][7].</w:t>
      </w:r>
    </w:p>
    <w:p>
      <w:pPr>
        <w:numPr>
          <w:ilvl w:val="0"/>
          <w:numId w:val="1001"/>
        </w:numPr>
        <w:pStyle w:val="Compact"/>
      </w:pPr>
      <w:r>
        <w:t xml:space="preserve">El precio es razonable para una empresa de esta calidad: 16,5 veces el EBITDA de los próximos 12 meses, por debajo de su mediana de 3 años (18x) y en línea con sus pares de calidad (18x) [6][7].</w:t>
      </w:r>
    </w:p>
    <w:p>
      <w:pPr>
        <w:numPr>
          <w:ilvl w:val="0"/>
          <w:numId w:val="1001"/>
        </w:numPr>
        <w:pStyle w:val="Compact"/>
      </w:pPr>
      <w:r>
        <w:t xml:space="preserve">Pero</w:t>
      </w:r>
      <w:r>
        <w:t xml:space="preserve"> </w:t>
      </w:r>
      <w:r>
        <w:rPr>
          <w:bCs/>
          <w:b/>
        </w:rPr>
        <w:t xml:space="preserve">frena</w:t>
      </w:r>
      <w:r>
        <w:t xml:space="preserve">. La empresa guía un 12-15 % para 2026/27 y está gastando el 54 % de sus ventas en fábricas nuevas, así que hoy el flujo de caja libre es negativo. El método solo le da una rentabilidad ponderada del 6,6 % y una puntuación justo en el listón [1][4].</w:t>
      </w:r>
    </w:p>
    <w:p>
      <w:pPr>
        <w:numPr>
          <w:ilvl w:val="0"/>
          <w:numId w:val="1001"/>
        </w:numPr>
        <w:pStyle w:val="Compact"/>
      </w:pPr>
      <w:r>
        <w:t xml:space="preserve">Conclusión: buena empresa, defensiva y sin riesgo de IA, pero el precio ya descuenta casi todo lo que guía. Comprar con convicción baja y por muy poco al cierre del 13-oct; al precio de hoy ya no. No sustituye a ninguna de cartera.</w:t>
      </w:r>
    </w:p>
    <w:bookmarkEnd w:id="20"/>
    <w:bookmarkStart w:id="21" w:name="negocio-y-tecnología"/>
    <w:p>
      <w:pPr>
        <w:pStyle w:val="Heading2"/>
      </w:pPr>
      <w:r>
        <w:t xml:space="preserve">2. Negocio y tecnología</w:t>
      </w:r>
    </w:p>
    <w:p>
      <w:pPr>
        <w:pStyle w:val="FirstParagraph"/>
      </w:pPr>
      <w:r>
        <w:t xml:space="preserve">Ypsomed (Burgdorf, Suiza; la familia Michel controla ~74 % de las acciones en circulación) diseña y fabrica</w:t>
      </w:r>
      <w:r>
        <w:t xml:space="preserve"> </w:t>
      </w:r>
      <w:r>
        <w:rPr>
          <w:bCs/>
          <w:b/>
        </w:rPr>
        <w:t xml:space="preserve">dispositivos de autoinyección</w:t>
      </w:r>
      <w:r>
        <w:t xml:space="preserve"> </w:t>
      </w:r>
      <w:r>
        <w:t xml:space="preserve">que las farmacéuticas llenan con su fármaco y venden con su marca [1][4]:</w:t>
      </w:r>
    </w:p>
    <w:p>
      <w:pPr>
        <w:numPr>
          <w:ilvl w:val="0"/>
          <w:numId w:val="1002"/>
        </w:numPr>
        <w:pStyle w:val="Compact"/>
      </w:pPr>
      <w:r>
        <w:rPr>
          <w:bCs/>
          <w:b/>
        </w:rPr>
        <w:t xml:space="preserve">Autoinyectores YpsoMate</w:t>
      </w:r>
      <w:r>
        <w:t xml:space="preserve"> </w:t>
      </w:r>
      <w:r>
        <w:t xml:space="preserve">(1 ml, 2,25 ml, 5,5 ml): la línea que más crece, con ventas comerciales +33,6 % en 2025/26. Sirven para anticuerpos, biosimilares y fármacos de obesidad. El Mazdutide de Innovent, el primer agonista doble GLP-1/glucagón aprobado en el mundo, se lanzó en China en un YpsoMate [1][2].</w:t>
      </w:r>
    </w:p>
    <w:p>
      <w:pPr>
        <w:numPr>
          <w:ilvl w:val="0"/>
          <w:numId w:val="1002"/>
        </w:numPr>
        <w:pStyle w:val="Compact"/>
      </w:pPr>
      <w:r>
        <w:rPr>
          <w:bCs/>
          <w:b/>
        </w:rPr>
        <w:t xml:space="preserve">Plumas</w:t>
      </w:r>
      <w:r>
        <w:t xml:space="preserve"> </w:t>
      </w:r>
      <w:r>
        <w:t xml:space="preserve">(UnoPen, YpsoPen, ServoPen) para insulinas, hormonas y GLP-1. En 2025/26 crecieron en EE. UU. gracias a dos insulinas chinas aprobadas por la FDA [13].</w:t>
      </w:r>
    </w:p>
    <w:p>
      <w:pPr>
        <w:numPr>
          <w:ilvl w:val="0"/>
          <w:numId w:val="1002"/>
        </w:numPr>
        <w:pStyle w:val="Compact"/>
      </w:pPr>
      <w:r>
        <w:rPr>
          <w:bCs/>
          <w:b/>
        </w:rPr>
        <w:t xml:space="preserve">Negocio de proyectos</w:t>
      </w:r>
      <w:r>
        <w:t xml:space="preserve"> </w:t>
      </w:r>
      <w:r>
        <w:t xml:space="preserve">(85,7 M CHF): adaptación de la plataforma a cada fármaco y dispositivos para ensayos clínicos. Es la cantera de las ventas futuras: 44 proyectos ganados en 2025/26, un récord, y 14 en el 1T 2026/27 [1][12].</w:t>
      </w:r>
    </w:p>
    <w:p>
      <w:pPr>
        <w:pStyle w:val="FirstParagraph"/>
      </w:pPr>
      <w:r>
        <w:rPr>
          <w:bCs/>
          <w:b/>
        </w:rPr>
        <w:t xml:space="preserve">Qué tiene de diferente:</w:t>
      </w:r>
      <w:r>
        <w:t xml:space="preserve"> </w:t>
      </w:r>
      <w:r>
        <w:t xml:space="preserve">plataformas ya validadas que el cliente adapta (su programa «Clear-to-Clinic» deja un dispositivo listo para la clínica en menos de 6 meses) y contratos de unos 10 años con precios indexados a costes. Además, cambiar el dispositivo de un fármaco ya aprobado exige volver a pasar por el regulador, lo que pone un</w:t>
      </w:r>
      <w:r>
        <w:t xml:space="preserve"> </w:t>
      </w:r>
      <w:r>
        <w:rPr>
          <w:bCs/>
          <w:b/>
        </w:rPr>
        <w:t xml:space="preserve">coste de cambio muy alto</w:t>
      </w:r>
      <w:r>
        <w:t xml:space="preserve"> </w:t>
      </w:r>
      <w:r>
        <w:t xml:space="preserve">al cliente [4]. Los clientes cofinancian parte de las fábricas con cuotas de reserva de capacidad, unos 400 M CHF [7].</w:t>
      </w:r>
    </w:p>
    <w:p>
      <w:pPr>
        <w:pStyle w:val="BodyText"/>
      </w:pPr>
      <w:r>
        <w:rPr>
          <w:bCs/>
          <w:b/>
        </w:rPr>
        <w:t xml:space="preserve">Separar lo que se queda de lo que se fue</w:t>
      </w:r>
      <w:r>
        <w:t xml:space="preserve"> </w:t>
      </w:r>
      <w:r>
        <w:t xml:space="preserve">(2025/26, millones de CHF)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Negocio</w:t>
            </w:r>
          </w:p>
        </w:tc>
        <w:tc>
          <w:tcPr/>
          <w:p>
            <w:pPr>
              <w:pStyle w:val="Compact"/>
              <w:jc w:val="left"/>
            </w:pPr>
            <w:r>
              <w:t xml:space="preserve">Ventas</w:t>
            </w:r>
          </w:p>
        </w:tc>
        <w:tc>
          <w:tcPr/>
          <w:p>
            <w:pPr>
              <w:pStyle w:val="Compact"/>
              <w:jc w:val="left"/>
            </w:pPr>
            <w:r>
              <w:t xml:space="preserve">EBIT</w:t>
            </w:r>
          </w:p>
        </w:tc>
        <w:tc>
          <w:tcPr/>
          <w:p>
            <w:pPr>
              <w:pStyle w:val="Compact"/>
              <w:jc w:val="left"/>
            </w:pPr>
            <w:r>
              <w:t xml:space="preserve">Qué pasa</w:t>
            </w:r>
          </w:p>
        </w:tc>
      </w:tr>
      <w:tr>
        <w:tc>
          <w:tcPr/>
          <w:p>
            <w:pPr>
              <w:pStyle w:val="Compact"/>
              <w:jc w:val="left"/>
            </w:pPr>
            <w:r>
              <w:t xml:space="preserve">Delivery Systems (continuado)</w:t>
            </w:r>
          </w:p>
        </w:tc>
        <w:tc>
          <w:tcPr/>
          <w:p>
            <w:pPr>
              <w:pStyle w:val="Compact"/>
              <w:jc w:val="left"/>
            </w:pPr>
            <w:r>
              <w:t xml:space="preserve">601,5</w:t>
            </w:r>
          </w:p>
        </w:tc>
        <w:tc>
          <w:tcPr/>
          <w:p>
            <w:pPr>
              <w:pStyle w:val="Compact"/>
              <w:jc w:val="left"/>
            </w:pPr>
            <w:r>
              <w:t xml:space="preserve">195,5</w:t>
            </w:r>
          </w:p>
        </w:tc>
        <w:tc>
          <w:tcPr/>
          <w:p>
            <w:pPr>
              <w:pStyle w:val="Compact"/>
              <w:jc w:val="left"/>
            </w:pPr>
            <w:r>
              <w:t xml:space="preserve">El negocio que se valora</w:t>
            </w:r>
          </w:p>
        </w:tc>
      </w:tr>
      <w:tr>
        <w:tc>
          <w:tcPr/>
          <w:p>
            <w:pPr>
              <w:pStyle w:val="Compact"/>
              <w:jc w:val="left"/>
            </w:pPr>
            <w:r>
              <w:t xml:space="preserve">· del que fabricación por contrato de plumas</w:t>
            </w:r>
          </w:p>
        </w:tc>
        <w:tc>
          <w:tcPr/>
          <w:p>
            <w:pPr>
              <w:pStyle w:val="Compact"/>
              <w:jc w:val="left"/>
            </w:pPr>
            <w:r>
              <w:t xml:space="preserve">39,9</w:t>
            </w:r>
          </w:p>
        </w:tc>
        <w:tc>
          <w:tcPr/>
          <w:p>
            <w:pPr>
              <w:pStyle w:val="Compact"/>
              <w:jc w:val="left"/>
            </w:pPr>
            <w:r>
              <w:t xml:space="preserve">pérdida pequeña</w:t>
            </w:r>
          </w:p>
        </w:tc>
        <w:tc>
          <w:tcPr/>
          <w:p>
            <w:pPr>
              <w:pStyle w:val="Compact"/>
              <w:jc w:val="left"/>
            </w:pPr>
            <w:r>
              <w:t xml:space="preserve">Se cierra en nov-2026</w:t>
            </w:r>
          </w:p>
        </w:tc>
      </w:tr>
      <w:tr>
        <w:tc>
          <w:tcPr/>
          <w:p>
            <w:pPr>
              <w:pStyle w:val="Compact"/>
              <w:jc w:val="left"/>
            </w:pPr>
            <w:r>
              <w:t xml:space="preserve">Diabetes Care (bombas)</w:t>
            </w:r>
          </w:p>
        </w:tc>
        <w:tc>
          <w:tcPr/>
          <w:p>
            <w:pPr>
              <w:pStyle w:val="Compact"/>
              <w:jc w:val="left"/>
            </w:pPr>
            <w:r>
              <w:t xml:space="preserve">75,2</w:t>
            </w:r>
          </w:p>
        </w:tc>
        <w:tc>
          <w:tcPr/>
          <w:p>
            <w:pPr>
              <w:pStyle w:val="Compact"/>
              <w:jc w:val="left"/>
            </w:pPr>
            <w:r>
              <w:t xml:space="preserve">−6,0</w:t>
            </w:r>
          </w:p>
        </w:tc>
        <w:tc>
          <w:tcPr/>
          <w:p>
            <w:pPr>
              <w:pStyle w:val="Compact"/>
              <w:jc w:val="left"/>
            </w:pPr>
            <w:r>
              <w:t xml:space="preserve">Vendido a TecMed el 31-jul-2025 por 307 M</w:t>
            </w:r>
          </w:p>
        </w:tc>
      </w:tr>
      <w:tr>
        <w:tc>
          <w:tcPr/>
          <w:p>
            <w:pPr>
              <w:pStyle w:val="Compact"/>
              <w:jc w:val="left"/>
            </w:pPr>
            <w:r>
              <w:t xml:space="preserve">Otros (fabricación para Diabetes Care, Ypsotec, agujas, glucómetros)</w:t>
            </w:r>
          </w:p>
        </w:tc>
        <w:tc>
          <w:tcPr/>
          <w:p>
            <w:pPr>
              <w:pStyle w:val="Compact"/>
              <w:jc w:val="left"/>
            </w:pPr>
            <w:r>
              <w:t xml:space="preserve">71,2</w:t>
            </w:r>
          </w:p>
        </w:tc>
        <w:tc>
          <w:tcPr/>
          <w:p>
            <w:pPr>
              <w:pStyle w:val="Compact"/>
              <w:jc w:val="left"/>
            </w:pPr>
            <w:r>
              <w:t xml:space="preserve">56,6</w:t>
            </w:r>
          </w:p>
        </w:tc>
        <w:tc>
          <w:tcPr/>
          <w:p>
            <w:pPr>
              <w:pStyle w:val="Compact"/>
              <w:jc w:val="left"/>
            </w:pPr>
            <w:r>
              <w:t xml:space="preserve">Incluye 68,0 M de plusvalía por la venta, extraordinaria</w:t>
            </w:r>
          </w:p>
        </w:tc>
      </w:tr>
      <w:tr>
        <w:tc>
          <w:tcPr/>
          <w:p>
            <w:pPr>
              <w:pStyle w:val="Compact"/>
              <w:jc w:val="left"/>
            </w:pPr>
            <w:r>
              <w:t xml:space="preserve">Grupo</w:t>
            </w:r>
          </w:p>
        </w:tc>
        <w:tc>
          <w:tcPr/>
          <w:p>
            <w:pPr>
              <w:pStyle w:val="Compact"/>
              <w:jc w:val="left"/>
            </w:pPr>
            <w:r>
              <w:t xml:space="preserve">731,0</w:t>
            </w:r>
          </w:p>
        </w:tc>
        <w:tc>
          <w:tcPr/>
          <w:p>
            <w:pPr>
              <w:pStyle w:val="Compact"/>
              <w:jc w:val="left"/>
            </w:pPr>
            <w:r>
              <w:t xml:space="preserve">246,1</w:t>
            </w:r>
          </w:p>
        </w:tc>
        <w:tc>
          <w:tcPr/>
          <w:p>
            <w:pPr>
              <w:pStyle w:val="Compact"/>
              <w:jc w:val="left"/>
            </w:pPr>
            <w:r>
              <w:t xml:space="preserve">Cifra engañosa por la plusvalía</w:t>
            </w:r>
          </w:p>
        </w:tc>
      </w:tr>
    </w:tbl>
    <w:p>
      <w:pPr>
        <w:pStyle w:val="BodyText"/>
      </w:pPr>
      <w:r>
        <w:t xml:space="preserve">Por eso el informe usa como base</w:t>
      </w:r>
      <w:r>
        <w:t xml:space="preserve"> </w:t>
      </w:r>
      <w:r>
        <w:rPr>
          <w:bCs/>
          <w:b/>
        </w:rPr>
        <w:t xml:space="preserve">559 M CHF</w:t>
      </w:r>
      <w:r>
        <w:t xml:space="preserve">: Delivery Systems sin la fabricación por contrato, la misma base que la guía de la empresa [4].</w:t>
      </w:r>
    </w:p>
    <w:bookmarkEnd w:id="21"/>
    <w:bookmarkStart w:id="22" w:name="crecimiento"/>
    <w:p>
      <w:pPr>
        <w:pStyle w:val="Heading2"/>
      </w:pPr>
      <w:r>
        <w:t xml:space="preserve">3. Crecimiento</w:t>
      </w:r>
    </w:p>
    <w:p>
      <w:pPr>
        <w:pStyle w:val="FirstParagraph"/>
      </w:pPr>
      <w:r>
        <w:t xml:space="preserve">Ypsomed publica</w:t>
      </w:r>
      <w:r>
        <w:t xml:space="preserve"> </w:t>
      </w:r>
      <w:r>
        <w:rPr>
          <w:bCs/>
          <w:b/>
        </w:rPr>
        <w:t xml:space="preserve">por semestres</w:t>
      </w:r>
      <w:r>
        <w:t xml:space="preserve">, no por trimestres, y su ejercicio va de abril a marzo. El último dato es de marzo de 2026; el 1S 2026/27 se publica el 11-nov.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Delivery Systems (millones de CHF)</w:t>
            </w:r>
          </w:p>
        </w:tc>
        <w:tc>
          <w:tcPr/>
          <w:p>
            <w:pPr>
              <w:pStyle w:val="Compact"/>
              <w:jc w:val="left"/>
            </w:pPr>
            <w:r>
              <w:t xml:space="preserve">Ventas</w:t>
            </w:r>
          </w:p>
        </w:tc>
        <w:tc>
          <w:tcPr/>
          <w:p>
            <w:pPr>
              <w:pStyle w:val="Compact"/>
              <w:jc w:val="left"/>
            </w:pPr>
            <w:r>
              <w:t xml:space="preserve">Crecimiento</w:t>
            </w:r>
          </w:p>
        </w:tc>
      </w:tr>
      <w:tr>
        <w:tc>
          <w:tcPr/>
          <w:p>
            <w:pPr>
              <w:pStyle w:val="Compact"/>
              <w:jc w:val="left"/>
            </w:pPr>
            <w:r>
              <w:t xml:space="preserve">2023/24</w:t>
            </w:r>
          </w:p>
        </w:tc>
        <w:tc>
          <w:tcPr/>
          <w:p>
            <w:pPr>
              <w:pStyle w:val="Compact"/>
              <w:jc w:val="left"/>
            </w:pPr>
            <w:r>
              <w:t xml:space="preserve">385,2</w:t>
            </w:r>
          </w:p>
        </w:tc>
        <w:tc>
          <w:tcPr/>
          <w:p>
            <w:pPr>
              <w:pStyle w:val="Compact"/>
              <w:jc w:val="left"/>
            </w:pPr>
            <w:r>
              <w:t xml:space="preserve">+25,1 %</w:t>
            </w:r>
          </w:p>
        </w:tc>
      </w:tr>
      <w:tr>
        <w:tc>
          <w:tcPr/>
          <w:p>
            <w:pPr>
              <w:pStyle w:val="Compact"/>
              <w:jc w:val="left"/>
            </w:pPr>
            <w:r>
              <w:t xml:space="preserve">2024/25</w:t>
            </w:r>
          </w:p>
        </w:tc>
        <w:tc>
          <w:tcPr/>
          <w:p>
            <w:pPr>
              <w:pStyle w:val="Compact"/>
              <w:jc w:val="left"/>
            </w:pPr>
            <w:r>
              <w:t xml:space="preserve">502,3</w:t>
            </w:r>
          </w:p>
        </w:tc>
        <w:tc>
          <w:tcPr/>
          <w:p>
            <w:pPr>
              <w:pStyle w:val="Compact"/>
              <w:jc w:val="left"/>
            </w:pPr>
            <w:r>
              <w:t xml:space="preserve">+30,4 % (perímetro algo distinto)</w:t>
            </w:r>
          </w:p>
        </w:tc>
      </w:tr>
      <w:tr>
        <w:tc>
          <w:tcPr/>
          <w:p>
            <w:pPr>
              <w:pStyle w:val="Compact"/>
              <w:jc w:val="left"/>
            </w:pPr>
            <w:r>
              <w:t xml:space="preserve">1S 2025/26</w:t>
            </w:r>
          </w:p>
        </w:tc>
        <w:tc>
          <w:tcPr/>
          <w:p>
            <w:pPr>
              <w:pStyle w:val="Compact"/>
              <w:jc w:val="left"/>
            </w:pPr>
            <w:r>
              <w:t xml:space="preserve">266,6</w:t>
            </w:r>
          </w:p>
        </w:tc>
        <w:tc>
          <w:tcPr/>
          <w:p>
            <w:pPr>
              <w:pStyle w:val="Compact"/>
              <w:jc w:val="left"/>
            </w:pPr>
            <w:r>
              <w:t xml:space="preserve">+21,0 %</w:t>
            </w:r>
          </w:p>
        </w:tc>
      </w:tr>
      <w:tr>
        <w:tc>
          <w:tcPr/>
          <w:p>
            <w:pPr>
              <w:pStyle w:val="Compact"/>
              <w:jc w:val="left"/>
            </w:pPr>
            <w:r>
              <w:t xml:space="preserve">2S 2025/26</w:t>
            </w:r>
          </w:p>
        </w:tc>
        <w:tc>
          <w:tcPr/>
          <w:p>
            <w:pPr>
              <w:pStyle w:val="Compact"/>
              <w:jc w:val="left"/>
            </w:pPr>
            <w:r>
              <w:t xml:space="preserve">334,9</w:t>
            </w:r>
          </w:p>
        </w:tc>
        <w:tc>
          <w:tcPr/>
          <w:p>
            <w:pPr>
              <w:pStyle w:val="Compact"/>
              <w:jc w:val="left"/>
            </w:pPr>
            <w:r>
              <w:t xml:space="preserve">+18,8 %</w:t>
            </w:r>
          </w:p>
        </w:tc>
      </w:tr>
      <w:tr>
        <w:tc>
          <w:tcPr/>
          <w:p>
            <w:pPr>
              <w:pStyle w:val="Compact"/>
              <w:jc w:val="left"/>
            </w:pPr>
            <w:r>
              <w:t xml:space="preserve">2025/26</w:t>
            </w:r>
          </w:p>
        </w:tc>
        <w:tc>
          <w:tcPr/>
          <w:p>
            <w:pPr>
              <w:pStyle w:val="Compact"/>
              <w:jc w:val="left"/>
            </w:pPr>
            <w:r>
              <w:t xml:space="preserve">601,5</w:t>
            </w:r>
          </w:p>
        </w:tc>
        <w:tc>
          <w:tcPr/>
          <w:p>
            <w:pPr>
              <w:pStyle w:val="Compact"/>
              <w:jc w:val="left"/>
            </w:pPr>
            <w:r>
              <w:t xml:space="preserve">+19,8 %</w:t>
            </w:r>
          </w:p>
        </w:tc>
      </w:tr>
      <w:tr>
        <w:tc>
          <w:tcPr/>
          <w:p>
            <w:pPr>
              <w:pStyle w:val="Compact"/>
              <w:jc w:val="left"/>
            </w:pPr>
            <w:r>
              <w:t xml:space="preserve">2025/26 sin fabricación por contrato</w:t>
            </w:r>
          </w:p>
        </w:tc>
        <w:tc>
          <w:tcPr/>
          <w:p>
            <w:pPr>
              <w:pStyle w:val="Compact"/>
              <w:jc w:val="left"/>
            </w:pPr>
            <w:r>
              <w:t xml:space="preserve">561,6</w:t>
            </w:r>
          </w:p>
        </w:tc>
        <w:tc>
          <w:tcPr/>
          <w:p>
            <w:pPr>
              <w:pStyle w:val="Compact"/>
              <w:jc w:val="left"/>
            </w:pPr>
            <w:r>
              <w:t xml:space="preserve">+22 %</w:t>
            </w:r>
          </w:p>
        </w:tc>
      </w:tr>
      <w:tr>
        <w:tc>
          <w:tcPr/>
          <w:p>
            <w:pPr>
              <w:pStyle w:val="Compact"/>
              <w:jc w:val="left"/>
            </w:pPr>
            <w:r>
              <w:t xml:space="preserve">2026/27, guía</w:t>
            </w:r>
          </w:p>
        </w:tc>
        <w:tc>
          <w:tcPr/>
          <w:p>
            <w:pPr>
              <w:pStyle w:val="Compact"/>
              <w:jc w:val="left"/>
            </w:pPr>
            <w:r>
              <w:t xml:space="preserve">632 a 643</w:t>
            </w:r>
          </w:p>
        </w:tc>
        <w:tc>
          <w:tcPr/>
          <w:p>
            <w:pPr>
              <w:pStyle w:val="Compact"/>
              <w:jc w:val="left"/>
            </w:pPr>
            <w:r>
              <w:t xml:space="preserve">+12 % a +15 %</w:t>
            </w:r>
          </w:p>
        </w:tc>
      </w:tr>
    </w:tbl>
    <w:p>
      <w:pPr>
        <w:pStyle w:val="BodyText"/>
      </w:pPr>
      <w:r>
        <w:t xml:space="preserve">Fuentes: [1][2][3][4].</w:t>
      </w:r>
    </w:p>
    <w:p>
      <w:pPr>
        <w:numPr>
          <w:ilvl w:val="0"/>
          <w:numId w:val="1003"/>
        </w:numPr>
        <w:pStyle w:val="Compact"/>
      </w:pPr>
      <w:r>
        <w:rPr>
          <w:bCs/>
          <w:b/>
        </w:rPr>
        <w:t xml:space="preserve">Crecimiento orgánico:</w:t>
      </w:r>
      <w:r>
        <w:t xml:space="preserve"> </w:t>
      </w:r>
      <w:r>
        <w:t xml:space="preserve">Ypsomed no ha comprado negocios; ha vendido. Todo el crecimiento del negocio continuado es orgánico. El único efecto de perímetro es el cierre de la fabricación por contrato, que ya está fuera de la base de 559 M. Por eso no hace falta el campo de crecimiento orgánico de v12.</w:t>
      </w:r>
    </w:p>
    <w:p>
      <w:pPr>
        <w:numPr>
          <w:ilvl w:val="0"/>
          <w:numId w:val="1003"/>
        </w:numPr>
        <w:pStyle w:val="Compact"/>
      </w:pPr>
      <w:r>
        <w:rPr>
          <w:bCs/>
          <w:b/>
        </w:rPr>
        <w:t xml:space="preserve">Aceleración:</w:t>
      </w:r>
      <w:r>
        <w:t xml:space="preserve"> </w:t>
      </w:r>
      <w:r>
        <w:t xml:space="preserve">−6,9 puntos. El último semestre (+18,8 %) crece menos que la media de los anteriores, y la guía frena todavía más.</w:t>
      </w:r>
    </w:p>
    <w:p>
      <w:pPr>
        <w:numPr>
          <w:ilvl w:val="0"/>
          <w:numId w:val="1003"/>
        </w:numPr>
        <w:pStyle w:val="Compact"/>
      </w:pPr>
      <w:r>
        <w:rPr>
          <w:bCs/>
          <w:b/>
        </w:rPr>
        <w:t xml:space="preserve">Guía:</w:t>
      </w:r>
      <w:r>
        <w:t xml:space="preserve"> </w:t>
      </w:r>
      <w:r>
        <w:t xml:space="preserve">+12-15 % en 2026/27, EBIT de 210-230 M y margen de al menos el 33 % [1]. UBS calcula +16,5 % en el 1S y algo más del 9 % en el 2S [7]. Para 2029/30 la empresa apunta a 900-1.100 M de ventas, un 15 % anual de media [1]. Para los próximos 12 meses se usa una guía del 13 %.</w:t>
      </w:r>
    </w:p>
    <w:p>
      <w:pPr>
        <w:numPr>
          <w:ilvl w:val="0"/>
          <w:numId w:val="1003"/>
        </w:numPr>
        <w:pStyle w:val="Compact"/>
      </w:pPr>
      <w:r>
        <w:rPr>
          <w:bCs/>
          <w:b/>
        </w:rPr>
        <w:t xml:space="preserve">Cumplimiento:</w:t>
      </w:r>
      <w:r>
        <w:t xml:space="preserve"> </w:t>
      </w:r>
      <w:r>
        <w:t xml:space="preserve">en 2025/26 guió «en torno al 20 %» y creció un 19,8 %. Cumple, pero no suele batir la guía por mucho (exceso de 0 puntos) [2].</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w:t>
      </w:r>
      <w:r>
        <w:t xml:space="preserve"> </w:t>
      </w:r>
      <w:r>
        <w:t xml:space="preserve">unos 6.000 M CHF en 2028 para plumas y autoinyectores vendidos a farmacéuticas (estimación propia a partir de GlobalData, que da más de 6.800 M USD en 2033 para los dispositivos con aguja) [9]. Ypsomed tendría un 9 %.</w:t>
      </w:r>
    </w:p>
    <w:p>
      <w:pPr>
        <w:numPr>
          <w:ilvl w:val="0"/>
          <w:numId w:val="1004"/>
        </w:numPr>
        <w:pStyle w:val="Compact"/>
      </w:pPr>
      <w:r>
        <w:rPr>
          <w:bCs/>
          <w:b/>
        </w:rPr>
        <w:t xml:space="preserve">Rivales:</w:t>
      </w:r>
      <w:r>
        <w:t xml:space="preserve"> </w:t>
      </w:r>
      <w:r>
        <w:t xml:space="preserve">SHL Medical (no cotiza; el gran rival en autoinyectores), BD, Stevanato (sobre todo el envase de vidrio y la pluma Alina), Gerresheimer, Nemera y Owen Mumford. También están surgiendo fabricantes asiáticos, sobre todo chinos [13][15].</w:t>
      </w:r>
    </w:p>
    <w:p>
      <w:pPr>
        <w:numPr>
          <w:ilvl w:val="0"/>
          <w:numId w:val="1004"/>
        </w:numPr>
        <w:pStyle w:val="Compact"/>
      </w:pPr>
      <w:r>
        <w:rPr>
          <w:bCs/>
          <w:b/>
        </w:rPr>
        <w:t xml:space="preserve">Por qué gana:</w:t>
      </w:r>
      <w:r>
        <w:t xml:space="preserve"> </w:t>
      </w:r>
      <w:r>
        <w:t xml:space="preserve">tiene la gama de plataformas más amplia, fábricas en Suiza, Alemania y China y otra en EE. UU. en 2027 para producir cerca de cada cliente, y contratos de unos 10 años [4].</w:t>
      </w:r>
      <w:r>
        <w:t xml:space="preserve"> </w:t>
      </w:r>
      <w:r>
        <w:rPr>
          <w:bCs/>
          <w:b/>
        </w:rPr>
        <w:t xml:space="preserve">Diversificación:</w:t>
      </w:r>
      <w:r>
        <w:t xml:space="preserve"> </w:t>
      </w:r>
      <w:r>
        <w:t xml:space="preserve">más de 130 clientes, ninguno por encima del 15 % de las ventas comerciales, y más de 80 productos aprobados en 25 indicaciones [4].</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Revisiones al alza (3 meses)</w:t>
            </w:r>
          </w:p>
        </w:tc>
        <w:tc>
          <w:tcPr/>
          <w:p>
            <w:pPr>
              <w:pStyle w:val="Compact"/>
              <w:jc w:val="left"/>
            </w:pPr>
            <w:r>
              <w:t xml:space="preserve">No</w:t>
            </w:r>
          </w:p>
        </w:tc>
        <w:tc>
          <w:tcPr/>
          <w:p>
            <w:pPr>
              <w:pStyle w:val="Compact"/>
              <w:jc w:val="left"/>
            </w:pPr>
            <w:r>
              <w:t xml:space="preserve">UBS rebaja a Neutral y el objetivo de 425 a 400 CHF, y recorta un 5 % el beneficio por acción. Citi baja el objetivo de 455 a 425 CHF. Morningstar empieza con 336 CHF. Solo Berenberg empieza con Comprar y 450 CHF</w:t>
            </w:r>
          </w:p>
        </w:tc>
        <w:tc>
          <w:tcPr/>
          <w:p>
            <w:pPr>
              <w:pStyle w:val="Compact"/>
              <w:jc w:val="left"/>
            </w:pPr>
            <w:r>
              <w:t xml:space="preserve">[7][8][10]</w:t>
            </w:r>
          </w:p>
        </w:tc>
      </w:tr>
      <w:tr>
        <w:tc>
          <w:tcPr/>
          <w:p>
            <w:pPr>
              <w:pStyle w:val="Compact"/>
              <w:jc w:val="left"/>
            </w:pPr>
            <w:r>
              <w:t xml:space="preserve">Precio sobre la media de 200 sesiones</w:t>
            </w:r>
          </w:p>
        </w:tc>
        <w:tc>
          <w:tcPr/>
          <w:p>
            <w:pPr>
              <w:pStyle w:val="Compact"/>
              <w:jc w:val="left"/>
            </w:pPr>
            <w:r>
              <w:t xml:space="preserve">Sí</w:t>
            </w:r>
          </w:p>
        </w:tc>
        <w:tc>
          <w:tcPr/>
          <w:p>
            <w:pPr>
              <w:pStyle w:val="Compact"/>
              <w:jc w:val="left"/>
            </w:pPr>
            <w:r>
              <w:t xml:space="preserve">356,6 frente a 335,3 CHF, y la media sube: estaba en 331,5 hace un mes</w:t>
            </w:r>
          </w:p>
        </w:tc>
        <w:tc>
          <w:tcPr/>
          <w:p>
            <w:pPr>
              <w:pStyle w:val="Compact"/>
              <w:jc w:val="left"/>
            </w:pPr>
            <w:r>
              <w:t xml:space="preserve">[5]</w:t>
            </w:r>
          </w:p>
        </w:tc>
      </w:tr>
      <w:tr>
        <w:tc>
          <w:tcPr/>
          <w:p>
            <w:pPr>
              <w:pStyle w:val="Compact"/>
              <w:jc w:val="left"/>
            </w:pPr>
            <w:r>
              <w:t xml:space="preserve">Fuerza relativa a 6 meses</w:t>
            </w:r>
          </w:p>
        </w:tc>
        <w:tc>
          <w:tcPr/>
          <w:p>
            <w:pPr>
              <w:pStyle w:val="Compact"/>
              <w:jc w:val="left"/>
            </w:pPr>
            <w:r>
              <w:t xml:space="preserve">Sí</w:t>
            </w:r>
          </w:p>
        </w:tc>
        <w:tc>
          <w:tcPr/>
          <w:p>
            <w:pPr>
              <w:pStyle w:val="Compact"/>
              <w:jc w:val="left"/>
            </w:pPr>
            <w:r>
              <w:t xml:space="preserve">+25,3 % frente al +6,9 % del índice SPI</w:t>
            </w:r>
          </w:p>
        </w:tc>
        <w:tc>
          <w:tcPr/>
          <w:p>
            <w:pPr>
              <w:pStyle w:val="Compact"/>
              <w:jc w:val="left"/>
            </w:pPr>
            <w:r>
              <w:t xml:space="preserve">[5]</w:t>
            </w:r>
          </w:p>
        </w:tc>
      </w:tr>
      <w:tr>
        <w:tc>
          <w:tcPr/>
          <w:p>
            <w:pPr>
              <w:pStyle w:val="Compact"/>
              <w:jc w:val="left"/>
            </w:pPr>
            <w:r>
              <w:t xml:space="preserve">Mejora del múltiplo ≥ 20 % desde el mínimo</w:t>
            </w:r>
          </w:p>
        </w:tc>
        <w:tc>
          <w:tcPr/>
          <w:p>
            <w:pPr>
              <w:pStyle w:val="Compact"/>
              <w:jc w:val="left"/>
            </w:pPr>
            <w:r>
              <w:t xml:space="preserve">Sí, por poco</w:t>
            </w:r>
          </w:p>
        </w:tc>
        <w:tc>
          <w:tcPr/>
          <w:p>
            <w:pPr>
              <w:pStyle w:val="Compact"/>
              <w:jc w:val="left"/>
            </w:pPr>
            <w:r>
              <w:t xml:space="preserve">Pasa de 12,7x el EBITDA en febrero a 15,5x hoy, un 22 % más</w:t>
            </w:r>
          </w:p>
        </w:tc>
        <w:tc>
          <w:tcPr/>
          <w:p>
            <w:pPr>
              <w:pStyle w:val="Compact"/>
              <w:jc w:val="left"/>
            </w:pPr>
            <w:r>
              <w:t xml:space="preserve">[5][6]</w:t>
            </w:r>
          </w:p>
        </w:tc>
      </w:tr>
      <w:tr>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El margen EBIT baja de 33,3 % a 32,5 %; ya era muy rentable</w:t>
            </w:r>
          </w:p>
        </w:tc>
        <w:tc>
          <w:tcPr/>
          <w:p>
            <w:pPr>
              <w:pStyle w:val="Compact"/>
              <w:jc w:val="left"/>
            </w:pPr>
            <w:r>
              <w:t xml:space="preserve">[1]</w:t>
            </w:r>
          </w:p>
        </w:tc>
      </w:tr>
      <w:tr>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Prensa suiza dividida; el analizador AWP de cash.ch marca sentimiento negativo desde julio; casi sin presencia en foros</w:t>
            </w:r>
          </w:p>
        </w:tc>
        <w:tc>
          <w:tcPr/>
          <w:p>
            <w:pPr>
              <w:pStyle w:val="Compact"/>
              <w:jc w:val="left"/>
            </w:pPr>
            <w:r>
              <w:t xml:space="preserve">[8]</w:t>
            </w:r>
          </w:p>
        </w:tc>
      </w:tr>
      <w:tr>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Sin compras en 2026; el accionista principal vendió 100 M a la propia empresa en la recompra</w:t>
            </w:r>
          </w:p>
        </w:tc>
        <w:tc>
          <w:tcPr/>
          <w:p>
            <w:pPr>
              <w:pStyle w:val="Compact"/>
              <w:jc w:val="left"/>
            </w:pPr>
            <w:r>
              <w:t xml:space="preserve">[1][11]</w:t>
            </w:r>
          </w:p>
        </w:tc>
      </w:tr>
      <w:tr>
        <w:tc>
          <w:tcPr/>
          <w:p>
            <w:pPr>
              <w:pStyle w:val="Compact"/>
              <w:jc w:val="left"/>
            </w:pPr>
            <w:r>
              <w:t xml:space="preserve">Catalizador nuevo en 6 meses</w:t>
            </w:r>
          </w:p>
        </w:tc>
        <w:tc>
          <w:tcPr/>
          <w:p>
            <w:pPr>
              <w:pStyle w:val="Compact"/>
              <w:jc w:val="left"/>
            </w:pPr>
            <w:r>
              <w:t xml:space="preserve">Sí</w:t>
            </w:r>
          </w:p>
        </w:tc>
        <w:tc>
          <w:tcPr/>
          <w:p>
            <w:pPr>
              <w:pStyle w:val="Compact"/>
              <w:jc w:val="left"/>
            </w:pPr>
            <w:r>
              <w:t xml:space="preserve">Resultados del 11-nov, decisión de la FDA sobre CagriSema, nuevas líneas en Schwerin y biosimilares de semaglutida</w:t>
            </w:r>
          </w:p>
        </w:tc>
        <w:tc>
          <w:tcPr/>
          <w:p>
            <w:pPr>
              <w:pStyle w:val="Compact"/>
              <w:jc w:val="left"/>
            </w:pPr>
            <w:r>
              <w:t xml:space="preserve">[1][4][7]</w:t>
            </w:r>
          </w:p>
        </w:tc>
      </w:tr>
    </w:tbl>
    <w:p>
      <w:pPr>
        <w:pStyle w:val="BodyText"/>
      </w:pPr>
      <w:r>
        <w:rPr>
          <w:bCs/>
          <w:b/>
        </w:rPr>
        <w:t xml:space="preserve">Euforia: no.</w:t>
      </w:r>
      <w:r>
        <w:t xml:space="preserve"> </w:t>
      </w:r>
      <w:r>
        <w:t xml:space="preserve">Sube un 9,2 % en 12 meses, lejos del 150 %.</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w:t>
      </w:r>
      <w:r>
        <w:t xml:space="preserve"> </w:t>
      </w:r>
      <w:r>
        <w:t xml:space="preserve">de Delivery Systems: ~55 %, según el director financiero (el del grupo, con los negocios vendidos, es del 43 %).</w:t>
      </w:r>
      <w:r>
        <w:t xml:space="preserve"> </w:t>
      </w:r>
      <w:r>
        <w:rPr>
          <w:bCs/>
          <w:b/>
        </w:rPr>
        <w:t xml:space="preserve">Margen EBIT</w:t>
      </w:r>
      <w:r>
        <w:t xml:space="preserve"> </w:t>
      </w:r>
      <w:r>
        <w:t xml:space="preserve">del 32,5 %.</w:t>
      </w:r>
      <w:r>
        <w:t xml:space="preserve"> </w:t>
      </w:r>
      <w:r>
        <w:rPr>
          <w:bCs/>
          <w:b/>
        </w:rPr>
        <w:t xml:space="preserve">EBITDA</w:t>
      </w:r>
      <w:r>
        <w:t xml:space="preserve"> </w:t>
      </w:r>
      <w:r>
        <w:t xml:space="preserve">de 278 M, un 46 % de las ventas [1][4][13].</w:t>
      </w:r>
    </w:p>
    <w:p>
      <w:pPr>
        <w:numPr>
          <w:ilvl w:val="0"/>
          <w:numId w:val="1005"/>
        </w:numPr>
        <w:pStyle w:val="Compact"/>
      </w:pPr>
      <w:r>
        <w:rPr>
          <w:bCs/>
          <w:b/>
        </w:rPr>
        <w:t xml:space="preserve">FCF:</w:t>
      </w:r>
      <w:r>
        <w:t xml:space="preserve"> </w:t>
      </w:r>
      <w:r>
        <w:t xml:space="preserve">la empresa publica 279 M, pero esa cifra lleva dentro 307 M de la venta de Diabetes Care.</w:t>
      </w:r>
      <w:r>
        <w:t xml:space="preserve"> </w:t>
      </w:r>
      <w:r>
        <w:rPr>
          <w:bCs/>
          <w:b/>
        </w:rPr>
        <w:t xml:space="preserve">Sin la venta, −28 M</w:t>
      </w:r>
      <w:r>
        <w:t xml:space="preserve">, un −4,6 % de las ventas. Es negativo porque invierte en fábricas (323 M en 2025/26), no porque pierda dinero [1].</w:t>
      </w:r>
    </w:p>
    <w:p>
      <w:pPr>
        <w:numPr>
          <w:ilvl w:val="0"/>
          <w:numId w:val="1005"/>
        </w:numPr>
        <w:pStyle w:val="Compact"/>
      </w:pPr>
      <w:r>
        <w:rPr>
          <w:bCs/>
          <w:b/>
        </w:rPr>
        <w:t xml:space="preserve">Regla del 40:</w:t>
      </w:r>
      <w:r>
        <w:t xml:space="preserve"> </w:t>
      </w:r>
      <w:r>
        <w:t xml:space="preserve">17,4 (crecimiento del 22 % y margen de FCF del −4,6 %), floja para el método. Con el FCF normal, sin la inversión extra de estos años, quedaría muy por encima.</w:t>
      </w:r>
    </w:p>
    <w:p>
      <w:pPr>
        <w:numPr>
          <w:ilvl w:val="0"/>
          <w:numId w:val="1005"/>
        </w:numPr>
        <w:pStyle w:val="Compact"/>
      </w:pPr>
      <w:r>
        <w:rPr>
          <w:bCs/>
          <w:b/>
        </w:rPr>
        <w:t xml:space="preserve">Camino:</w:t>
      </w:r>
      <w:r>
        <w:t xml:space="preserve"> </w:t>
      </w:r>
      <w:r>
        <w:t xml:space="preserve">el consenso espera FCF de +19 M en 2026/27 y +61 M en 2027/28. El programa de inversión se recortó de 1.500 a 1.300 M en seis años y se normaliza a partir de 2027/28 [4][6]. UBS sitúa el FCF positivo en 2027/28 [7]. Se puntúa como «equilibrio en 12 meses», que es un juicio en el límite (sección 11).</w:t>
      </w:r>
    </w:p>
    <w:p>
      <w:pPr>
        <w:numPr>
          <w:ilvl w:val="0"/>
          <w:numId w:val="1005"/>
        </w:numPr>
        <w:pStyle w:val="Compact"/>
      </w:pPr>
      <w:r>
        <w:rPr>
          <w:bCs/>
          <w:b/>
        </w:rPr>
        <w:t xml:space="preserve">Apalancamiento operativo:</w:t>
      </w:r>
      <w:r>
        <w:t xml:space="preserve"> </w:t>
      </w:r>
      <w:r>
        <w:t xml:space="preserve">la empresa planea solo ~150 empleos más en 2026/27 pese a crecer de dos cifras, y su programa de eficiencia YpsoFit [4].</w:t>
      </w:r>
    </w:p>
    <w:bookmarkEnd w:id="25"/>
    <w:bookmarkStart w:id="26" w:name="caja-deuda-y-dilución"/>
    <w:p>
      <w:pPr>
        <w:pStyle w:val="Heading2"/>
      </w:pPr>
      <w:r>
        <w:t xml:space="preserve">7. Caja, deuda y dilución</w:t>
      </w:r>
    </w:p>
    <w:p>
      <w:pPr>
        <w:numPr>
          <w:ilvl w:val="0"/>
          <w:numId w:val="1006"/>
        </w:numPr>
        <w:pStyle w:val="Compact"/>
      </w:pPr>
      <w:r>
        <w:rPr>
          <w:bCs/>
          <w:b/>
        </w:rPr>
        <w:t xml:space="preserve">Deuda neta:</w:t>
      </w:r>
      <w:r>
        <w:t xml:space="preserve"> </w:t>
      </w:r>
      <w:r>
        <w:t xml:space="preserve">232 M a marzo de 2026, 0,8 veces el EBITDA. Estimada en ~290 M a septiembre, tras pagar el dividendo [1][6].</w:t>
      </w:r>
    </w:p>
    <w:p>
      <w:pPr>
        <w:numPr>
          <w:ilvl w:val="0"/>
          <w:numId w:val="1006"/>
        </w:numPr>
        <w:pStyle w:val="Compact"/>
      </w:pPr>
      <w:r>
        <w:rPr>
          <w:bCs/>
          <w:b/>
        </w:rPr>
        <w:t xml:space="preserve">Liquidez:</w:t>
      </w:r>
      <w:r>
        <w:t xml:space="preserve"> </w:t>
      </w:r>
      <w:r>
        <w:t xml:space="preserve">caja de ~30 M más ~290 M sin usar en líneas de crédito comprometidas (450 M CHF y 550 M CNY). En</w:t>
      </w:r>
      <w:r>
        <w:t xml:space="preserve"> </w:t>
      </w:r>
      <w:r>
        <w:rPr>
          <w:rStyle w:val="VerbatimChar"/>
        </w:rPr>
        <w:t xml:space="preserve">datos.json</w:t>
      </w:r>
      <w:r>
        <w:t xml:space="preserve">, la caja recoge esa liquidez y la deuda la misma cifra más la deuda neta: así el valor de empresa no cambia y la pista de caja no sale absurda para una empresa que gana dinero. La pista equivale a más de 10 años con el FCF actual.</w:t>
      </w:r>
    </w:p>
    <w:p>
      <w:pPr>
        <w:numPr>
          <w:ilvl w:val="0"/>
          <w:numId w:val="1006"/>
        </w:numPr>
        <w:pStyle w:val="Compact"/>
      </w:pPr>
      <w:r>
        <w:rPr>
          <w:bCs/>
          <w:b/>
        </w:rPr>
        <w:t xml:space="preserve">Dilución:</w:t>
      </w:r>
      <w:r>
        <w:t xml:space="preserve"> </w:t>
      </w:r>
      <w:r>
        <w:t xml:space="preserve">ninguna. Las acciones</w:t>
      </w:r>
      <w:r>
        <w:t xml:space="preserve"> </w:t>
      </w:r>
      <w:r>
        <w:rPr>
          <w:bCs/>
          <w:b/>
        </w:rPr>
        <w:t xml:space="preserve">bajaron un 3,7 %</w:t>
      </w:r>
      <w:r>
        <w:t xml:space="preserve"> </w:t>
      </w:r>
      <w:r>
        <w:t xml:space="preserve">con la recompra de 150 M, a 300 CHF por acción [11]. Los pagos en acciones son el 0,15 % de las ventas.</w:t>
      </w:r>
    </w:p>
    <w:p>
      <w:pPr>
        <w:numPr>
          <w:ilvl w:val="0"/>
          <w:numId w:val="1006"/>
        </w:numPr>
        <w:pStyle w:val="Compact"/>
      </w:pPr>
      <w:r>
        <w:rPr>
          <w:bCs/>
          <w:b/>
        </w:rPr>
        <w:t xml:space="preserve">Dividendo:</w:t>
      </w:r>
      <w:r>
        <w:t xml:space="preserve"> </w:t>
      </w:r>
      <w:r>
        <w:t xml:space="preserve">4,40 CHF, el doble que el año anterior; rentabilidad del 1,2 % [1].</w:t>
      </w:r>
    </w:p>
    <w:bookmarkEnd w:id="26"/>
    <w:bookmarkStart w:id="27" w:name="dirección-y-ejecución"/>
    <w:p>
      <w:pPr>
        <w:pStyle w:val="Heading2"/>
      </w:pPr>
      <w:r>
        <w:t xml:space="preserve">8. Dirección y ejecución</w:t>
      </w:r>
    </w:p>
    <w:p>
      <w:pPr>
        <w:numPr>
          <w:ilvl w:val="0"/>
          <w:numId w:val="1007"/>
        </w:numPr>
        <w:pStyle w:val="Compact"/>
      </w:pPr>
      <w:r>
        <w:t xml:space="preserve">Simon Michel es consejero delegado desde 2014. Es hijo del fundador, Willy Michel; la familia tiene ~74 % [1].</w:t>
      </w:r>
    </w:p>
    <w:p>
      <w:pPr>
        <w:numPr>
          <w:ilvl w:val="0"/>
          <w:numId w:val="1007"/>
        </w:numPr>
        <w:pStyle w:val="Compact"/>
      </w:pPr>
      <w:r>
        <w:rPr>
          <w:bCs/>
          <w:b/>
        </w:rPr>
        <w:t xml:space="preserve">Asignación de capital:</w:t>
      </w:r>
      <w:r>
        <w:t xml:space="preserve"> </w:t>
      </w:r>
      <w:r>
        <w:t xml:space="preserve">ha vendido todo lo secundario para quedarse con el negocio de más retorno (ROCE ~20 %), invierte con cofinanciación de clientes y devuelve caja con dividendo y recompra [1][4]. Hay un punto discutible: 100 M de los 150 M de la recompra se pagaron al propio Willy Michel, una operación entre partes vinculadas.</w:t>
      </w:r>
    </w:p>
    <w:p>
      <w:pPr>
        <w:numPr>
          <w:ilvl w:val="0"/>
          <w:numId w:val="1007"/>
        </w:numPr>
        <w:pStyle w:val="Compact"/>
      </w:pPr>
      <w:r>
        <w:rPr>
          <w:bCs/>
          <w:b/>
        </w:rPr>
        <w:t xml:space="preserve">Historial:</w:t>
      </w:r>
      <w:r>
        <w:t xml:space="preserve"> </w:t>
      </w:r>
      <w:r>
        <w:t xml:space="preserve">cumplió la guía de 2025/26 en ventas, y en EBIT quedó en la parte baja (195,5 M frente a 190-210 M). En diciembre de 2024 la acción cayó más del 20 % con los datos de CagriSema; el negocio siguió creciendo [9]. Nota 4 de 5 en historial y 4 de 5 en dirección.</w:t>
      </w:r>
    </w:p>
    <w:bookmarkEnd w:id="27"/>
    <w:bookmarkStart w:id="28" w:name="valoración"/>
    <w:p>
      <w:pPr>
        <w:pStyle w:val="Heading2"/>
      </w:pPr>
      <w:r>
        <w:t xml:space="preserve">9. Valoración</w:t>
      </w:r>
    </w:p>
    <w:p>
      <w:pPr>
        <w:pStyle w:val="FirstParagraph"/>
      </w:pPr>
      <w:r>
        <w:t xml:space="preserve">Valoración por</w:t>
      </w:r>
      <w:r>
        <w:t xml:space="preserve"> </w:t>
      </w:r>
      <w:r>
        <w:rPr>
          <w:bCs/>
          <w:b/>
        </w:rPr>
        <w:t xml:space="preserve">EV/EBITDA</w:t>
      </w:r>
      <w:r>
        <w:t xml:space="preserve">, porque Ypsomed ya es rentable de forma estable (margen EBIT del 32,5 % y beneficio neto todos los años): un múltiplo de ventas no distingue entre un 5 % y un 33 % de margen. Valor de empresa de 4.979 M CHF: 356,6 CHF por 13,15 M acciones más ~290 M de deuda neta. El EBITDA de los 12 meses siguientes es de 301,5 M (consenso de 2026/27) [6], un 47,5 % sobre 634,5 M de ventas.</w:t>
      </w:r>
      <w:r>
        <w:t xml:space="preserve"> </w:t>
      </w:r>
      <w:r>
        <w:rPr>
          <w:bCs/>
          <w:b/>
        </w:rPr>
        <w:t xml:space="preserve">EV/EBITDA de 16,5x</w:t>
      </w:r>
      <w:r>
        <w:t xml:space="preserve">, frente a su mediana de 3 años de ~18x (mínimo de 12,5x en marzo de 2026; estimación propia) y ~18x de sus pares de calidad según UBS. Stevanato cotiza a ~13-14x [7][15].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 (2027/28)</w:t>
            </w:r>
          </w:p>
        </w:tc>
        <w:tc>
          <w:tcPr/>
          <w:p>
            <w:pPr>
              <w:pStyle w:val="Compact"/>
              <w:jc w:val="left"/>
            </w:pPr>
            <w:r>
              <w:t xml:space="preserve">Ventas</w:t>
            </w:r>
          </w:p>
        </w:tc>
        <w:tc>
          <w:tcPr/>
          <w:p>
            <w:pPr>
              <w:pStyle w:val="Compact"/>
              <w:jc w:val="left"/>
            </w:pPr>
            <w:r>
              <w:t xml:space="preserve">Múltiplo EV/EBITDA</w:t>
            </w:r>
          </w:p>
        </w:tc>
        <w:tc>
          <w:tcPr/>
          <w:p>
            <w:pPr>
              <w:pStyle w:val="Compact"/>
              <w:jc w:val="left"/>
            </w:pPr>
            <w:r>
              <w:t xml:space="preserve">Precio</w:t>
            </w:r>
          </w:p>
        </w:tc>
        <w:tc>
          <w:tcPr/>
          <w:p>
            <w:pPr>
              <w:pStyle w:val="Compact"/>
              <w:jc w:val="left"/>
            </w:pPr>
            <w:r>
              <w:t xml:space="preserve">Rentabilidad al cierre del 13-oct</w:t>
            </w:r>
          </w:p>
        </w:tc>
        <w:tc>
          <w:tcPr/>
          <w:p>
            <w:pPr>
              <w:pStyle w:val="Compact"/>
              <w:jc w:val="left"/>
            </w:pPr>
            <w:r>
              <w:t xml:space="preserve">Al precio actual, objetivo fijo</w:t>
            </w:r>
          </w:p>
        </w:tc>
      </w:tr>
      <w:tr>
        <w:tc>
          <w:tcPr/>
          <w:p>
            <w:pPr>
              <w:pStyle w:val="Compact"/>
              <w:jc w:val="left"/>
            </w:pPr>
            <w:r>
              <w:t xml:space="preserve">Bajista (25 %)</w:t>
            </w:r>
          </w:p>
        </w:tc>
        <w:tc>
          <w:tcPr/>
          <w:p>
            <w:pPr>
              <w:pStyle w:val="Compact"/>
              <w:jc w:val="left"/>
            </w:pPr>
            <w:r>
              <w:t xml:space="preserve">628 M</w:t>
            </w:r>
          </w:p>
        </w:tc>
        <w:tc>
          <w:tcPr/>
          <w:p>
            <w:pPr>
              <w:pStyle w:val="Compact"/>
              <w:jc w:val="left"/>
            </w:pPr>
            <w:r>
              <w:t xml:space="preserve">9,7x</w:t>
            </w:r>
          </w:p>
        </w:tc>
        <w:tc>
          <w:tcPr/>
          <w:p>
            <w:pPr>
              <w:pStyle w:val="Compact"/>
              <w:jc w:val="left"/>
            </w:pPr>
            <w:r>
              <w:t xml:space="preserve">196,6 CHF</w:t>
            </w:r>
          </w:p>
        </w:tc>
        <w:tc>
          <w:tcPr/>
          <w:p>
            <w:pPr>
              <w:pStyle w:val="Compact"/>
              <w:jc w:val="left"/>
            </w:pPr>
            <w:r>
              <w:t xml:space="preserve">−43,7 %</w:t>
            </w:r>
          </w:p>
        </w:tc>
        <w:tc>
          <w:tcPr/>
          <w:p>
            <w:pPr>
              <w:pStyle w:val="Compact"/>
              <w:jc w:val="left"/>
            </w:pPr>
            <w:r>
              <w:t xml:space="preserve">−45,3 %</w:t>
            </w:r>
          </w:p>
        </w:tc>
      </w:tr>
      <w:tr>
        <w:tc>
          <w:tcPr/>
          <w:p>
            <w:pPr>
              <w:pStyle w:val="Compact"/>
              <w:jc w:val="left"/>
            </w:pPr>
            <w:r>
              <w:t xml:space="preserve">Base (50 %)</w:t>
            </w:r>
          </w:p>
        </w:tc>
        <w:tc>
          <w:tcPr/>
          <w:p>
            <w:pPr>
              <w:pStyle w:val="Compact"/>
              <w:jc w:val="left"/>
            </w:pPr>
            <w:r>
              <w:t xml:space="preserve">701 M</w:t>
            </w:r>
          </w:p>
        </w:tc>
        <w:tc>
          <w:tcPr/>
          <w:p>
            <w:pPr>
              <w:pStyle w:val="Compact"/>
              <w:jc w:val="left"/>
            </w:pPr>
            <w:r>
              <w:t xml:space="preserve">16,2x</w:t>
            </w:r>
          </w:p>
        </w:tc>
        <w:tc>
          <w:tcPr/>
          <w:p>
            <w:pPr>
              <w:pStyle w:val="Compact"/>
              <w:jc w:val="left"/>
            </w:pPr>
            <w:r>
              <w:t xml:space="preserve">386,6 CHF</w:t>
            </w:r>
          </w:p>
        </w:tc>
        <w:tc>
          <w:tcPr/>
          <w:p>
            <w:pPr>
              <w:pStyle w:val="Compact"/>
              <w:jc w:val="left"/>
            </w:pPr>
            <w:r>
              <w:t xml:space="preserve">+9,6 %</w:t>
            </w:r>
          </w:p>
        </w:tc>
        <w:tc>
          <w:tcPr/>
          <w:p>
            <w:pPr>
              <w:pStyle w:val="Compact"/>
              <w:jc w:val="left"/>
            </w:pPr>
            <w:r>
              <w:t xml:space="preserve">+6,4 %</w:t>
            </w:r>
          </w:p>
        </w:tc>
      </w:tr>
      <w:tr>
        <w:tc>
          <w:tcPr/>
          <w:p>
            <w:pPr>
              <w:pStyle w:val="Compact"/>
              <w:jc w:val="left"/>
            </w:pPr>
            <w:r>
              <w:t xml:space="preserve">Alcista (25 %)</w:t>
            </w:r>
          </w:p>
        </w:tc>
        <w:tc>
          <w:tcPr/>
          <w:p>
            <w:pPr>
              <w:pStyle w:val="Compact"/>
              <w:jc w:val="left"/>
            </w:pPr>
            <w:r>
              <w:t xml:space="preserve">732 M</w:t>
            </w:r>
          </w:p>
        </w:tc>
        <w:tc>
          <w:tcPr/>
          <w:p>
            <w:pPr>
              <w:pStyle w:val="Compact"/>
              <w:jc w:val="left"/>
            </w:pPr>
            <w:r>
              <w:t xml:space="preserve">21,0x</w:t>
            </w:r>
          </w:p>
        </w:tc>
        <w:tc>
          <w:tcPr/>
          <w:p>
            <w:pPr>
              <w:pStyle w:val="Compact"/>
              <w:jc w:val="left"/>
            </w:pPr>
            <w:r>
              <w:t xml:space="preserve">533,0 CHF</w:t>
            </w:r>
          </w:p>
        </w:tc>
        <w:tc>
          <w:tcPr/>
          <w:p>
            <w:pPr>
              <w:pStyle w:val="Compact"/>
              <w:jc w:val="left"/>
            </w:pPr>
            <w:r>
              <w:t xml:space="preserve">+50,7 %</w:t>
            </w:r>
          </w:p>
        </w:tc>
        <w:tc>
          <w:tcPr/>
          <w:p>
            <w:pPr>
              <w:pStyle w:val="Compact"/>
              <w:jc w:val="left"/>
            </w:pPr>
            <w:r>
              <w:t xml:space="preserve">+46,2 %</w:t>
            </w:r>
          </w:p>
        </w:tc>
      </w:tr>
      <w:tr>
        <w:tc>
          <w:tcPr/>
          <w:p>
            <w:pPr>
              <w:pStyle w:val="Compact"/>
              <w:jc w:val="left"/>
            </w:pPr>
            <w:r>
              <w:rPr>
                <w:bCs/>
                <w:b/>
              </w:rPr>
              <w:t xml:space="preserve">Ponderada</w:t>
            </w:r>
          </w:p>
        </w:tc>
        <w:tc>
          <w:tcPr/>
          <w:p>
            <w:pPr>
              <w:pStyle w:val="Compact"/>
            </w:pPr>
          </w:p>
        </w:tc>
        <w:tc>
          <w:tcPr/>
          <w:p>
            <w:pPr>
              <w:pStyle w:val="Compact"/>
            </w:pPr>
          </w:p>
        </w:tc>
        <w:tc>
          <w:tcPr/>
          <w:p>
            <w:pPr>
              <w:pStyle w:val="Compact"/>
              <w:jc w:val="left"/>
            </w:pPr>
            <w:r>
              <w:rPr>
                <w:bCs/>
                <w:b/>
              </w:rPr>
              <w:t xml:space="preserve">375,7 CHF</w:t>
            </w:r>
          </w:p>
        </w:tc>
        <w:tc>
          <w:tcPr/>
          <w:p>
            <w:pPr>
              <w:pStyle w:val="Compact"/>
              <w:jc w:val="left"/>
            </w:pPr>
            <w:r>
              <w:rPr>
                <w:bCs/>
                <w:b/>
              </w:rPr>
              <w:t xml:space="preserve">+6,6 %</w:t>
            </w:r>
          </w:p>
        </w:tc>
        <w:tc>
          <w:tcPr/>
          <w:p>
            <w:pPr>
              <w:pStyle w:val="Compact"/>
              <w:jc w:val="left"/>
            </w:pPr>
            <w:r>
              <w:rPr>
                <w:bCs/>
                <w:b/>
              </w:rPr>
              <w:t xml:space="preserve">+3,4 %</w:t>
            </w:r>
          </w:p>
        </w:tc>
      </w:tr>
    </w:tbl>
    <w:p>
      <w:pPr>
        <w:pStyle w:val="BodyText"/>
      </w:pPr>
      <w:r>
        <w:t xml:space="preserve">Las rentabilidades incluyen el dividendo del 1,2 %.</w:t>
      </w:r>
    </w:p>
    <w:p>
      <w:pPr>
        <w:numPr>
          <w:ilvl w:val="0"/>
          <w:numId w:val="1008"/>
        </w:numPr>
        <w:pStyle w:val="Compact"/>
      </w:pPr>
      <w:r>
        <w:rPr>
          <w:bCs/>
          <w:b/>
        </w:rPr>
        <w:t xml:space="preserve">Ventas:</w:t>
      </w:r>
      <w:r>
        <w:t xml:space="preserve"> </w:t>
      </w:r>
      <w:r>
        <w:t xml:space="preserve">las fija la regla mecánica, recortada por la guía al 13 %. Quedan</w:t>
      </w:r>
      <w:r>
        <w:t xml:space="preserve"> </w:t>
      </w:r>
      <w:r>
        <w:rPr>
          <w:bCs/>
          <w:b/>
        </w:rPr>
        <w:t xml:space="preserve">por debajo</w:t>
      </w:r>
      <w:r>
        <w:t xml:space="preserve"> </w:t>
      </w:r>
      <w:r>
        <w:t xml:space="preserve">de las del informe (725 M en el base) y del consenso (~730 M, estimado a partir de los 775 M del grupo) [6]. v11 toma la menor de las dos, que es la mecánica: proyección prudente.</w:t>
      </w:r>
    </w:p>
    <w:p>
      <w:pPr>
        <w:numPr>
          <w:ilvl w:val="0"/>
          <w:numId w:val="1008"/>
        </w:numPr>
        <w:pStyle w:val="Compact"/>
      </w:pPr>
      <w:r>
        <w:rPr>
          <w:bCs/>
          <w:b/>
        </w:rPr>
        <w:t xml:space="preserve">Compra hasta 361,9 CHF:</w:t>
      </w:r>
      <w:r>
        <w:t xml:space="preserve"> </w:t>
      </w:r>
      <w:r>
        <w:t xml:space="preserve">a ese precio la ponderada es del 5 %. El precio de hoy, 367,6, ya está por encima.</w:t>
      </w:r>
    </w:p>
    <w:p>
      <w:pPr>
        <w:numPr>
          <w:ilvl w:val="0"/>
          <w:numId w:val="1008"/>
        </w:numPr>
        <w:pStyle w:val="Compact"/>
      </w:pPr>
      <w:r>
        <w:rPr>
          <w:bCs/>
          <w:b/>
        </w:rPr>
        <w:t xml:space="preserve">Consenso:</w:t>
      </w:r>
      <w:r>
        <w:t xml:space="preserve"> </w:t>
      </w:r>
      <w:r>
        <w:t xml:space="preserve">14 analistas, «Outperform», objetivo medio de 398,6 CHF, un 12 % sobre el cierre [6]. Bloomberg da 399 y AWP 403 [8].</w:t>
      </w:r>
    </w:p>
    <w:p>
      <w:pPr>
        <w:numPr>
          <w:ilvl w:val="0"/>
          <w:numId w:val="1008"/>
        </w:numPr>
        <w:pStyle w:val="Compact"/>
      </w:pPr>
      <w:r>
        <w:rPr>
          <w:bCs/>
          <w:b/>
        </w:rPr>
        <w:t xml:space="preserve">DCF inverso:</w:t>
      </w:r>
      <w:r>
        <w:t xml:space="preserve"> </w:t>
      </w:r>
      <w:r>
        <w:t xml:space="preserve">con un WACC del 7 %, el precio descuenta un crecimiento de ~7 % anual durante 10 años, por debajo del 12-15 % que guía la empresa [cálculo propio]. Es el argumento más favorable. Con un WACC del 8 % sube a ~9 %.</w:t>
      </w:r>
    </w:p>
    <w:p>
      <w:pPr>
        <w:numPr>
          <w:ilvl w:val="0"/>
          <w:numId w:val="1008"/>
        </w:numPr>
        <w:pStyle w:val="Compact"/>
      </w:pPr>
      <w:r>
        <w:rPr>
          <w:bCs/>
          <w:b/>
        </w:rPr>
        <w:t xml:space="preserve">Por qué el método da poco</w:t>
      </w:r>
      <w:r>
        <w:t xml:space="preserve"> </w:t>
      </w:r>
      <w:r>
        <w:t xml:space="preserve">aunque el DCF inverso parezca holgado: el método solo mira 12 meses y mantiene casi el múltiplo de hoy. Una empresa que crece un 13 % a 16,5 veces el EBITDA da poco más que su crecimiento, y el bajista (múltiplo × 0,6) pesa mucho.</w:t>
      </w:r>
    </w:p>
    <w:bookmarkEnd w:id="28"/>
    <w:bookmarkStart w:id="29" w:name="foros-y-sentimiento"/>
    <w:p>
      <w:pPr>
        <w:pStyle w:val="Heading2"/>
      </w:pPr>
      <w:r>
        <w:t xml:space="preserve">10. Foros y sentimiento</w:t>
      </w:r>
    </w:p>
    <w:p>
      <w:pPr>
        <w:numPr>
          <w:ilvl w:val="0"/>
          <w:numId w:val="1009"/>
        </w:numPr>
        <w:pStyle w:val="Compact"/>
      </w:pPr>
      <w:r>
        <w:rPr>
          <w:bCs/>
          <w:b/>
        </w:rPr>
        <w:t xml:space="preserve">Foros:</w:t>
      </w:r>
      <w:r>
        <w:t xml:space="preserve"> </w:t>
      </w:r>
      <w:r>
        <w:t xml:space="preserve">Ypsomed apenas aparece en Reddit (r/stocks, r/investing), StockTwits o Rankia. Es una empresa suiza mediana con poco capital flotante, porque la familia tiene ~74 %. No hay euforia minorista.</w:t>
      </w:r>
    </w:p>
    <w:p>
      <w:pPr>
        <w:numPr>
          <w:ilvl w:val="0"/>
          <w:numId w:val="1009"/>
        </w:numPr>
        <w:pStyle w:val="Compact"/>
      </w:pPr>
      <w:r>
        <w:rPr>
          <w:bCs/>
          <w:b/>
        </w:rPr>
        <w:t xml:space="preserve">Prensa suiza</w:t>
      </w:r>
      <w:r>
        <w:t xml:space="preserve"> </w:t>
      </w:r>
      <w:r>
        <w:t xml:space="preserve">(cash.ch, AWP, finanzen.ch): está dividida. Pesa la rebaja de UBS en septiembre por CagriSema, que hizo caer la acción más del 7 % en un día. El analizador AWP marca sentimiento negativo desde el 31-jul [8]. A favor: Berenberg empezó el 13-oct con Comprar y 450 CHF («más volumen y crecimiento con márgenes altos») y Citi mantiene Comprar [8].</w:t>
      </w:r>
    </w:p>
    <w:p>
      <w:pPr>
        <w:numPr>
          <w:ilvl w:val="0"/>
          <w:numId w:val="1009"/>
        </w:numPr>
        <w:pStyle w:val="Compact"/>
      </w:pPr>
      <w:r>
        <w:rPr>
          <w:bCs/>
          <w:b/>
        </w:rPr>
        <w:t xml:space="preserve">Analistas:</w:t>
      </w:r>
      <w:r>
        <w:t xml:space="preserve"> </w:t>
      </w:r>
      <w:r>
        <w:t xml:space="preserve">casi todos recomiendan comprar (unos 13 comprar, 2 mantener y 1 vender según los agregadores). Morningstar es la nota escéptica, con 336 CHF [10].</w:t>
      </w:r>
    </w:p>
    <w:p>
      <w:pPr>
        <w:numPr>
          <w:ilvl w:val="0"/>
          <w:numId w:val="1009"/>
        </w:numPr>
        <w:pStyle w:val="Compact"/>
      </w:pPr>
      <w:r>
        <w:rPr>
          <w:bCs/>
          <w:b/>
        </w:rPr>
        <w:t xml:space="preserve">Contraste con los datos:</w:t>
      </w:r>
      <w:r>
        <w:t xml:space="preserve"> </w:t>
      </w:r>
      <w:r>
        <w:t xml:space="preserve">el miedo de la prensa está en un solo fármaco, CagriSema, que UBS calcula en el 10 % de las ventas de 2029/30. El negocio diario, con 44 proyectos ganados y 14 más en el 1T, no muestra ese frenazo. El sentimiento es prudente, no eufórico.</w:t>
      </w:r>
    </w:p>
    <w:bookmarkEnd w:id="29"/>
    <w:bookmarkStart w:id="30" w:name="riesgos-robustez-y-qué-rompería-la-tesis"/>
    <w:p>
      <w:pPr>
        <w:pStyle w:val="Heading2"/>
      </w:pPr>
      <w:r>
        <w:t xml:space="preserve">11. Riesgos, robustez y qué rompería la tesis</w:t>
      </w:r>
    </w:p>
    <w:p>
      <w:pPr>
        <w:pStyle w:val="FirstParagraph"/>
      </w:pPr>
      <w:r>
        <w:rPr>
          <w:bCs/>
          <w:b/>
        </w:rPr>
        <w:t xml:space="preserve">Riesgos principales</w:t>
      </w:r>
      <w:r>
        <w:t xml:space="preserve"> </w:t>
      </w:r>
      <w:r>
        <w:t xml:space="preserve">1.</w:t>
      </w:r>
      <w:r>
        <w:t xml:space="preserve"> </w:t>
      </w:r>
      <w:r>
        <w:rPr>
          <w:bCs/>
          <w:b/>
        </w:rPr>
        <w:t xml:space="preserve">Fármacos de obesidad en pastilla.</w:t>
      </w:r>
      <w:r>
        <w:t xml:space="preserve"> </w:t>
      </w:r>
      <w:r>
        <w:t xml:space="preserve">Semaglutida oral (Wegovy en comprimido) y orforglipron de Lilly [de memoria, sin comprobar fechas]. Si una parte del mercado del GLP-1 pasa a pastillas, sube menos el volumen de autoinyectores. Hoy el GLP-1 es un 10 % de las ventas, así que el golpe sería sobre todo al crecimiento futuro [7].</w:t>
      </w:r>
      <w:r>
        <w:t xml:space="preserve"> </w:t>
      </w:r>
      <w:r>
        <w:t xml:space="preserve">2.</w:t>
      </w:r>
      <w:r>
        <w:t xml:space="preserve"> </w:t>
      </w:r>
      <w:r>
        <w:rPr>
          <w:bCs/>
          <w:b/>
        </w:rPr>
        <w:t xml:space="preserve">CagriSema y Novo.</w:t>
      </w:r>
      <w:r>
        <w:t xml:space="preserve"> </w:t>
      </w:r>
      <w:r>
        <w:t xml:space="preserve">Novo es el cliente estrella del YpsoMate de 1 ml. UBS cree que puede haber reducción de existencias a partir de 2027/28 [7]. La empresa dice que el contrato «va en camino, sin señales de menos volumen» [13].</w:t>
      </w:r>
      <w:r>
        <w:t xml:space="preserve"> </w:t>
      </w:r>
      <w:r>
        <w:t xml:space="preserve">3.</w:t>
      </w:r>
      <w:r>
        <w:t xml:space="preserve"> </w:t>
      </w:r>
      <w:r>
        <w:rPr>
          <w:bCs/>
          <w:b/>
        </w:rPr>
        <w:t xml:space="preserve">Precio por volumen y competencia asiática:</w:t>
      </w:r>
      <w:r>
        <w:t xml:space="preserve"> </w:t>
      </w:r>
      <w:r>
        <w:t xml:space="preserve">el margen ya bajó 0,8 puntos por los precios de los pedidos grandes y el arranque de fábricas [1][13].</w:t>
      </w:r>
      <w:r>
        <w:t xml:space="preserve"> </w:t>
      </w:r>
      <w:r>
        <w:t xml:space="preserve">4.</w:t>
      </w:r>
      <w:r>
        <w:t xml:space="preserve"> </w:t>
      </w:r>
      <w:r>
        <w:rPr>
          <w:bCs/>
          <w:b/>
        </w:rPr>
        <w:t xml:space="preserve">Ejecución de la inversión:</w:t>
      </w:r>
      <w:r>
        <w:t xml:space="preserve"> </w:t>
      </w:r>
      <w:r>
        <w:t xml:space="preserve">1.300 M en seis años. Si la demanda tarda, las fábricas nuevas pesan en el margen y el FCF tarda más en volver.</w:t>
      </w:r>
      <w:r>
        <w:t xml:space="preserve"> </w:t>
      </w:r>
      <w:r>
        <w:t xml:space="preserve">5.</w:t>
      </w:r>
      <w:r>
        <w:t xml:space="preserve"> </w:t>
      </w:r>
      <w:r>
        <w:rPr>
          <w:bCs/>
          <w:b/>
        </w:rPr>
        <w:t xml:space="preserve">Divisa y aranceles:</w:t>
      </w:r>
      <w:r>
        <w:t xml:space="preserve"> </w:t>
      </w:r>
      <w:r>
        <w:t xml:space="preserve">cuentas en CHF, con un franco fuerte; posibles aranceles de EE. UU. a los moldes importados [13].</w:t>
      </w:r>
      <w:r>
        <w:t xml:space="preserve"> </w:t>
      </w:r>
      <w:r>
        <w:t xml:space="preserve">6.</w:t>
      </w:r>
      <w:r>
        <w:t xml:space="preserve"> </w:t>
      </w:r>
      <w:r>
        <w:rPr>
          <w:bCs/>
          <w:b/>
        </w:rPr>
        <w:t xml:space="preserve">Gobierno:</w:t>
      </w:r>
      <w:r>
        <w:t xml:space="preserve"> </w:t>
      </w:r>
      <w:r>
        <w:t xml:space="preserve">la familia controla ~74 % y hay operaciones con partes vinculadas, como la recompra a Willy Michel y alquileres a sociedades suyas [1].</w:t>
      </w:r>
    </w:p>
    <w:p>
      <w:pPr>
        <w:pStyle w:val="BodyText"/>
      </w:pPr>
      <w:r>
        <w:rPr>
          <w:bCs/>
          <w:b/>
        </w:rPr>
        <w:t xml:space="preserve">Riesgo de IA: bajo.</w:t>
      </w:r>
      <w:r>
        <w:t xml:space="preserve"> </w:t>
      </w:r>
      <w:r>
        <w:t xml:space="preserve">La IA no sustituye a un dispositivo físico, fabricado en salas limpias y aprobado junto con el fármaco, ni rompe un contrato de 10 años con coste regulatorio de cambio. Hay un riesgo indirecto y lejano: que el descubrimiento de fármacos con IA acelere moléculas orales que hoy se inyectan. A favor, la empresa usa IA en su programa de eficiencia YpsoFit [4].</w:t>
      </w:r>
    </w:p>
    <w:p>
      <w:pPr>
        <w:pStyle w:val="BodyText"/>
      </w:pPr>
      <w:r>
        <w:rPr>
          <w:bCs/>
          <w:b/>
        </w:rPr>
        <w:t xml:space="preserve">Alertas del motor (</w:t>
      </w:r>
      <w:r>
        <w:rPr>
          <w:rStyle w:val="VerbatimChar"/>
          <w:bCs/>
          <w:b/>
        </w:rPr>
        <w:t xml:space="preserve">calc.alertas</w:t>
      </w:r>
      <w:r>
        <w:rPr>
          <w:bCs/>
          <w:b/>
        </w:rPr>
        <w:t xml:space="preserve">): ninguna.</w:t>
      </w:r>
      <w:r>
        <w:t xml:space="preserve"> </w:t>
      </w:r>
      <w:r>
        <w:t xml:space="preserve">Ni múltiplo caro frente a su historia (16,5x frente a 18x), ni proyección por encima del consenso, ni clientes concentrados, ni pagos en acciones altos.</w:t>
      </w:r>
    </w:p>
    <w:p>
      <w:pPr>
        <w:pStyle w:val="BodyText"/>
      </w:pPr>
      <w:r>
        <w:rPr>
          <w:bCs/>
          <w:b/>
        </w:rPr>
        <w:t xml:space="preserve">Prueba</w:t>
      </w:r>
      <w:r>
        <w:rPr>
          <w:bCs/>
          <w:b/>
        </w:rPr>
        <w:t xml:space="preserve"> </w:t>
      </w:r>
      <w:r>
        <w:rPr>
          <w:rStyle w:val="VerbatimChar"/>
          <w:bCs/>
          <w:b/>
        </w:rPr>
        <w:t xml:space="preserve">robustez-growth</w:t>
      </w:r>
      <w:r>
        <w:rPr>
          <w:bCs/>
          <w:b/>
        </w:rPr>
        <w:t xml:space="preserve"> </w:t>
      </w:r>
      <w:r>
        <w:rPr>
          <w:bCs/>
          <w:b/>
        </w:rPr>
        <w:t xml:space="preserve">(con precios): SÓLIDA.</w:t>
      </w:r>
      <w:r>
        <w:t xml:space="preserve"> </w:t>
      </w:r>
      <w:r>
        <w:t xml:space="preserve">Da Comprar en v11, en v7, con las ventas del analista y con probabilidades 25/50/25. Pasa a Mantener con 35/50/15 (ponderada −2,9 %). Avisos: el objetivo se deja fijo al revisar el precio, el bajista del −44 % pide posición pequeña y en tramos, y la convicción es baja.</w:t>
      </w:r>
    </w:p>
    <w:p>
      <w:pPr>
        <w:pStyle w:val="BodyText"/>
      </w:pPr>
      <w:r>
        <w:rPr>
          <w:bCs/>
          <w:b/>
        </w:rPr>
        <w:t xml:space="preserve">Lo que la prueba no ve, y debilita la señal:</w:t>
      </w:r>
      <w:r>
        <w:t xml:space="preserve"> </w:t>
      </w:r>
      <w:r>
        <w:t xml:space="preserve">la puntuación está a 0,3 puntos del listón de 60, y tres juicios en el límite la tumban. Cualquiera de estos cambios la deja en Mantener con v11:</w:t>
      </w:r>
      <w:r>
        <w:t xml:space="preserve"> </w:t>
      </w:r>
      <w:r>
        <w:t xml:space="preserve">- valorar el camino a la rentabilidad como «equilibrio en 24 meses», que es lo que dice UBS, en vez de 12: puntuación 59,3;</w:t>
      </w:r>
      <w:r>
        <w:t xml:space="preserve"> </w:t>
      </w:r>
      <w:r>
        <w:t xml:space="preserve">- no dar la señal de mejora de múltiplo, que pasa del listón por solo 2 puntos: 57,8;</w:t>
      </w:r>
      <w:r>
        <w:t xml:space="preserve"> </w:t>
      </w:r>
      <w:r>
        <w:t xml:space="preserve">- usar el margen bruto del grupo, un 43 %, en vez del 55 % de Delivery Systems: 59,3.</w:t>
      </w:r>
    </w:p>
    <w:p>
      <w:pPr>
        <w:pStyle w:val="BodyText"/>
      </w:pPr>
      <w:r>
        <w:t xml:space="preserve">Las tres decisiones tienen fuente y son defendibles, pero la señal es</w:t>
      </w:r>
      <w:r>
        <w:t xml:space="preserve"> </w:t>
      </w:r>
      <w:r>
        <w:rPr>
          <w:bCs/>
          <w:b/>
        </w:rPr>
        <w:t xml:space="preserve">frágil</w:t>
      </w:r>
      <w:r>
        <w:t xml:space="preserve">. Además, al precio de hoy ya está por encima del «compra hasta». La «acción robusta» es</w:t>
      </w:r>
      <w:r>
        <w:t xml:space="preserve"> </w:t>
      </w:r>
      <w:r>
        <w:rPr>
          <w:bCs/>
          <w:b/>
        </w:rPr>
        <w:t xml:space="preserve">no comprar ahora y vigilar</w:t>
      </w:r>
      <w:r>
        <w:t xml:space="preserve"> </w:t>
      </w:r>
      <w:r>
        <w:t xml:space="preserve">con los resultados del 11-nov.</w:t>
      </w:r>
    </w:p>
    <w:p>
      <w:pPr>
        <w:pStyle w:val="BodyText"/>
      </w:pPr>
      <w:r>
        <w:rPr>
          <w:bCs/>
          <w:b/>
        </w:rPr>
        <w:t xml:space="preserve">Qué rompería la tesis (vender o no comprar):</w:t>
      </w:r>
      <w:r>
        <w:t xml:space="preserve"> </w:t>
      </w:r>
      <w:r>
        <w:t xml:space="preserve">crecimiento del 1S 2026/27 por debajo del 10 % sin fabricación por contrato; recorte de la guía; un margen EBIT por debajo del 30 %; pérdida o recorte fuerte del contrato de Novo; o un segundo semestre seguido con menos proyectos ganados.</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Fecha</w:t>
            </w:r>
          </w:p>
        </w:tc>
        <w:tc>
          <w:tcPr/>
          <w:p>
            <w:pPr>
              <w:pStyle w:val="Compact"/>
              <w:jc w:val="left"/>
            </w:pPr>
            <w:r>
              <w:t xml:space="preserve">Qué</w:t>
            </w:r>
          </w:p>
        </w:tc>
      </w:tr>
      <w:tr>
        <w:tc>
          <w:tcPr/>
          <w:p>
            <w:pPr>
              <w:pStyle w:val="Compact"/>
              <w:jc w:val="left"/>
            </w:pPr>
            <w:r>
              <w:t xml:space="preserve">11-nov-2026</w:t>
            </w:r>
          </w:p>
        </w:tc>
        <w:tc>
          <w:tcPr/>
          <w:p>
            <w:pPr>
              <w:pStyle w:val="Compact"/>
              <w:jc w:val="left"/>
            </w:pPr>
            <w:r>
              <w:t xml:space="preserve">Resultados del 1S 2026/27: crecimiento sin fabricación por contrato, margen y caja</w:t>
            </w:r>
          </w:p>
        </w:tc>
      </w:tr>
      <w:tr>
        <w:tc>
          <w:tcPr/>
          <w:p>
            <w:pPr>
              <w:pStyle w:val="Compact"/>
              <w:jc w:val="left"/>
            </w:pPr>
            <w:r>
              <w:t xml:space="preserve">17-18-nov-2026</w:t>
            </w:r>
          </w:p>
        </w:tc>
        <w:tc>
          <w:tcPr/>
          <w:p>
            <w:pPr>
              <w:pStyle w:val="Compact"/>
              <w:jc w:val="left"/>
            </w:pPr>
            <w:r>
              <w:t xml:space="preserve">Conferencia de salud de Jefferies (Londres)</w:t>
            </w:r>
          </w:p>
        </w:tc>
      </w:tr>
      <w:tr>
        <w:tc>
          <w:tcPr/>
          <w:p>
            <w:pPr>
              <w:pStyle w:val="Compact"/>
              <w:jc w:val="left"/>
            </w:pPr>
            <w:r>
              <w:t xml:space="preserve">Finales de 2026</w:t>
            </w:r>
          </w:p>
        </w:tc>
        <w:tc>
          <w:tcPr/>
          <w:p>
            <w:pPr>
              <w:pStyle w:val="Compact"/>
              <w:jc w:val="left"/>
            </w:pPr>
            <w:r>
              <w:t xml:space="preserve">Primeras líneas en la ampliación de Schwerin (Alemania); fin de la fabricación por contrato de plumas (noviembre)</w:t>
            </w:r>
          </w:p>
        </w:tc>
      </w:tr>
      <w:tr>
        <w:tc>
          <w:tcPr/>
          <w:p>
            <w:pPr>
              <w:pStyle w:val="Compact"/>
              <w:jc w:val="left"/>
            </w:pPr>
            <w:r>
              <w:t xml:space="preserve">Finales de 2026 o principios de 2027</w:t>
            </w:r>
          </w:p>
        </w:tc>
        <w:tc>
          <w:tcPr/>
          <w:p>
            <w:pPr>
              <w:pStyle w:val="Compact"/>
              <w:jc w:val="left"/>
            </w:pPr>
            <w:r>
              <w:t xml:space="preserve">Decisión de la FDA sobre CagriSema (Novo)</w:t>
            </w:r>
          </w:p>
        </w:tc>
      </w:tr>
      <w:tr>
        <w:tc>
          <w:tcPr/>
          <w:p>
            <w:pPr>
              <w:pStyle w:val="Compact"/>
              <w:jc w:val="left"/>
            </w:pPr>
            <w:r>
              <w:t xml:space="preserve">2026-2027</w:t>
            </w:r>
          </w:p>
        </w:tc>
        <w:tc>
          <w:tcPr/>
          <w:p>
            <w:pPr>
              <w:pStyle w:val="Compact"/>
              <w:jc w:val="left"/>
            </w:pPr>
            <w:r>
              <w:t xml:space="preserve">Lanzamientos de biosimilares de semaglutida en China, India, Canadá y Brasil</w:t>
            </w:r>
          </w:p>
        </w:tc>
      </w:tr>
      <w:tr>
        <w:tc>
          <w:tcPr/>
          <w:p>
            <w:pPr>
              <w:pStyle w:val="Compact"/>
              <w:jc w:val="left"/>
            </w:pPr>
            <w:r>
              <w:t xml:space="preserve">Finales de 2027</w:t>
            </w:r>
          </w:p>
        </w:tc>
        <w:tc>
          <w:tcPr/>
          <w:p>
            <w:pPr>
              <w:pStyle w:val="Compact"/>
              <w:jc w:val="left"/>
            </w:pPr>
            <w:r>
              <w:t xml:space="preserve">Arranque de la fábrica de Holly Springs (EE. UU.)</w:t>
            </w:r>
          </w:p>
        </w:tc>
      </w:tr>
      <w:tr>
        <w:tc>
          <w:tcPr/>
          <w:p>
            <w:pPr>
              <w:pStyle w:val="Compact"/>
              <w:jc w:val="left"/>
            </w:pPr>
            <w:r>
              <w:t xml:space="preserve">Mayo de 2027</w:t>
            </w:r>
          </w:p>
        </w:tc>
        <w:tc>
          <w:tcPr/>
          <w:p>
            <w:pPr>
              <w:pStyle w:val="Compact"/>
              <w:jc w:val="left"/>
            </w:pPr>
            <w:r>
              <w:t xml:space="preserve">Resultados 2026/27 y guía 2027/28</w:t>
            </w:r>
          </w:p>
        </w:tc>
      </w:tr>
    </w:tbl>
    <w:bookmarkEnd w:id="31"/>
    <w:bookmarkStart w:id="32" w:name="encaje-en-cartera"/>
    <w:p>
      <w:pPr>
        <w:pStyle w:val="Heading2"/>
      </w:pPr>
      <w:r>
        <w:t xml:space="preserve">13. Encaje en cartera</w:t>
      </w:r>
    </w:p>
    <w:p>
      <w:pPr>
        <w:numPr>
          <w:ilvl w:val="0"/>
          <w:numId w:val="1010"/>
        </w:numPr>
        <w:pStyle w:val="Compact"/>
      </w:pPr>
      <w:r>
        <w:rPr>
          <w:bCs/>
          <w:b/>
        </w:rPr>
        <w:t xml:space="preserve">Frente a la cartera value</w:t>
      </w:r>
      <w:r>
        <w:t xml:space="preserve"> </w:t>
      </w:r>
      <w:r>
        <w:t xml:space="preserve">(</w:t>
      </w:r>
      <w:r>
        <w:rPr>
          <w:rStyle w:val="VerbatimChar"/>
        </w:rPr>
        <w:t xml:space="preserve">MEMORIA.md</w:t>
      </w:r>
      <w:r>
        <w:t xml:space="preserve">): no hay ninguna empresa de dispositivos de inyección. Sería la primera suiza de salud del bolsillo growth y la única en CHF, lo que aporta diversificación. No choca con ninguna exclusión: no es juego, ni comercio minorista, ni ninguna de las empresas vetadas. Alphabet se vende mañana; en cualquier caso, Ypsomed no añade exposición a la IA.</w:t>
      </w:r>
    </w:p>
    <w:p>
      <w:pPr>
        <w:numPr>
          <w:ilvl w:val="0"/>
          <w:numId w:val="1010"/>
        </w:numPr>
        <w:pStyle w:val="Compact"/>
      </w:pPr>
      <w:r>
        <w:rPr>
          <w:bCs/>
          <w:b/>
        </w:rPr>
        <w:t xml:space="preserve">Frente al bolsillo growth</w:t>
      </w:r>
      <w:r>
        <w:t xml:space="preserve"> </w:t>
      </w:r>
      <w:r>
        <w:t xml:space="preserve">(</w:t>
      </w:r>
      <w:r>
        <w:rPr>
          <w:rStyle w:val="VerbatimChar"/>
        </w:rPr>
        <w:t xml:space="preserve">informes-growth/cartera-growth.md</w:t>
      </w:r>
      <w:r>
        <w:t xml:space="preserve">): está</w:t>
      </w:r>
      <w:r>
        <w:t xml:space="preserve"> </w:t>
      </w:r>
      <w:r>
        <w:rPr>
          <w:bCs/>
          <w:b/>
        </w:rPr>
        <w:t xml:space="preserve">lleno</w:t>
      </w:r>
      <w:r>
        <w:t xml:space="preserve">, con un ~20 % de la cartera. Rentabilidades al precio actual con v11: Nu +19 %, Axon +36 %, Shopify +18 %, Snowflake +13 % y Samsara +15 %. La liquidez libre es casi nula, así que solo cabe sustituir. Ypsomed da +3,4 % al precio actual (+6,6 % al cierre del 13-oct), mucho menos que la peor de las cinco, Snowflake con +13 %. Tiene convicción baja y la señal es frágil.</w:t>
      </w:r>
      <w:r>
        <w:t xml:space="preserve"> </w:t>
      </w:r>
      <w:r>
        <w:rPr>
          <w:bCs/>
          <w:b/>
        </w:rPr>
        <w:t xml:space="preserve">No sustituye a ninguna.</w:t>
      </w:r>
    </w:p>
    <w:p>
      <w:pPr>
        <w:numPr>
          <w:ilvl w:val="0"/>
          <w:numId w:val="1010"/>
        </w:numPr>
        <w:pStyle w:val="Compact"/>
      </w:pPr>
      <w:r>
        <w:rPr>
          <w:bCs/>
          <w:b/>
        </w:rPr>
        <w:t xml:space="preserve">Suplentes</w:t>
      </w:r>
      <w:r>
        <w:t xml:space="preserve"> </w:t>
      </w:r>
      <w:r>
        <w:t xml:space="preserve">(orden nuevo: MongoDB, Toast, Zscaler, dLocal, Dexcom, argenx, Datadog, Saab, Natera): Ypsomed queda</w:t>
      </w:r>
      <w:r>
        <w:t xml:space="preserve"> </w:t>
      </w:r>
      <w:r>
        <w:rPr>
          <w:bCs/>
          <w:b/>
        </w:rPr>
        <w:t xml:space="preserve">10.ª, detrás de Natera</w:t>
      </w:r>
      <w:r>
        <w:t xml:space="preserve">. Rinde menos que todas, y Saab, que es la más parecida en perfil (europea, rentable, valorada por EBITDA), da +6 %. Solo cuenta como suplente si el precio baja de 361,9 CHF.</w:t>
      </w:r>
    </w:p>
    <w:p>
      <w:pPr>
        <w:numPr>
          <w:ilvl w:val="0"/>
          <w:numId w:val="1010"/>
        </w:numPr>
        <w:pStyle w:val="Compact"/>
      </w:pPr>
      <w:r>
        <w:rPr>
          <w:bCs/>
          <w:b/>
        </w:rPr>
        <w:t xml:space="preserve">Si algún día entrara:</w:t>
      </w:r>
      <w:r>
        <w:t xml:space="preserve"> </w:t>
      </w:r>
      <w:r>
        <w:t xml:space="preserve">3,5 % (convicción baja), nunca menos, y en dos tramos: la mitad tras los resultados del 11-nov si el negocio continuado crece al menos un 12 %, y la otra mitad con los resultados anuales de mayo. Es una propuesta: no se emite ninguna orden sin que el usuario la pida explícitamente en el chat y la confirme.</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11,7</w:t>
            </w:r>
          </w:p>
        </w:tc>
        <w:tc>
          <w:tcPr/>
          <w:p>
            <w:pPr>
              <w:pStyle w:val="Compact"/>
              <w:jc w:val="left"/>
            </w:pPr>
            <w:r>
              <w:t xml:space="preserve">25</w:t>
            </w:r>
          </w:p>
        </w:tc>
        <w:tc>
          <w:tcPr/>
          <w:p>
            <w:pPr>
              <w:pStyle w:val="Compact"/>
              <w:jc w:val="left"/>
            </w:pPr>
            <w:r>
              <w:t xml:space="preserve">Crecimiento del 22 % en 12 meses y CAGR del 25 % a 2 años, pero con frenazo: aceleración de −6,9 puntos</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del 9 %; tecnología 4 y posición 4</w:t>
            </w:r>
          </w:p>
        </w:tc>
      </w:tr>
      <w:tr>
        <w:tc>
          <w:tcPr/>
          <w:p>
            <w:pPr>
              <w:pStyle w:val="Compact"/>
              <w:jc w:val="left"/>
            </w:pPr>
            <w:r>
              <w:t xml:space="preserve">C. Cambio de tendencia</w:t>
            </w:r>
          </w:p>
        </w:tc>
        <w:tc>
          <w:tcPr/>
          <w:p>
            <w:pPr>
              <w:pStyle w:val="Compact"/>
              <w:jc w:val="left"/>
            </w:pPr>
            <w:r>
              <w:t xml:space="preserve">10</w:t>
            </w:r>
          </w:p>
        </w:tc>
        <w:tc>
          <w:tcPr/>
          <w:p>
            <w:pPr>
              <w:pStyle w:val="Compact"/>
              <w:jc w:val="left"/>
            </w:pPr>
            <w:r>
              <w:t xml:space="preserve">20</w:t>
            </w:r>
          </w:p>
        </w:tc>
        <w:tc>
          <w:tcPr/>
          <w:p>
            <w:pPr>
              <w:pStyle w:val="Compact"/>
              <w:jc w:val="left"/>
            </w:pPr>
            <w:r>
              <w:t xml:space="preserve">4 de 8 señales</w:t>
            </w:r>
          </w:p>
        </w:tc>
      </w:tr>
      <w:tr>
        <w:tc>
          <w:tcPr/>
          <w:p>
            <w:pPr>
              <w:pStyle w:val="Compact"/>
              <w:jc w:val="left"/>
            </w:pPr>
            <w:r>
              <w:t xml:space="preserve">D. Economía unitaria</w:t>
            </w:r>
          </w:p>
        </w:tc>
        <w:tc>
          <w:tcPr/>
          <w:p>
            <w:pPr>
              <w:pStyle w:val="Compact"/>
              <w:jc w:val="left"/>
            </w:pPr>
            <w:r>
              <w:t xml:space="preserve">6</w:t>
            </w:r>
          </w:p>
        </w:tc>
        <w:tc>
          <w:tcPr/>
          <w:p>
            <w:pPr>
              <w:pStyle w:val="Compact"/>
              <w:jc w:val="left"/>
            </w:pPr>
            <w:r>
              <w:t xml:space="preserve">15</w:t>
            </w:r>
          </w:p>
        </w:tc>
        <w:tc>
          <w:tcPr/>
          <w:p>
            <w:pPr>
              <w:pStyle w:val="Compact"/>
              <w:jc w:val="left"/>
            </w:pPr>
            <w:r>
              <w:t xml:space="preserve">Margen bruto del 55 %; regla del 40 de 17,4; equilibrio de FCF en 12 meses</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c>
          <w:tcPr/>
          <w:p>
            <w:pPr>
              <w:pStyle w:val="Compact"/>
              <w:jc w:val="left"/>
            </w:pPr>
            <w:r>
              <w:t xml:space="preserve">Liquidez amplia y sin dilución</w:t>
            </w:r>
          </w:p>
        </w:tc>
      </w:tr>
      <w:tr>
        <w:tc>
          <w:tcPr/>
          <w:p>
            <w:pPr>
              <w:pStyle w:val="Compact"/>
              <w:jc w:val="left"/>
            </w:pPr>
            <w:r>
              <w:t xml:space="preserve">F. Ejecución y dirección</w:t>
            </w:r>
          </w:p>
        </w:tc>
        <w:tc>
          <w:tcPr/>
          <w:p>
            <w:pPr>
              <w:pStyle w:val="Compact"/>
              <w:jc w:val="left"/>
            </w:pPr>
            <w:r>
              <w:t xml:space="preserve">8</w:t>
            </w:r>
          </w:p>
        </w:tc>
        <w:tc>
          <w:tcPr/>
          <w:p>
            <w:pPr>
              <w:pStyle w:val="Compact"/>
              <w:jc w:val="left"/>
            </w:pPr>
            <w:r>
              <w:t xml:space="preserve">10</w:t>
            </w:r>
          </w:p>
        </w:tc>
        <w:tc>
          <w:tcPr/>
          <w:p>
            <w:pPr>
              <w:pStyle w:val="Compact"/>
              <w:jc w:val="left"/>
            </w:pPr>
            <w:r>
              <w:t xml:space="preserve">Historial 4 y dirección 4</w:t>
            </w:r>
          </w:p>
        </w:tc>
      </w:tr>
      <w:tr>
        <w:tc>
          <w:tcPr/>
          <w:p>
            <w:pPr>
              <w:pStyle w:val="Compact"/>
              <w:jc w:val="left"/>
            </w:pPr>
            <w:r>
              <w:rPr>
                <w:bCs/>
                <w:b/>
              </w:rPr>
              <w:t xml:space="preserve">Total</w:t>
            </w:r>
          </w:p>
        </w:tc>
        <w:tc>
          <w:tcPr/>
          <w:p>
            <w:pPr>
              <w:pStyle w:val="Compact"/>
              <w:jc w:val="left"/>
            </w:pPr>
            <w:r>
              <w:rPr>
                <w:bCs/>
                <w:b/>
              </w:rPr>
              <w:t xml:space="preserve">60,3</w:t>
            </w:r>
          </w:p>
        </w:tc>
        <w:tc>
          <w:tcPr/>
          <w:p>
            <w:pPr>
              <w:pStyle w:val="Compact"/>
              <w:jc w:val="left"/>
            </w:pPr>
            <w:r>
              <w:t xml:space="preserve">100</w:t>
            </w:r>
          </w:p>
        </w:tc>
        <w:tc>
          <w:tcPr/>
          <w:p>
            <w:pPr>
              <w:pStyle w:val="Compact"/>
              <w:jc w:val="left"/>
            </w:pPr>
            <w:r>
              <w:t xml:space="preserve">Listón de compra en 60</w:t>
            </w:r>
          </w:p>
        </w:tc>
      </w:tr>
    </w:tbl>
    <w:p>
      <w:pPr>
        <w:pStyle w:val="BodyText"/>
      </w:pPr>
      <w:r>
        <w:rPr>
          <w:bCs/>
          <w:b/>
        </w:rPr>
        <w:t xml:space="preserve">Mejoras de método que deja este informe</w:t>
      </w:r>
      <w:r>
        <w:t xml:space="preserve"> </w:t>
      </w:r>
      <w:r>
        <w:t xml:space="preserve">(propuestas, no aplicadas):</w:t>
      </w:r>
      <w:r>
        <w:t xml:space="preserve"> </w:t>
      </w:r>
      <w:r>
        <w:t xml:space="preserve">1.</w:t>
      </w:r>
      <w:r>
        <w:t xml:space="preserve"> </w:t>
      </w:r>
      <w:r>
        <w:rPr>
          <w:bCs/>
          <w:b/>
        </w:rPr>
        <w:t xml:space="preserve">Empresas rentables con FCF negativo por inversión en capacidad:</w:t>
      </w:r>
      <w:r>
        <w:t xml:space="preserve"> </w:t>
      </w:r>
      <w:r>
        <w:t xml:space="preserve">el método mide la pista de caja con la caja en el banco y castiga el FCF negativo aunque el EBIT sea del 33 %. Se propone un campo</w:t>
      </w:r>
      <w:r>
        <w:t xml:space="preserve"> </w:t>
      </w:r>
      <w:r>
        <w:rPr>
          <w:rStyle w:val="VerbatimChar"/>
        </w:rPr>
        <w:t xml:space="preserve">liquidez_disponible_m</w:t>
      </w:r>
      <w:r>
        <w:t xml:space="preserve"> </w:t>
      </w:r>
      <w:r>
        <w:t xml:space="preserve">(caja y líneas comprometidas sin usar) y, con margen EBIT &gt; 15 %, medir el camino a la rentabilidad con el FCF antes de la inversión de crecimiento.</w:t>
      </w:r>
      <w:r>
        <w:t xml:space="preserve"> </w:t>
      </w:r>
      <w:r>
        <w:t xml:space="preserve">2.</w:t>
      </w:r>
      <w:r>
        <w:t xml:space="preserve"> </w:t>
      </w:r>
      <w:r>
        <w:rPr>
          <w:bCs/>
          <w:b/>
        </w:rPr>
        <w:t xml:space="preserve">Alerta de «puntuación en el filo»:</w:t>
      </w:r>
      <w:r>
        <w:t xml:space="preserve"> </w:t>
      </w:r>
      <w:r>
        <w:t xml:space="preserve">si la puntuación está a menos de 2 puntos del listón y depende de un juicio (categoría de rentabilidad, una señal que pasa por menos de un 10 % de su umbral), avisar en</w:t>
      </w:r>
      <w:r>
        <w:t xml:space="preserve"> </w:t>
      </w:r>
      <w:r>
        <w:rPr>
          <w:rStyle w:val="VerbatimChar"/>
        </w:rPr>
        <w:t xml:space="preserve">calc.alertas</w:t>
      </w:r>
      <w:r>
        <w:t xml:space="preserve">, como ya se hace con el bajista.</w:t>
      </w:r>
      <w:r>
        <w:t xml:space="preserve"> </w:t>
      </w:r>
      <w:r>
        <w:t xml:space="preserve">3.</w:t>
      </w:r>
      <w:r>
        <w:t xml:space="preserve"> </w:t>
      </w:r>
      <w:r>
        <w:rPr>
          <w:bCs/>
          <w:b/>
        </w:rPr>
        <w:t xml:space="preserve">Empresas que publican por semestres:</w:t>
      </w:r>
      <w:r>
        <w:t xml:space="preserve"> </w:t>
      </w:r>
      <w:r>
        <w:rPr>
          <w:rStyle w:val="VerbatimChar"/>
        </w:rPr>
        <w:t xml:space="preserve">ultimo_trimestre_pct</w:t>
      </w:r>
      <w:r>
        <w:t xml:space="preserve"> </w:t>
      </w:r>
      <w:r>
        <w:t xml:space="preserve">pasa a ser el último semestre y los 12 meses llegan con hasta 6 meses de retraso. Conviene un campo</w:t>
      </w:r>
      <w:r>
        <w:t xml:space="preserve"> </w:t>
      </w:r>
      <w:r>
        <w:rPr>
          <w:rStyle w:val="VerbatimChar"/>
        </w:rPr>
        <w:t xml:space="preserve">periodicidad</w:t>
      </w:r>
      <w:r>
        <w:t xml:space="preserve"> </w:t>
      </w:r>
      <w:r>
        <w:t xml:space="preserve">y una alerta cuando el último dato tiene más de 4 meses.</w:t>
      </w:r>
      <w:r>
        <w:t xml:space="preserve"> </w:t>
      </w:r>
      <w:r>
        <w:t xml:space="preserve">4.</w:t>
      </w:r>
      <w:r>
        <w:t xml:space="preserve"> </w:t>
      </w:r>
      <w:r>
        <w:rPr>
          <w:bCs/>
          <w:b/>
        </w:rPr>
        <w:t xml:space="preserve">Margen bruto del negocio que se queda:</w:t>
      </w:r>
      <w:r>
        <w:t xml:space="preserve"> </w:t>
      </w:r>
      <w:r>
        <w:t xml:space="preserve">cuando hay ventas de negocios, el margen del grupo engaña (43 % frente a 55 %). Se propone pedir el del segmento continuado y decir de dónde sale.</w:t>
      </w:r>
    </w:p>
    <w:bookmarkEnd w:id="33"/>
    <w:bookmarkStart w:id="34" w:name="fuentes"/>
    <w:p>
      <w:pPr>
        <w:pStyle w:val="Heading2"/>
      </w:pPr>
      <w:r>
        <w:t xml:space="preserve">Fuentes</w:t>
      </w:r>
    </w:p>
    <w:p>
      <w:pPr>
        <w:pStyle w:val="FirstParagraph"/>
      </w:pPr>
      <w:r>
        <w:t xml:space="preserve">[1] Ypsomed, Annual Report 2025/26 (20-may-2026, ypsomed.com, YPS_GB_2025-26_E.pdf) e Investor Fact Sheet 2025/26: cuentas Swiss GAAP FER, segmentos, fabricación por contrato, deuda neta y líneas de crédito, FCF, inversión, recompra, acciones, familia Michel, guía 2026/27 y ambición 2029/30.</w:t>
      </w:r>
      <w:r>
        <w:t xml:space="preserve"> </w:t>
      </w:r>
      <w:r>
        <w:t xml:space="preserve">[2] Ypsomed, nota de resultados del 1S 2025/26 (nov-2025): Delivery Systems 266,6 M (+21 %), guía 2025/26 «en torno al 20 %».</w:t>
      </w:r>
      <w:r>
        <w:t xml:space="preserve"> </w:t>
      </w:r>
      <w:r>
        <w:t xml:space="preserve">[3] Ypsomed, nota de resultados 2023/24 (may-2024): Delivery Systems 385,2 M.</w:t>
      </w:r>
      <w:r>
        <w:t xml:space="preserve"> </w:t>
      </w:r>
      <w:r>
        <w:t xml:space="preserve">[4] Ypsomed, presentación de resultados 2025/26 (20-may-2026): clientes, proyectos, EBITDA de Delivery Systems de 278 M, base de 559 M, programa de inversión y fábricas.</w:t>
      </w:r>
      <w:r>
        <w:t xml:space="preserve"> </w:t>
      </w:r>
      <w:r>
        <w:t xml:space="preserve">[5] Yahoo Finance chart API (YPSN.SW, ^SSHI): cierres diarios y mensuales; cierre de 356,60 CHF el 13-oct-2026 y 367,60 CHF el 14-oct a las 15:31 UTC; media de 200 sesiones y fuerza relativa, cálculo propio. Segunda fuente del cierre: MarketScreener [6].</w:t>
      </w:r>
      <w:r>
        <w:t xml:space="preserve"> </w:t>
      </w:r>
      <w:r>
        <w:t xml:space="preserve">[6] MarketScreener, Ypsomed Holding AG, finanzas y estimaciones (14-oct-2026): consenso de ventas, EBITDA, EBIT, deuda neta, FCF e inversión de 2026/27 a 2028/29; 14 analistas; objetivo medio de 398,64 CHF; último cierre de 356,60 CHF.</w:t>
      </w:r>
      <w:r>
        <w:t xml:space="preserve"> </w:t>
      </w:r>
      <w:r>
        <w:t xml:space="preserve">[7] Investing.com, «UBS downgrades Ypsomed as Cagrisema setback clouds growth outlook» (sep-2026).</w:t>
      </w:r>
      <w:r>
        <w:t xml:space="preserve"> </w:t>
      </w:r>
      <w:r>
        <w:t xml:space="preserve">[8] cash.ch, «Ypsomed-Aktie: Neue Hoffnung nach dem September-Rücksetzer» (13-oct-2026); cash.ch, ficha y analizador AWP; MarketScreener, Citi de 455 a 425 CHF.</w:t>
      </w:r>
      <w:r>
        <w:t xml:space="preserve"> </w:t>
      </w:r>
      <w:r>
        <w:t xml:space="preserve">[9] Pharmaceutical Technology / Reuters (22-nov-2024), contrato de Novo y CagriSema; swissinfo.ch (dic-2024), caída por CagriSema; GlobalData, mercado de dispositivos con aguja.</w:t>
      </w:r>
      <w:r>
        <w:t xml:space="preserve"> </w:t>
      </w:r>
      <w:r>
        <w:t xml:space="preserve">[10] Morningstar, informe de inicio de cobertura (6-jul-2026; valor razonable de 336 CHF).</w:t>
      </w:r>
      <w:r>
        <w:t xml:space="preserve"> </w:t>
      </w:r>
      <w:r>
        <w:t xml:space="preserve">[11] Ypsomed, fin de la recompra a precio fijo (18-mar-2026) y página «Shares» (13.149.739 acciones tras la reducción de capital de julio de 2026).</w:t>
      </w:r>
      <w:r>
        <w:t xml:space="preserve"> </w:t>
      </w:r>
      <w:r>
        <w:t xml:space="preserve">[12] Ypsomed, «Ypsomed is off to a strong start in 2026/27» (9-jul-2026).</w:t>
      </w:r>
      <w:r>
        <w:t xml:space="preserve"> </w:t>
      </w:r>
      <w:r>
        <w:t xml:space="preserve">[13] GuruFocus vía Yahoo Finance, resumen de la conferencia de resultados (20-may-2026): margen bruto de ~55 %, Novo, competencia asiática y aranceles.</w:t>
      </w:r>
      <w:r>
        <w:t xml:space="preserve"> </w:t>
      </w:r>
      <w:r>
        <w:t xml:space="preserve">[14] Investing.com (20-may-2026): resultados y guía frente al consenso.</w:t>
      </w:r>
      <w:r>
        <w:t xml:space="preserve"> </w:t>
      </w:r>
      <w:r>
        <w:t xml:space="preserve">[15] Stevanato Group, 6-K del 4-ago-2026 (SEC), y Yahoo Finance chart API para los precios de los comparables (14-oct-2026).</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2026-10-14T21:44:47Z</dcterms:created>
  <dcterms:modified xsi:type="dcterms:W3CDTF">2026-10-14T21:44:47Z</dcterms:modified>
</cp:coreProperties>
</file>

<file path=docProps/custom.xml><?xml version="1.0" encoding="utf-8"?>
<Properties xmlns="http://schemas.openxmlformats.org/officeDocument/2006/custom-properties" xmlns:vt="http://schemas.openxmlformats.org/officeDocument/2006/docPropsVTypes"/>
</file>