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Shimano Inc.</w:t>
      </w:r>
    </w:p>
    <w:p>
      <w:pPr>
        <w:spacing w:after="60"/>
        <w:rPr>
          <w:color w:val="52514E"/>
          <w:sz w:val="22"/>
          <w:szCs w:val="22"/>
        </w:rPr>
      </w:pPr>
      <w:r>
        <w:rPr>
          <w:color w:val="52514E"/>
          <w:sz w:val="22"/>
          <w:szCs w:val="22"/>
        </w:rPr>
        <w:t xml:space="preserve">7309 · Bolsa de Tokio (Prime) · ISIN JP3358000002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17.845,00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20.001,97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+14,1 % (base +17,6 %)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13.019,08 JPY · mercado 14.676,32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1.516.647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Shimano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7309 / JP3358000002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Nikkei 225 / TOPIX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Productos de ocio (componentes de bicicleta y pesca)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Sakai (Osaka), Japón · 1921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www.shimano.com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17.845,00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14.895,00 – 21.530,00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1.516.647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1.059.151 M JPY</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20.001,97 JPY</w:t>
      </w:r>
      <w:r>
        <w:t xml:space="preserve"> frente a 17.845,00 · Rentabilidad a 12 meses </w:t>
      </w:r>
      <w:r>
        <w:rPr>
          <w:b/>
          <w:bCs/>
        </w:rPr>
        <w:t xml:space="preserve">+14,1 % (base +17,6 %)</w:t>
      </w:r>
      <w:r>
        <w:t xml:space="preserve"> · Valor intrínseco 13.019,08 JPY · con la prima implícita del mercado: 14.676,32 (-17,8 %) · Alcista / bajista -6,5 % / -42,1 %</w:t>
      </w:r>
    </w:p>
    <w:p>
      <w:pPr>
        <w:spacing w:after="100"/>
      </w:pPr>
      <w:r>
        <w:rPr>
          <w:b/>
        </w:rPr>
        <w:t xml:space="preserve">La recomendación y por qué.</w:t>
      </w:r>
      <w:r>
        <w:t xml:space="preserve"> Mantener, con convicción media. Con nuestro BPA y la regla común de PER, el objetivo a 12 meses es de 20.001,97 JPY frente a 17.845 JPY de cierre del 13 de octubre: +14,1 % ponderado con el dividendo y +17,6 % en el caso base, cerca de los umbrales de compra. Pero el valor intrínseco es de 13.019,08 JPY, un 27,0 % por debajo del precio, y la regla exige que el valor real cubra el precio. El objetivo medio de los analistas (19.214,50 JPY) queda entre los dos. La convicción es media porque las cifras salen de extractos de búsqueda y no de los documentos completos; subiría si el 3T26 (27 de octubre) muestra que el margen de bicicleta ha tocado fondo, y bajaría si el bono japonés pasa del 3,5 %.</w:t>
      </w:r>
    </w:p>
    <w:p>
      <w:pPr>
        <w:spacing w:after="100"/>
      </w:pPr>
      <w:r>
        <w:rPr>
          <w:b/>
        </w:rPr>
        <w:t xml:space="preserve">El negocio.</w:t>
      </w:r>
      <w:r>
        <w:t xml:space="preserve"> Shimano es el estándar mundial de componentes de bicicleta y un actor relevante en pesca, sin deuda y con 459.116 M JPY de caja (≈30 % de la capitalización) [12]. Su foso es amplio, pero el ciclo pesa: el margen EBITDA cayó del 30,2 % en 2022 al 16,9 % en 2025 y el ROIC (8,4 %) apenas cubre el WACC (8,31 %). La sostenibilidad del crecimiento es «En parte»: el 3,4 % anual que proyectamos es modesto, pero el aumento del beneficio depende de recuperar margen, no de capital nuevo, y al ROIC actual la reinversión solo financia un 1,5 %.</w:t>
      </w:r>
    </w:p>
    <w:p>
      <w:pPr>
        <w:spacing w:after="100"/>
      </w:pPr>
      <w:r>
        <w:rPr>
          <w:b/>
        </w:rPr>
        <w:t xml:space="preserve">Sector y ciclo.</w:t>
      </w:r>
      <w:r>
        <w:t xml:space="preserve"> Recuperación lenta: ventas de bicicleta planas en el 1S26, inventario aún algo alto en Europa, China y Norteamérica, aranceles de EE. UU. y precios a la baja; la pesca crece un 17 % [12, 13]. Los grupos nuevos de gama alta de 2027 son el catalizador de volumen [40].</w:t>
      </w:r>
    </w:p>
    <w:p>
      <w:pPr>
        <w:spacing w:after="100"/>
      </w:pPr>
      <w:r>
        <w:rPr>
          <w:b/>
        </w:rPr>
        <w:t xml:space="preserve">Finanzas.</w:t>
      </w:r>
      <w:r>
        <w:t xml:space="preserve"> La guía de 2026 es de 491.000 M de ventas (+5,3 %) y 47.000 M de explotación (−9,1 %) [10]. El beneficio neto lo mueven las diferencias de cambio de la caja: −55,5 % en 2025 y ×7 en el 1S26 con una plusvalía [2, 11]. Por eso medimos el BPA en base recurrente.</w:t>
      </w:r>
    </w:p>
    <w:p>
      <w:pPr>
        <w:spacing w:after="100"/>
      </w:pPr>
      <w:r>
        <w:rPr>
          <w:b/>
        </w:rPr>
        <w:t xml:space="preserve">Equipo y gobierno.</w:t>
      </w:r>
      <w:r>
        <w:t xml:space="preserve"> Empresa familiar, con la familia Shimano en la presidencia y el puesto de primer ejecutivo; dos rebajas de guía en 2025 [43, 46]. La recompra de ≈50.000 M de 2025 fue un paso, pero la caja sigue ociosa [21].</w:t>
      </w:r>
    </w:p>
    <w:p>
      <w:pPr>
        <w:spacing w:after="100"/>
      </w:pPr>
      <w:r>
        <w:rPr>
          <w:b/>
        </w:rPr>
        <w:t xml:space="preserve">Valoración.</w:t>
      </w:r>
      <w:r>
        <w:t xml:space="preserve"> El DCF da 13.743,13 JPY (−23,0 %) y los comparables, 10.302,90 JPY: ninguno justifica el precio. El DCF inverso dice que el mercado descuenta un margen EBITDA del 25,7 % (el nuestro, 20 %) o un crecimiento del 8,8 % anual: volver a márgenes de pandemia. La regla a 12 meses da recorrido porque Shimano siempre ha cotizado a 31-38 veces su beneficio recurrente y hoy está a 34,8x nuestro BPA de 2027e. Discrepamos del mercado en el margen, no en la calidad.</w:t>
      </w:r>
    </w:p>
    <w:p>
      <w:pPr>
        <w:spacing w:after="100"/>
      </w:pPr>
      <w:r>
        <w:rPr>
          <w:b/>
        </w:rPr>
        <w:t xml:space="preserve">Riesgos y catalizadores.</w:t>
      </w:r>
      <w:r>
        <w:t xml:space="preserve"> El mayor riesgo es que el margen no se recupere (bajista a 12 meses: 13.728,18 JPY, −21,1 % con el dividendo) o que el mercado deje de pagar 35x con tipos japoneses al 3 % (−27 % hasta el valor intrínseco). Catalizadores: resultados del 27 de octubre, guía de 2027 en febrero y una posible recompra. Los foros están divididos: caja frente a PER alto.</w:t>
      </w:r>
    </w:p>
    <w:p>
      <w:pPr>
        <w:spacing w:after="100"/>
      </w:pPr>
      <w:r>
        <w:rPr>
          <w:b/>
        </w:rPr>
        <w:t xml:space="preserve">Qué cambiaría la decisión.</w:t>
      </w:r>
      <w:r>
        <w:t xml:space="preserve"> Compraríamos por debajo de 13.019,08 JPY, donde el valor intrínseco cubre el precio, o si la guía de 2027 apunta a un margen EBITDA del 22 % o más. Venderíamos por encima de 22.614,42 JPY o si el margen de explotación de bicicleta baja del 10 % en el 3T26.</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20.001,97 JPY</w:t>
      </w:r>
      <w:r>
        <w:t xml:space="preserve"> (rentabilidad +14,1 % (base +17,6 %)) · Valor intrínseco: 13.019,08 JPY (-27,0 % sobre 17.845,00) · con la prima implícita del mercado: 14.676,32 (-17,8 %)</w:t>
      </w:r>
    </w:p>
    <w:p>
      <w:pPr>
        <w:spacing w:after="100"/>
      </w:pPr>
      <w:r>
        <w:t xml:space="preserve">Shimano fija el estándar de los cambios y frenos de bicicleta desde los años ochenta y es el mayor fabricante del mundo en su nicho, con una pesca que crece. No tiene deuda, tiene 459.116 M JPY de caja y ha ganado márgenes de explotación de hasta el 27 % en el pico de 2022 [3, 12]. Hoy está en el fondo del ciclo: margen EBITDA del 16,9 % en 2025 y del 15,5 % previsto para 2026.</w:t>
      </w:r>
    </w:p>
    <w:p>
      <w:pPr>
        <w:spacing w:after="100"/>
      </w:pPr>
      <w:r>
        <w:t xml:space="preserve">El precio (17.845 JPY, 34,8x nuestro BPA recurrente de 2027e) descuenta que el margen vuelve a niveles de 2021-22: el DCF inverso pide un margen EBITDA del 25,7 % o un crecimiento del 8,8 % anual. Los comparables cotizan a 18,3x.</w:t>
      </w:r>
    </w:p>
    <w:p>
      <w:pPr>
        <w:spacing w:after="100"/>
      </w:pPr>
      <w:r>
        <w:t xml:space="preserve">El mercado acierta en que Shimano es una empresa de calidad y, por historia, siempre la ha pagado cara: por eso el objetivo a 12 meses deja un +14,1 %. Se equivoca, a nuestro juicio, en la velocidad y el nivel de la recuperación del margen, con el yen, la competencia china en gama baja y el bono japonés al 3,1 % en contra. Para invertir hay que creer que el margen vuelve al 25 % y que el mercado seguirá pagando 35x: lo primero no se ve aún en el resultado de explotación.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20.001,97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 × 438,60 = 13.728,18 · 34,8x × 592,70 = 20.625,96 · 35,4x × 707,00 = 25.027,80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 / 17,6 %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19.214,50 (nuestro base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13.019,08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frente a 8,3 %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14.676,32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(3,4 % anual proyectado; financiable al ROIC actual: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13.019,08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13.019,08 y 22.614,42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22.614,42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13.019,08 JPY: el valor intrínseco cubriría el precio (Comprar si la calidad acompaña).</w:t>
      </w:r>
    </w:p>
    <w:p>
      <w:pPr>
        <w:pStyle w:val="ListParagraph"/>
        <w:numPr>
          <w:ilvl w:val="0"/>
          <w:numId w:val="2"/>
        </w:numPr>
        <w:spacing w:after="60"/>
      </w:pPr>
      <w:r>
        <w:t xml:space="preserve">Guía de 2027 con margen EBITDA ≥ 22 %: subiríamos el caso base.</w:t>
      </w:r>
    </w:p>
    <w:p>
      <w:pPr>
        <w:pStyle w:val="ListParagraph"/>
        <w:numPr>
          <w:ilvl w:val="0"/>
          <w:numId w:val="2"/>
        </w:numPr>
        <w:spacing w:after="60"/>
      </w:pPr>
      <w:r>
        <w:t xml:space="preserve">Margen de explotación de bicicleta del 3T26 por debajo del 10 %: bajaríamos el BPA y pasaría a Vender si la ponderada cae bajo −10 %.</w:t>
      </w:r>
    </w:p>
    <w:p>
      <w:pPr>
        <w:pStyle w:val="ListParagraph"/>
        <w:numPr>
          <w:ilvl w:val="0"/>
          <w:numId w:val="2"/>
        </w:numPr>
        <w:spacing w:after="60"/>
      </w:pPr>
      <w:r>
        <w:t xml:space="preserve">Precio por encima de 22.614,42 JPY: Vender.</w:t>
      </w:r>
    </w:p>
    <w:p>
      <w:pPr>
        <w:pStyle w:val="ListParagraph"/>
        <w:numPr>
          <w:ilvl w:val="0"/>
          <w:numId w:val="2"/>
        </w:numPr>
        <w:spacing w:after="60"/>
      </w:pPr>
      <w:r>
        <w:t xml:space="preserve">Recompra de más del 5 % del capital: mejora el BPA y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Una recuperación del margen EBITDA hasta el 25,7 % (o un crecimiento del 8,8 % anual) y un PER de 30-38x como en la última década. Los analistas, con mayoría de «mantener», ven un objetivo medio de 19.214,50 JPY [50].</w:t>
      </w:r>
    </w:p>
    <w:p>
      <w:pPr>
        <w:keepNext/>
        <w:spacing w:after="100"/>
      </w:pPr>
      <w:r>
        <w:rPr>
          <w:b/>
          <w:bCs/>
        </w:rPr>
        <w:t xml:space="preserve">Lo que creemos nosotros.</w:t>
      </w:r>
    </w:p>
    <w:p>
      <w:pPr>
        <w:spacing w:after="100"/>
      </w:pPr>
      <w:r>
        <w:t xml:space="preserve">La recuperación será más lenta y menos completa: margen del 20 % en 2031e, crecimiento del 3,4 % anual. Con eso el valor intrínseco es de 13.019,08 JPY. A 12 meses el múltiplo puede aguantar, pero el valor real no cubre el precio.</w:t>
      </w:r>
    </w:p>
    <w:p>
      <w:pPr>
        <w:keepNext/>
        <w:spacing w:after="100"/>
      </w:pPr>
      <w:r>
        <w:rPr>
          <w:b/>
          <w:bCs/>
        </w:rPr>
        <w:t xml:space="preserve">Por qué podemos tener razón.</w:t>
      </w:r>
    </w:p>
    <w:p>
      <w:pPr>
        <w:spacing w:after="100"/>
      </w:pPr>
      <w:r>
        <w:t xml:space="preserve">Los factores del pico (demanda de la pandemia, precios al alza) no se repiten; la gama baja la ganan fabricantes chinos; el yen ya no ayuda como en 2022, y con el bono japonés al 3,1 % un PER de 35x rinde menos que el bono.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17.84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Estándar del sector</w:t>
      </w:r>
      <w:r>
        <w:t xml:space="preserve">: margen de explotación del 27 % en el pico de 2022 y del 11 % en el fondo de 2025, con su rival cotizado (Fox Factory) en pérdidas.</w:t>
      </w:r>
    </w:p>
    <w:p>
      <w:pPr>
        <w:pStyle w:val="ListParagraph"/>
        <w:numPr>
          <w:ilvl w:val="0"/>
          <w:numId w:val="2"/>
        </w:numPr>
        <w:spacing w:after="60"/>
      </w:pPr>
      <w:r>
        <w:rPr>
          <w:b/>
        </w:rPr>
        <w:t xml:space="preserve">Balance</w:t>
      </w:r>
      <w:r>
        <w:t xml:space="preserve">: 459.116 M JPY de caja sin deuda, ≈5.400 JPY por acción.</w:t>
      </w:r>
    </w:p>
    <w:p>
      <w:pPr>
        <w:pStyle w:val="ListParagraph"/>
        <w:numPr>
          <w:ilvl w:val="0"/>
          <w:numId w:val="2"/>
        </w:numPr>
        <w:spacing w:after="60"/>
      </w:pPr>
      <w:r>
        <w:rPr>
          <w:b/>
        </w:rPr>
        <w:t xml:space="preserve">Pesca</w:t>
      </w:r>
      <w:r>
        <w:t xml:space="preserve">: ventas +17,4 % y resultado +59,8 % en el 1S26.</w:t>
      </w:r>
    </w:p>
    <w:p>
      <w:pPr>
        <w:pStyle w:val="ListParagraph"/>
        <w:numPr>
          <w:ilvl w:val="0"/>
          <w:numId w:val="2"/>
        </w:numPr>
        <w:spacing w:after="60"/>
      </w:pPr>
      <w:r>
        <w:rPr>
          <w:b/>
        </w:rPr>
        <w:t xml:space="preserve">Retribución</w:t>
      </w:r>
      <w:r>
        <w:t xml:space="preserve">: dividendo de 363 JPY (2,0 %) y recompra de ≈50.000 M en 2025.</w:t>
      </w:r>
    </w:p>
    <w:p>
      <w:pPr>
        <w:pStyle w:val="ListParagraph"/>
        <w:numPr>
          <w:ilvl w:val="0"/>
          <w:numId w:val="2"/>
        </w:numPr>
        <w:spacing w:after="60"/>
      </w:pPr>
      <w:r>
        <w:rPr>
          <w:b/>
        </w:rPr>
        <w:t xml:space="preserve">Objetivo a 12 meses</w:t>
      </w:r>
      <w:r>
        <w:t xml:space="preserve">: +14,1 % ponderado y +17,6 % en el base con la regla común.</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13.019,08 JPY (−27,0 %).</w:t>
      </w:r>
    </w:p>
    <w:p>
      <w:pPr>
        <w:pStyle w:val="ListParagraph"/>
        <w:numPr>
          <w:ilvl w:val="0"/>
          <w:numId w:val="2"/>
        </w:numPr>
        <w:spacing w:after="60"/>
      </w:pPr>
      <w:r>
        <w:rPr>
          <w:b/>
        </w:rPr>
        <w:t xml:space="preserve">El precio pide márgenes de pandemia</w:t>
      </w:r>
      <w:r>
        <w:t xml:space="preserve">: margen EBITDA implícito del 25,7 % frente al 16,9 % de 2025.</w:t>
      </w:r>
    </w:p>
    <w:p>
      <w:pPr>
        <w:pStyle w:val="ListParagraph"/>
        <w:numPr>
          <w:ilvl w:val="0"/>
          <w:numId w:val="2"/>
        </w:numPr>
        <w:spacing w:after="60"/>
      </w:pPr>
      <w:r>
        <w:rPr>
          <w:b/>
        </w:rPr>
        <w:t xml:space="preserve">ROIC de fondo de ciclo</w:t>
      </w:r>
      <w:r>
        <w:t xml:space="preserve">: 8,4 % frente a un WACC del 8,31 %.</w:t>
      </w:r>
    </w:p>
    <w:p>
      <w:pPr>
        <w:pStyle w:val="ListParagraph"/>
        <w:numPr>
          <w:ilvl w:val="0"/>
          <w:numId w:val="2"/>
        </w:numPr>
        <w:spacing w:after="60"/>
      </w:pPr>
      <w:r>
        <w:rPr>
          <w:b/>
        </w:rPr>
        <w:t xml:space="preserve">Beneficio neto volátil</w:t>
      </w:r>
      <w:r>
        <w:t xml:space="preserve">: la divisa restó 19.600 M al resultado de explotación de 2025 y hundió el neto un 55,5 %.</w:t>
      </w:r>
    </w:p>
    <w:p>
      <w:pPr>
        <w:pStyle w:val="ListParagraph"/>
        <w:numPr>
          <w:ilvl w:val="0"/>
          <w:numId w:val="2"/>
        </w:numPr>
        <w:spacing w:after="60"/>
      </w:pPr>
      <w:r>
        <w:rPr>
          <w:b/>
        </w:rPr>
        <w:t xml:space="preserve">Comparables mucho más baratos</w:t>
      </w:r>
      <w:r>
        <w:t xml:space="preserve">: mediana de 18,3x frente a 31,7x.</w:t>
      </w:r>
    </w:p>
    <w:p>
      <w:pPr>
        <w:pStyle w:val="Heading2"/>
      </w:pPr>
      <w:r>
        <w:t xml:space="preserve">Qué tiene que pasar para que la tesis funcione</w:t>
      </w:r>
    </w:p>
    <w:p>
      <w:pPr>
        <w:spacing w:after="100"/>
      </w:pPr>
      <w:r>
        <w:t xml:space="preserve">La tesis depende de que el margen de explotación de bicicleta deje de caer en el segundo semestre de 2026 y suba en 2027 con los grupos nuevos. La señal de que no se cumple: un 3T26 (27 de octubre) con el margen del segmento por debajo del 10 % y una guía de 2027 con ventas planas.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explotación de bicicleta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ciclo ha tocado fondo.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bicicleta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USD/JPY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≈155-160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140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yen fuerte resta margen y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japonés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Presiona el múltiplo de 35x.</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459.116 M JPY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recompra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Retorno de caja: catalizador del BPA y del ROE.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26,6x / 31,7x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-5,8x · -5,8x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Shimano nació en 1921 en Sakai (Osaka) como taller de piñones libres de Shozaburo Shimano. Tras la guerra se hizo proveedor de componentes para los fabricantes de bicicletas japoneses y, desde los años setenta, de los grandes del mundo con los grupos Dura-Ace (1973) y Deore XT. En los ochenta convirtió el cambio indexado y los grupos integrados en estándar del sector, y desde 1970 vende material de pesca. Es una empresa familiar: la familia Shimano sigue en la presidencia. La pandemia disparó la demanda en 2020-2022 (ventas récord de 628.909 M JPY en 2022) y después llegó el exceso de inventario en toda la cadena, del que aún sale [3,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Sakai (Osaka) por Shozaburo Shimano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Dura-Ace, su gama alta de carretera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integrados en la maneta de freno (STI), estándar del sector desde entonces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≈20.000 M JPY en una planta nueva en Singapur y ≈13.000 M en Japón para atender el pico de demanda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de 628.909 M JPY y resultado de explotación de 169.159 M (margen del 26,9 %)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exceso de inventario de los fabricantes hunde las ventas un 25 % [2,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2,6 M de acciones por ≈50.000 M JPY y pérdida de cambio de 19.600 M [15,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pesca +17 % y bicicleta plana; guía de ventas elevada a 491.000 M JPY [10, 12].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Shimano es el mayor fabricante mundial de componentes de bicicleta (cambios, frenos, bielas, bujes, motores de bicicleta eléctrica EP) y uno de los grandes de material de pesca (carretes, cañas). Vende sobre todo a fabricantes de bicicletas (equipo de origen) y, en menor medida, al mercado de recambio a través de distribuidores; en pesca vende a tiendas especializadas. Fabrica en Japón (Sakai, Shimonoseki), Singapur, Malasia, China y otros países de Asia; la nueva planta de Singapur (≈20.000 M JPY) amplió capacidad tras la pandemia [24]. Dos segmentos: componentes de bicicleta (76 % de las ventas de 2025) y pesca (24 %) [16].</w:t>
      </w:r>
    </w:p>
    <w:p>
      <w:pPr>
        <w:pStyle w:val="Heading2"/>
      </w:pPr>
      <w:r>
        <w:t xml:space="preserve">Cómo gana dinero</w:t>
      </w:r>
    </w:p>
    <w:p>
      <w:pPr>
        <w:spacing w:after="100"/>
      </w:pPr>
      <w:r>
        <w:t xml:space="preserve">Shimano vende componentes a los fabricantes de bicicletas (equipo de origen), que los montan en bicicletas nuevas, y recambios a distribuidores; su margen depende del volumen de bicicletas nuevas, de la mezcla (gama alta de carretera y bicicleta eléctrica frente a ciudad) y del yen, porque fabrica sobre todo en Japón y Asia y vende en dólares y euros. Con costes fijos elevados, el apalancamiento operativo es alto: el margen de explotación pasó del 26,9 % en 2022 al 11,1 % en 2025 con unas ventas un 26 % menores [3]. La pesca (24 % de las ventas) tiene márgenes menores (8 % en 2025) pero es menos cíclica [16]. La caja (≈459.000 M JPY) rinde intereses y genera diferencias de cambio que mueven mucho el beneficio neto (pérdida de 19.600 M en 2025, ganancia en 2026) [8, 15].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Componentes de bicicleta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Componentes de bicicleta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104.990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w:t>
            </w:r>
          </w:p>
        </w:tc>
      </w:tr>
    </w:tbl>
    <w:p>
      <w:pPr>
        <w:spacing w:after="160" w:before="0"/>
      </w:pPr>
    </w:p>
    <w:p>
      <w:pPr>
        <w:pStyle w:val="Heading2"/>
      </w:pPr>
      <w:r>
        <w:t xml:space="preserve">Clientes, recurrencia y poder de precios</w:t>
      </w:r>
    </w:p>
    <w:p>
      <w:pPr>
        <w:spacing w:after="100"/>
      </w:pPr>
      <w:r>
        <w:t xml:space="preserve">Los clientes directos son los fabricantes de bicicletas (equipo de origen) y los distribuidores de recambio; la empresa no publica la concentración, pero los grandes montadores (Giant, Merida, Trek, Specialized) pesan mucho en el equipo de origen. El poder de precios existe pero es limitado en la fase baja del ciclo: Shimano subió precios de componentes en 2026 [38], mientras los precios de las bicicletas al público bajan y dificultan trasladar el coste de las materias primas [28]. En pesca vende a tiendas especializadas, con demanda fuerte fuera de Japón y débil en casa [25, 39].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componentes de bicicleta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≈181.000 M JPY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181.379 M JPY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Europa mejor, Norteamérica, China y Asia débiles por inventarios y aranceles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explotación de bicicleta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≈23.600 M JPY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20.064 M JPY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gastos generales y presión de costes de materias primas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pesca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≈55.800 M JPY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65.466 M JPY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demanda fuera de Japón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 de explotación de pesca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≈4.490 M JPY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7.179 M JPY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Apalancamiento operativo [12].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mundial de componentes de bicicleta (transmisiones, frenos, bujes, motores de bicicleta eléctrica) vendidos a fabricantes y en recambio, y, en segundo plano, material de pesca. Shimano compite sobre todo con SRAM (privada) y, en suspensiones, con Fox Factory. No hemos podido leer un estudio de tamaño de mercado con dos fuentes; la sección se apoya en la evolución de las ventas de los participantes [3,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inventario de fabricantes y tiendas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Shimano: 628.909 M JPY en 2022, 450.993 M en 2024; en 2026 aún hay inventario algo alto en Europa, Asia, Latinoamérica y China [2, 3,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Bicicleta eléctrica y gama alta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contenido por bicicleta; los nuevos grupos de gama alta previstos para 2027 deberían liberar compras aplazadas, según el análisis de Traders Web [40].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precios de las bicicletas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culpa a los aranceles del «estancamiento» en EE. UU.; los precios de venta al público bajan y dificultan trasladar costes [28,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divisa restó 19.600 M JPY en 2025 y ayudó en 2026 [11,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Pesca recreativa fuera de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Pesca +17,4 % en el 1S26 y +5,6 % en 2025 [12, 16]; Japón, débil [39].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con SRAM en transmisiones de gama media y alta; competencia de fabricantes chinos en gama baja [31,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grandes (Giant, Trek, Specialized) con inventarios altos negocian volúmenes, pero dependen del estándar Shimano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aluminio y fibra de carbono: materias primas sin proveedor dominante; presión de costes en 2026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ingeniería, patentes, escala y red de servicio; los entrantes chinos (gama baja) no han llegado a la gama alta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 medios de transporte y ocio; la bicicleta eléctrica amplía el mercado más que sustituirlo [34].</w:t>
            </w:r>
          </w:p>
        </w:tc>
      </w:tr>
    </w:tbl>
    <w:p>
      <w:pPr>
        <w:spacing w:after="160" w:before="0"/>
      </w:pPr>
    </w:p>
    <w:p>
      <w:pPr>
        <w:pStyle w:val="Heading2"/>
      </w:pPr>
      <w:r>
        <w:t xml:space="preserve">Ciclo</w:t>
      </w:r>
    </w:p>
    <w:p>
      <w:pPr>
        <w:spacing w:after="100"/>
      </w:pPr>
      <w:r>
        <w:t xml:space="preserve">Tras el pico de 2021-2022 (demanda de la pandemia), la cadena acumuló inventario y las ventas de Shimano cayeron un 28 % hasta 2024. En 2025 las ventas de bicicleta volvieron a crecer (+2,7 %) por Europa, y en el 1S26 siguen planas con Europa mejor y China, Asia y Norteamérica débiles [12, 16]. Es una recuperación lenta: el inventario de Europa aún es «algo alto» [13].</w:t>
      </w:r>
    </w:p>
    <w:p>
      <w:pPr>
        <w:pStyle w:val="Heading2"/>
      </w:pPr>
      <w:r>
        <w:t xml:space="preserve">Regulación</w:t>
      </w:r>
    </w:p>
    <w:p>
      <w:pPr>
        <w:spacing w:after="100"/>
      </w:pPr>
      <w:r>
        <w:t xml:space="preserve">Lo que más afecta a las cifras son los aranceles de EE. UU. sobre componentes y bicicletas fabricados en Asia, que la dirección cita como causa del estancamiento de la demanda en Norteamérica en 2026 [13, 33]. En la Unión Europea, las normas de bicicleta eléctrica (asistencia hasta 25 km/h) y los incentivos a la movilidad sostienen la demanda de bicicletas eléctricas, donde Shimano vende motores EP [34]. No hemos encontrado cambios regulatorios en tramitación con fecha que muevan la valoración.</w:t>
      </w:r>
    </w:p>
    <w:p>
      <w:pPr>
        <w:pStyle w:val="Heading2"/>
      </w:pPr>
      <w:r>
        <w:t xml:space="preserve">Tendencias y disrupción</w:t>
      </w:r>
    </w:p>
    <w:p>
      <w:pPr>
        <w:spacing w:after="100"/>
      </w:pPr>
      <w:r>
        <w:t xml:space="preserve">Tres tendencias: la bicicleta eléctrica sube el contenido por bicicleta y favorece a Shimano, que vende motor y transmisión; los fabricantes chinos de componentes ganan terreno en la gama baja y presionan precios, y la gama alta se mueve por ciclos de producto (los grupos nuevos de 2027 deberían reactivar compras aplazadas) [31, 34, 40]. La pesca crece fuera de Japón [25]. En conjunto, Shimano conserva la gama media y alta, pero la gama baja se erosiona.</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componentes de bicicleta; segundo actor relevante, SRAM (privada, sin cuentas públicas). Cuota no publicada por la empresa ni por un estudio accesible.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SRAM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transmisiones de carretera y montaña; privada, sin cuentas públicas.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Fox Factory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FOXF</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Suspensiones y componentes (y vehículos); guía de ventas de 2026: 1.328-1.416 M USD; pérdidas en los últimos 12 meses [35, 41].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Globeride (Daiwa)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7990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Principal rival en pesca; capitalización de 52.200 M JPY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Estándar de compatibilidad y red mundial de tiendas y mecánicos formados en Shimano; no es un efecto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fabricantes diseñan cuadros y gamas con años de antelación sobre los componentes de Shimano; el recambio sigue al equipo de origen.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Dura-Ace, Ultegra, XTR y Deore; estándar del sector desde los años ochenta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del 27 % en 2022 y del 11 % en el fondo del ciclo (2025), con Fox en pérdidas [10, 24].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componentes de gama media-alta con dos actores globales; las plantas de Japón, Singapur y Malasia dan una escala que un entrante no replica [11].</w:t>
            </w:r>
          </w:p>
        </w:tc>
      </w:tr>
    </w:tbl>
    <w:p>
      <w:pPr>
        <w:spacing w:after="160" w:before="0"/>
      </w:pPr>
    </w:p>
    <w:p>
      <w:pPr>
        <w:pStyle w:val="Heading2"/>
      </w:pPr>
      <w:r>
        <w:t xml:space="preserve">Amenazas</w:t>
      </w:r>
    </w:p>
    <w:p>
      <w:pPr>
        <w:spacing w:after="100"/>
      </w:pPr>
      <w:r>
        <w:t xml:space="preserve">La amenaza principal es la competencia china en gama baja y media, que con el exceso de inventario ha ganado espacio en bicicletas baratas y presiona el precio; probabilidad media y efecto sobre el margen más que sobre la cuota en gama alta [31, 32]. SRAM sigue siendo el rival en gama alta con transmisiones inalámbricas. La retirada de las bielas Hollowtech II (provisión de 7.500 M en 2025) dañó la reputación de calidad, aunque sin pérdida visible de cuota [15]. En pesca, Daiwa (Globeride) compite en precio [42].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546.515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628.909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474.362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450.993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466.243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t xml:space="preserve">Crecimiento anual compuesto 2021-2025: ingresos </w:t>
      </w:r>
      <w:r>
        <w:rPr>
          <w:b/>
          <w:bCs/>
        </w:rPr>
        <w:t xml:space="preserve">-3,9 %</w:t>
      </w:r>
      <w:r>
        <w:t xml:space="preserve">, EBITDA </w:t>
      </w:r>
      <w:r>
        <w:rPr>
          <w:b/>
          <w:bCs/>
        </w:rPr>
        <w:t xml:space="preserve">-17,1 %</w:t>
      </w:r>
      <w:r>
        <w:t xml:space="preserve">, BPA </w:t>
      </w:r>
      <w:r>
        <w:rPr>
          <w:b/>
          <w:bCs/>
        </w:rPr>
        <w:t xml:space="preserve">-25,4 %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Las ventas pasaron de 378.040 M JPY en 2020 a un pico de 628.909 M en 2022 con la demanda de la pandemia, cayeron un 24,6 % en 2023 y un 4,9 % en 2024 por el exceso de inventario de los fabricantes, y en 2025 volvieron a crecer un 3,4 %, con la bicicleta de nuevo al alza por primera vez desde 2022 [3, 23, 37, 69, 70]. El margen EBITDA bajó del 30,2 % de 2022 al 16,9 % de 2025: menos volumen sobre costes fijos, la nueva capacidad de Singapur amortizándose y el yen [3, 5, 24]. En 2025 el beneficio neto cayó un 55,5 % hasta 33.991 M por las diferencias de cambio de la caja en divisas; la divisa también restó 19.600 M al resultado de explotación [2, 15]. En el 1S26 las ventas suben un 4,1 % y el resultado de explotación baja un 3,1 %; el beneficio neto se multiplica por siete con ganancias de cambio y la venta de un activo [8, 11]. La guía de 2026 (julio) es de 491.000 M de ventas, 47.000 M de explotación (−9,1 %) y 43.000 M de beneficio neto [10].</w:t>
      </w:r>
    </w:p>
    <w:p>
      <w:pPr>
        <w:pStyle w:val="Heading2"/>
      </w:pPr>
      <w:r>
        <w:t xml:space="preserve">Ajustes y partidas no recurrentes</w:t>
      </w:r>
    </w:p>
    <w:p>
      <w:pPr>
        <w:spacing w:after="100"/>
      </w:pPr>
      <w:r>
        <w:t xml:space="preserve">Usamos cifras publicadas. El beneficio neto de Shimano lo mueven partidas no operativas: diferencias de cambio de una caja de ≈460.000 M JPY, en buena parte en divisas (ganancia en 2024 y 2026, pérdida en 2025), plusvalías por venta de activos (1S26) y provisiones de garantía (7.500 M dotados en 2025 por las bielas Hollowtech II) [11, 15]. Por eso el BPA del objetivo a 12 meses y el PER histórico van en base recurrente: resultado de explotación más 5.000 M de ingresos financieros, con un impuesto del 29 % (estimación propia). Gastos generales y coste de ventas de Stock Analysis y Yahoo [3, 27]; impuesto de MarketScreener [7]. El LTM a junio de 2026 (ventas 475.893 M, explotación 50.805 M, beneficio neto 57.980 M) incluye la plusvalía del 1S26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129.415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abril (1T26) la dirección habló de un primer trimestre flojo: ventas +3,6 % y resultado de explotación −35,6 %, con la bicicleta plana (−0,7 %) y su margen a la mitad por la divisa, más gastos generales y la comparación con un ajuste de inventario de 2.500 M en el 1T25; culpó a los aranceles de EE. UU. y al riesgo geopolítico, y dijo que el inventario en Europa sigue «algo alto» [13, 14, 26, 33]. En julio (2T26) el tono mejoró: el 2T26 batió al consenso, la pesca creció un 17,4 % en el semestre con un resultado un 59,8 % mayor, y la guía de ventas subió a 491.000 M y la de beneficio neto a 43.000 M, aunque la de explotación se mantuvo en 47.000 M por la presión de costes [9, 10, 12, 29]. No se han podido leer las transcripciones: lo que más preguntan los analistas (según la prensa) es cuándo se normaliza el inventario en China y Norteamérica y cuánto ayudarán los grupos nuevos de gama alta previstos para 2027 [28, 40].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705.400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826.400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800.800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958.953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534.045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-534.045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882.000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938.250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867.881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El balance es el de una empresa con más caja de la que necesita: efectivo de 459.116 M JPY a junio de 2026 (≈30 % de la capitalización) y un patrimonio del 92,5 % del activo [1, 12]. La caja bajó desde 534.045 M en 2024 por la recompra de ≈50.000 M y el dividendo de 2025 [6, 21]. No hemos podido leer existencias ni clientes: el circulante, que fue el problema del ciclo en los fabricantes, no se puede seguir en este informe (hueco).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354.973</w:t>
      </w:r>
      <w:r>
        <w:t xml:space="preserve">, conversión </w:t>
      </w:r>
      <w:r>
        <w:rPr>
          <w:b/>
          <w:bCs/>
        </w:rPr>
        <w:t xml:space="preserve">85 %</w:t>
      </w:r>
      <w:r>
        <w:t xml:space="preserve"> del beneficio neto; adquisiciones 0, dividendos 29.700, recompras 49.990.</w:t>
      </w:r>
    </w:p>
    <w:p>
      <w:pPr>
        <w:spacing w:after="100"/>
      </w:pPr>
      <w:r>
        <w:t xml:space="preserve">El flujo operativo fue de 112.439 M en 2021 y bajó a 63.780 M en 2025 por el menor beneficio, mientras el capex subió de 16.156 M a 35.519 M con la planta de Singapur y la inversión en Japón (≈33.000 M anunciados en 2021) [4, 24]. La caja libre pasó de 96.283 M a 28.261 M: la conversión de 2025 es baja porque el capex está por encima de la amortización (1,3 veces) y porque el capital circulante aún no ha liberado todo el inventario. Estimamos que el capex de mantenimiento es del orden de la amortización (≈27.000 M) y el resto, ampliación de capacidad que hoy está infrautilizada (estimación propia). En 2025 la retribución (≈80.000 M entre recompra y dividendo) superó tres veces la caja libre: se pagó con la caja acumulada [2, 22].</w:t>
      </w:r>
    </w:p>
    <w:p>
      <w:pPr>
        <w:pStyle w:val="Heading1"/>
      </w:pPr>
      <w:r>
        <w:t xml:space="preserve">9. Calidad contable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373.134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-21,6 % · </w:t>
      </w:r>
      <w:r>
        <w:rPr>
          <w:b/>
          <w:bCs/>
        </w:rPr>
        <w:t xml:space="preserve">WACC</w:t>
      </w:r>
      <w:r>
        <w:t xml:space="preserve">: 8,3 %.</w:t>
      </w:r>
    </w:p>
    <w:p>
      <w:pPr>
        <w:spacing w:after="100"/>
      </w:pPr>
      <w:r>
        <w:t xml:space="preserve">El ROIC que calcula el motor cae del 39,8 % en 2023 al 8,4 % en 2025, con un WACC del 8,31 %: hoy apenas cubre su coste de capital. La cifra está deprimida por el fondo del ciclo (margen EBITDA del 16,9 % frente al 30 % de 2022) y mal medida, porque sin existencias ni inmovilizado el capital invertido se calcula como patrimonio menos caja y recoge inversiones financieras [6]. Con el margen de 2023 el ROIC sería de dos dígitos. El ROIC incremental es negativo porque la empresa amplió capacidad (capex de 36.824 M en 2024) justo cuando el beneficio caía [4]. ROE del 3,9 % en 2025: una caja de ≈460.000 M que rinde poco diluye la rentabilidad del accionista.</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-459.116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Efectivo y equivalentes de 459.116 M JPY a 30-jun-2026, sin deuda financiera [12,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emite deuda)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Shimano no tiene deuda financiera ni rating [30]. El pasivo es casi todo comercial: 58.900 M de pasivo corriente frente a 938.250 M de activo [1, 6]. La provisión de garantía por las bielas Hollowtech II (7.500 M dotados en 2025 para 2026) es el pasivo contingente más visible [15]. Sin pensiones relevantes en las fuentes disponibles; sin arrendamientos en balance (normas japonesas).</w:t>
      </w:r>
    </w:p>
    <w:p>
      <w:pPr>
        <w:pStyle w:val="Heading1"/>
      </w:pPr>
      <w:r>
        <w:t xml:space="preserve">12. Asignación de capital</w:t>
      </w:r>
    </w:p>
    <w:p>
      <w:pPr>
        <w:pStyle w:val="Confianza"/>
        <w:spacing w:after="100"/>
      </w:pPr>
      <w:r>
        <w:t xml:space="preserve">Confianza: Media</w:t>
      </w:r>
    </w:p>
    <w:p>
      <w:pPr>
        <w:spacing w:after="100"/>
      </w:pPr>
      <w:r>
        <w:t xml:space="preserve">Dividendo creciente: 309 JPY en 2024, 339 JPY en 2025 y 363 JPY previstos para 2026 (≈2,0 % al precio actual), aunque el beneficio cayó [10, 15]. Recompras: 2.603.300 acciones por 49.990 M en 2025, con amortización posterior (acciones emitidas de 89,07 M a 86,47 M) [19, 21]. Autocartera de 1,54 M acciones a junio de 2026 [20]. La prioridad declarada es invertir en capacidad y producto y devolver el excedente; la caja sigue siendo un 30 % de la capitalización.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Shimano invierte en su propio negocio (capacidad en Singapur y Japón) y no compra empresas. La ampliación de 2021-2024 llegó tarde: se decidió en el pico y entró en servicio con la demanda hundida, lo que explica parte de la caída del margen (capex 1,3-1,5 veces la amortización en 2024-25) [4, 24]. La recompra de 2025 (≈3 % del capital) a 17.000-20.000 JPY fue sensata para una caja ociosa, pero el capital sigue sobredimensionado: la caja rinde poco y genera volatilidad de cambio en el beneficio. Una política explícita de retorno de caja sería el principal catalizador de capital.</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Yozo Shimano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 (Chairman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familia fundadora; primer ejecutivo desde marzo de 2021, periodo del pico de la pandemia y de la corrección posterior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Taizo Shimano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representante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 la familia fundadora; firma como presidente los avisos de la empresa en 2026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beneficio neto se rebajó dos veces durante el año (la segunda, en julio de 2025, provocó una caída del 23 % en un día)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de 33.991 M JPY (−55,5 %)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ventas 467.000 M, resultado de explotación 47.000 M y beneficio neto 42.000 M; julio: ventas 491.000 M y beneficio neto 43.000 M, explotación sin cambios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247.059 M (50 % de la guía) y explotación 27.249 M (58 %)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Gestión familiar estable: Yozo Shimano preside y es primer ejecutivo desde 2021 y Taizo Shimano es presidente [43, 44]. Antigüedad media del consejo de 10,4 años [44, 45]. La credibilidad de las previsiones es irregular: en 2025 la empresa rebajó dos veces la guía de beneficio neto y la acción cayó un 23 % en un día [46]; en 2026 cumple de momento (58 % del resultado de explotación anual en el primer semestre). No hay plan de sucesión público fuera de la familia.</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Yozo Shimano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Taizo Shimano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representante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Kazuo Ichijo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Mitsuhiro Katsumaru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Sadayuki Sakakibara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1.539.103 acciones a 30-jun-2026; la empresa amortizó acciones tras la recompra de 2025 (emitidas: 89,07 M a fin de 2024 y 86,47 M a fin de 2025) [19,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el informe de remuneraciones ni el Securities Report. En Japón la remuneración no se vota cada año; la de los directivos de Shimano es moderada para el tamaño de la empresa según la práctica japonesa, pero no podemos confirmar métricas ni pesos (hueco).</w:t>
      </w:r>
    </w:p>
    <w:p>
      <w:pPr>
        <w:pStyle w:val="Heading2"/>
      </w:pPr>
      <w:r>
        <w:t xml:space="preserve">Operaciones vinculadas, estructura de control y defensas</w:t>
      </w:r>
    </w:p>
    <w:p>
      <w:pPr>
        <w:spacing w:after="100"/>
      </w:pPr>
      <w:r>
        <w:t xml:space="preserve">Empresa familiar: la familia Shimano ocupa la presidencia del consejo y la presidencia ejecutiva, y decide de hecho la sucesión, aunque su participación directa no se ha podido verificar. Una acción, un voto; sin clases de acciones. Tratamos a la familia como accionista de control a efectos del criterio de gobierno. Los independientes (tres según Simply Wall St) no se han podido comprobar en el informe de gobierno [44].</w:t>
      </w:r>
    </w:p>
    <w:p>
      <w:pPr>
        <w:pStyle w:val="Heading2"/>
      </w:pPr>
      <w:r>
        <w:t xml:space="preserve">Señales de alerta</w:t>
      </w:r>
    </w:p>
    <w:p>
      <w:pPr>
        <w:pStyle w:val="ListParagraph"/>
        <w:numPr>
          <w:ilvl w:val="0"/>
          <w:numId w:val="2"/>
        </w:numPr>
        <w:spacing w:after="60"/>
      </w:pPr>
      <w:r>
        <w:t xml:space="preserve">Dos rebajas de la guía de beneficio neto en 2025; la segunda, en julio de 2025, provocó una caída del 23 % en un día [46].</w:t>
      </w:r>
    </w:p>
    <w:p>
      <w:pPr>
        <w:pStyle w:val="ListParagraph"/>
        <w:numPr>
          <w:ilvl w:val="0"/>
          <w:numId w:val="2"/>
        </w:numPr>
        <w:spacing w:after="60"/>
      </w:pPr>
      <w:r>
        <w:t xml:space="preserve">Datos de gobierno sin verificar en el informe de gobierno corporativo (no accesible desde este entorno).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Febrero de 2026: ventas de 467.000 M JPY (+0,2 %), resultado de explotación de 47.000 M (−9,1 %) y beneficio neto de 42.000 M [13, 14]. El 28-jul-2026 subió las ventas a 491.000 M (+5,3 %), el resultado ordinario a 56.000 M y el beneficio neto a 43.000 M, con el de explotación sin cambios (47.000 M) por los costes; dividendo de 363 JPY [10, 11]. La empresa prevé un BPA de 511,3 JPY para 2026 [62]. No hay plan a medio plazo con cifras publicado en las fuentes disponibles. Próximos resultados (9 meses): 27-oct-2026 [47,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7"/>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(12 analistas) [29]; dividendo: guía de la empresa [10]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490.954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76.098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19.214,50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El BPA de 2026 del consenso (563 JPY, 12 analistas, julio) cayó un 17 % frente al de 2025 antes de la subida de guía de julio [29]; Stockopedia da 546 JPY para el próximo ejercicio [52]. Los objetivos medios han subido en 2026: de ≈18.046 JPY (11 analistas) a 19.214,5 JPY (10 analistas: 2 comprar, 7 mantener, 1 vender) [50, 51]; TipRanks da ≈19.901 con solo 3 analistas [60]. Traders Web subió su previsión de resultado de explotación de 2027 por los grupos nuevos de gama alta [40]. Solo hemos podido contrastar el BPA de 2026; 2027e y 2028e quedan como hueco.</w:t>
      </w:r>
    </w:p>
    <w:p>
      <w:pPr>
        <w:pStyle w:val="Heading1"/>
      </w:pPr>
      <w:r>
        <w:t xml:space="preserve">17. Múltiplos frente a su historia</w:t>
      </w:r>
    </w:p>
    <w:p>
      <w:pPr>
        <w:pStyle w:val="Confianza"/>
        <w:spacing w:after="100"/>
      </w:pPr>
      <w:r>
        <w:t xml:space="preserve">Confianza: Media</w:t>
      </w:r>
    </w:p>
    <w:p>
      <w:pPr>
        <w:spacing w:after="160" w:before="0"/>
      </w:pPr>
    </w:p>
    <w:p>
      <w:pPr>
        <w:spacing w:after="100"/>
      </w:pPr>
      <w:r>
        <w:t xml:space="preserve">Shimano ha cotizado casi siempre a 30-38 veces su beneficio recurrente fuera de los años de pico: 35,9x en 2020, 31,3x en 2023, 38,4x en 2024 y 36,0x en 2025 (2021-2022 a 15-26x sobre beneficios de pandemia, excluidos) [18, 49]. Hoy cotiza a 34,8x nuestro BPA de 2027e: en la mitad baja de su rango, pero muy por encima de los comparables. El precio de cierre anual bajó de 30.660 JPY en 2021 a 16.535 en 2025 [49]; en 2026 fue de 15.320 JPY (9-jun) a 21.530 (30-jul, tras la subida de guía) y desde septiembre (19.255 el 4-sep) ha vuelto a 17.845 [47, 48, 61]. Lo estructural que ha cambiado es el tipo de interés: con el bono japonés al 3,1 % (frente a ≈0 % en 2020) [57], un PER de 35x implica una rentabilidad por beneficio inferior a la del bono.</w:t>
      </w:r>
    </w:p>
    <w:p>
      <w:pPr>
        <w:pStyle w:val="Heading1"/>
      </w:pPr>
      <w:r>
        <w:t xml:space="preserve">18. Comparables cotizados</w:t>
      </w:r>
    </w:p>
    <w:p>
      <w:pPr>
        <w:pStyle w:val="Confianza"/>
        <w:spacing w:after="100"/>
      </w:pPr>
      <w:r>
        <w:t xml:space="preserve">Confianza: Baja</w:t>
      </w:r>
    </w:p>
    <w:p>
      <w:pPr>
        <w:spacing w:after="100"/>
      </w:pPr>
      <w:r>
        <w:t xml:space="preserve">No hay comparable puro: SRAM no cotiza y Fox Factory tiene pérdidas. Usamos empresas de ocio y equipamiento deportivo con marca y fabricación propias: Globeride (Daiwa, rival en pesca), Thule (accesorios de ciclismo), Giant (fabricante y cliente de bicicletas), y Bandai Namco, Asics y Amer Sports como marcas de ocio japonesas e internacionales con márgenes parecidos [42, 53, 54, 55, 56]. Fox Factory queda fuera por BPA negativo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Shimano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1.516.647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Globeride (Daiwa)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Thule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Giant Manufacturing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Bandai Namco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Amer Sports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13,7x / 14,6x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17.591,27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18.053,71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18.839,85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18,3x / 21,2x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9.120,60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10.302,90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11.949,68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475.893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 / 2,4x / 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18.849,50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19.045,47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21.453,22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7" name="Gráfico 17"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 mediana del PER de los próximos 12 meses es de 18,3x, frente a 31,7x de Shimano: el mercado le paga una prima del 70 % por la marca, el balance y la expectativa de recuperar márgenes del 25-30 %. Por comparables, Shimano valdría 9.121-11.950 JPY, muy por debajo del precio. El descuento de Globeride (9,2x) recuerda cuánto se paga por un fabricante japonés de pesca sin el foso de Shimano. Usamos los comparables con poco peso (20 %) porque sus datos son de proveedores y fechas distintas y ninguno replica el negocio; sí sirven para fijar el techo del escenario alcista a 12 meses.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con la guía de julio (491.000 M, +5,3 %) [10]. 2027-28e +4,0 %: volumen +2 % con la normalización del inventario y los grupos nuevos de gama alta [40], y precio +2 % (subidas de 2026 y mezcla) [38]. Después, 3,0-3,5 % y 2,5 % al final: el mercado de la bicicleta crece despacio, y la pesca algo más rápido [25]. Es menos que el 4,2 % anual de 2019-2025 con el pico incluido (de 363.230 M a 466.243 M) [3, 71].</w:t>
      </w:r>
    </w:p>
    <w:p>
      <w:pPr>
        <w:keepNext/>
        <w:spacing w:after="100"/>
      </w:pPr>
      <w:r>
        <w:rPr>
          <w:b/>
          <w:bCs/>
        </w:rPr>
        <w:t xml:space="preserve">Márgenes.</w:t>
      </w:r>
    </w:p>
    <w:p>
      <w:pPr>
        <w:spacing w:after="100"/>
      </w:pPr>
      <w:r>
        <w:t xml:space="preserve">Margen EBITDA del 15,5 % en 2026e (47.000 M de explotación + ≈29.000 M de amortización) [10], recuperándose hasta el 20 % en 2031e: por debajo del 22,7 % de 2023 y muy lejos del 30 % de 2021-22 [3]. La palanca es el volumen sobre una capacidad ampliada; el freno, el yen y la competencia en gama baja. Es el supuesto que más mueve el valor: cada punto de margen vale ≈700 JPY por acción (estimación con las sensibilidades del motor).</w:t>
      </w:r>
    </w:p>
    <w:p>
      <w:pPr>
        <w:keepNext/>
        <w:spacing w:after="100"/>
      </w:pPr>
      <w:r>
        <w:rPr>
          <w:b/>
          <w:bCs/>
        </w:rPr>
        <w:t xml:space="preserve">Inversión y circulante.</w:t>
      </w:r>
    </w:p>
    <w:p>
      <w:pPr>
        <w:spacing w:after="100"/>
      </w:pPr>
      <w:r>
        <w:t xml:space="preserve">Capex del 8,0 % de las ventas en 2026-27e y del 7,5 % después, frente al 7,6 % de 2025 y una amortización del 6 % [4, 5]. Como no tenemos existencias ni clientes, el circulante va a 0 y su crecimiento (≈30 % de las ventas incrementales, estimación propia) va sumado al capex: 1-1,5 puntos de ventas.</w:t>
      </w:r>
    </w:p>
    <w:p>
      <w:pPr>
        <w:keepNext/>
        <w:spacing w:after="100"/>
      </w:pPr>
      <w:r>
        <w:rPr>
          <w:b/>
          <w:bCs/>
        </w:rPr>
        <w:t xml:space="preserve">Coste del capital.</w:t>
      </w:r>
    </w:p>
    <w:p>
      <w:pPr>
        <w:spacing w:after="100"/>
      </w:pPr>
      <w:r>
        <w:t xml:space="preserve">Todo en JPY. Tasa libre del 3,089 % (bono japonés a 10 años, 8-oct-2026, Ministerio de Finanzas) [57]. Beta de 0,95 (estimación propia: no hemos podido leer la beta de la acción; las de Keyence y Fanuc en este repositorio son 1,05-1,26 y Shimano es menos cíclica que la maquinaria), prima de mercado del 5,5 % y sin prima adicional. Sin deuda, el WACC es el coste del capital: 8,31 %. Con la prima implícita del mercado (4,2 %) [58], el WACC baja al 7,08 %.</w:t>
      </w:r>
    </w:p>
    <w:p>
      <w:pPr>
        <w:keepNext/>
        <w:spacing w:after="100"/>
      </w:pPr>
      <w:r>
        <w:rPr>
          <w:b/>
          <w:bCs/>
        </w:rPr>
        <w:t xml:space="preserve">Valor terminal.</w:t>
      </w:r>
    </w:p>
    <w:p>
      <w:pPr>
        <w:spacing w:after="100"/>
      </w:pPr>
      <w:r>
        <w:t xml:space="preserve">Crecimiento a perpetuidad del 2,0 % en JPY: inflación japonesa de ≈2 % sin crecimiento real, por debajo de la tasa libre menos medio punto (2,59 %). El valor terminal pesa un 60 %. El múltiplo de salida de contraste (12x EBITDA) está en línea con la mediana de los comparables (12,3x NTM) [55, 56].</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490.954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634.031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27.332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886.078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1.559.715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710.533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1.168.029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13.743,13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16.065,59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16.935,78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15.044,06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15.724,03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14.199,31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14.741,34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13.489,30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13.928,55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12.572,71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12.884,30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13.245,24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12.808,04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13.582,90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14.357,77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15.016,90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15.847,62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13.894,17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14.518,55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15.188,65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15.907,50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16.678,34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91.640 M (17 %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(ROIC 8,4 %)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 (histórico: -21,6 %)</w:t>
            </w:r>
          </w:p>
        </w:tc>
      </w:tr>
    </w:tbl>
    <w:p>
      <w:pPr>
        <w:spacing w:after="160" w:before="0"/>
      </w:pPr>
    </w:p>
    <w:p>
      <w:pPr>
        <w:spacing w:after="100"/>
      </w:pPr>
      <w:r>
        <w:t xml:space="preserve">La proyección reinvierte el 17 % del NOPAT. Con el ROIC del último ejercicio (8,4 %), eso financia un crecimiento del 1,5 % anual, frente al 3,4 % de ingresos proyectado. Supone que el capital nuevo rinde un 36,4 %, frente a un ROIC incremental histórico del -21,6 %.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julio: volumen +1,5 % (bicicleta plana, pesca +17 % en el 1S26), precio +1,5 % (subidas de componentes) y +2,3 % de divisa por el yen débil [10, 12, 38].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por la normalización del inventario en Europa y los grupos nuevos de gama alta; precio +2 % [38, 40].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y precio +2 %: segundo año del ciclo de producto.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en línea con el mercado y precio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+2 % y precio +1,5 %: crecimiento de crucero.</w:t>
            </w:r>
          </w:p>
        </w:tc>
      </w:tr>
    </w:tbl>
    <w:p>
      <w:pPr>
        <w:spacing w:after="160" w:before="0"/>
      </w:pPr>
    </w:p>
    <w:p>
      <w:pPr>
        <w:spacing w:after="100"/>
      </w:pPr>
      <w:r>
        <w:t xml:space="preserve">En parte. El crecimiento de ventas proyectado (3,4 % anual) es modesto frente al 4,2 % de 2019-2025 y se apoya en volumen y precio, no en ganar cuota [3, 23]. El foso (estándar del sector, escala y marca) sostiene precio y cuota. Pero la prueba de reinversión falla: al ROIC de fondo de ciclo (8,4 %) la reinversión solo financia un 1,5 % anual, y la proyección supone que el capital nuevo rinde un 36,4 %, porque el aumento del NOPAT viene de recuperar margen (del 15,5 % al 20 %) con la capacidad ya construida. Hemos rebajado el base (crecimiento de 3,7 % a 3,4 % y margen final de 21 % a 20 %); recortar más supondría que el margen no vuelve nunca al de 2023, algo que no ha pasado en la historia de la empresa. La prueba de cuota no se puede hacer (cuota no publicada).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(WACC: 8,3 %)</w:t>
            </w:r>
          </w:p>
        </w:tc>
      </w:tr>
    </w:tbl>
    <w:p>
      <w:pPr>
        <w:spacing w:after="160" w:before="0"/>
      </w:pPr>
    </w:p>
    <w:p>
      <w:pPr>
        <w:spacing w:after="100"/>
      </w:pPr>
      <w:r>
        <w:t xml:space="preserve">El DCF da 13.743,13 JPY por acción, un 23,0 % por debajo del precio, con un WACC del 8,31 % y un valor terminal que pesa el 60 %. El rango de sensibilidad (WACC y crecimiento ± 0,5 puntos) va de 12.790,97 a 15.044,06 JPY: el precio queda por encima incluso del extremo alto. El DCF inverso dice que a 17.845 JPY el mercado descuenta un crecimiento del 8,8 % anual de 2027 a 2035 (frente a nuestro 3,2 %) o un margen EBITDA del 25,7 % (frente a nuestro 20 %); dicho de otra forma, el precio solo rinde un 6,3 % anual, menos que nuestro coste de capital. Es exigente: supone volver a márgenes de 2021-22 sin la demanda de la pandemia. Con la prima implícita del mercado (WACC del 7,08 %), el DCF sube a 15.832,11 JPY y sigue por debajo del precio. La caja (≈5.400 JPY por acción) amortigua la caída, pero no basta.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10.327,90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inventario de la cadena tarda dos años más en normalizarse, la competencia china presiona el precio y el yen se aprecia: el margen se queda en el 17 % (como 2025) y las ventas crecen menos del 1 % al año. Es lo que pasó en 2023-2025.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lenta: volumen +2 % y precio +1,5-2 % al año, y el margen EBITDA sube del 15,5 % al 20 % en 2031e con la capacidad ya construida.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16.678,34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grupos nuevos de 2027 y la bicicleta eléctrica reactivan la gama alta: ventas +5 % al año y margen del 22 %, cerca del de 2023. Aun así, el DCF queda por debajo del precio.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JPY) · precio actual 17.84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13.623,13 JPY (-23,7 %).</w:t>
      </w:r>
    </w:p>
    <w:p>
      <w:pPr>
        <w:spacing w:after="100"/>
      </w:pPr>
      <w:r>
        <w:t xml:space="preserve">El DCF da 10.327,90 JPY en el bajista (−42,1 %), 13.743,13 en el base (−23,0 %) y 16.678,34 en el alcista (−6,5 %): los tres por debajo del precio. Asimetría negativa: ni el alcista justifica el precio con nuestro coste de capital. El valor ponderado es de 13.623,13 JPY. El mercado no valora a Shimano por DCF sino por PER de recuperación, y por eso la decisión la toma el objetivo a 12 meses, que sí deja recorrido.</w:t>
      </w:r>
    </w:p>
    <w:p>
      <w:pPr>
        <w:pStyle w:val="Heading1"/>
      </w:pPr>
      <w:r>
        <w:t xml:space="preserve">22. Suma de partes</w:t>
      </w:r>
    </w:p>
    <w:p>
      <w:pPr>
        <w:pStyle w:val="Confianza"/>
        <w:spacing w:after="100"/>
      </w:pPr>
      <w:r>
        <w:t xml:space="preserve">Confianza: Baja</w:t>
      </w:r>
    </w:p>
    <w:p>
      <w:pPr>
        <w:spacing w:after="100"/>
      </w:pPr>
      <w:r>
        <w:t xml:space="preserve">No aplica: bicicleta (76 % de las ventas) y pesca (24 %) se podrían valorar por separado, pero no hay comparables cotizados limpios de componentes de bicicleta y la pesca es demasiado pequeña para cambiar la conclusión.</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JPY) · precio actual 17.84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10.302,90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11.949,68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15.044,06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16.678,34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15.832,11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17.001,20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17.934,22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13.019,08 JPY (-27,0 % sobre 17.845,00).</w:t>
      </w:r>
    </w:p>
    <w:p>
      <w:pPr>
        <w:spacing w:after="100"/>
      </w:pPr>
      <w:r>
        <w:t xml:space="preserve">El DCF pesa un 50 %: Shimano no tiene deuda y genera caja, y el valor depende de un supuesto observable (el margen). Los escenarios pesan un 30 % por la incertidumbre del ciclo, y los comparables un 20 %, porque ninguno replica el negocio. Todos los métodos quedan por debajo del precio: el valor objetivo es de 13.019,08 JPY (−27,0 %). La dispersión es grande (comparables 10.302,90; DCF 13.743,13): el precio de 17.845 JPY solo se justifica con el PER histórico de Shimano, que es lo que usa el objetivo a 12 meses.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13.728,18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20.625,96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25.027,80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+42,2 %</w:t>
            </w:r>
          </w:p>
        </w:tc>
      </w:tr>
    </w:tbl>
    <w:p>
      <w:pPr>
        <w:spacing w:after="160" w:before="0"/>
      </w:pPr>
    </w:p>
    <w:p>
      <w:pPr>
        <w:spacing w:after="100"/>
      </w:pPr>
      <w:r>
        <w:rPr>
          <w:b/>
          <w:bCs/>
        </w:rPr>
        <w:t xml:space="preserve">Objetivo a 12 meses (ponderado):</w:t>
      </w:r>
      <w:r>
        <w:t xml:space="preserve"> 20.001,97 JPY · rentabilidad +14,1 % (base +17,6 %) · señal Mantener.</w:t>
      </w:r>
    </w:p>
    <w:p>
      <w:pPr>
        <w:keepNext/>
        <w:spacing w:after="100"/>
      </w:pPr>
      <w:r>
        <w:rPr>
          <w:b/>
          <w:bCs/>
        </w:rPr>
        <w:t xml:space="preserve">Frente al consenso (solo contraste).</w:t>
      </w:r>
    </w:p>
    <w:p>
      <w:pPr>
        <w:spacing w:after="100"/>
      </w:pPr>
      <w:r>
        <w:t xml:space="preserve">Nuestro base (20.625,96 JPY) queda un 7,3 % por encima del objetivo medio de los analistas (19.214,50 JPY; 10 analistas, mayoría «mantener»). Nuestro BPA de 2026e en base recurrente (≈434 JPY con el resultado de explotación guiado) es menor que el del consenso (563 JPY), que incluye las ganancias de cambio y la plusvalía del 1S26 [29]. La diferencia sale del múltiplo: la regla común toma el PER actual (34,8x), dentro del rango histórico de Shimano (31-38x), mientras los objetivos de los analistas implican ≈30x sobre su BPA de 2027e.</w:t>
      </w:r>
    </w:p>
    <w:p>
      <w:pPr>
        <w:keepNext/>
        <w:spacing w:after="100"/>
      </w:pPr>
      <w:r>
        <w:rPr>
          <w:b/>
          <w:bCs/>
        </w:rPr>
        <w:t xml:space="preserve">Del valor intrínseco al objetivo a 12 meses.</w:t>
      </w:r>
    </w:p>
    <w:p>
      <w:pPr>
        <w:spacing w:after="100"/>
      </w:pPr>
      <w:r>
        <w:t xml:space="preserve">El objetivo a 12 meses (20.001,97 JPY, +14,1 % con el dividendo) queda un 54 % por encima del valor intrínseco (13.019,08 JPY). La distancia es la tesis del mercado: Shimano siempre ha cotizado a 30-38 veces su beneficio, y la regla común supone que lo seguirá haciendo mientras el beneficio se recupera. El DCF, con el bono japonés al 3,1 %, no justifica ese múltiplo. Para cerrar la distancia hacia arriba haría falta un margen del 25 % o más (lo que descuenta el precio); hacia abajo, que el mercado deje de pagar la prima de calidad, que es el bajista (31,3x).</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 meses (3T26) [47, 59]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margen de explotación de bicicleta deja de caer frente al 3T25 y se confirma la guía de 47.000 M, el mercado puede anticipar la recuperación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los grupos nuevos de gama alta reactivan el volumen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grupos nuevos de gama alta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aplazadas que vuelven: más volumen y mejor mezcla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recompra o retorno de caja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≈5.400 JPY de caja por acción, una recompra grande subiría el BPA y el ROE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de EE. UU. y tipo de cambio del yen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yen fuerte o más aranceles recortarían margen y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se recupera (inventario y competencia en gama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 con el dividendo (bajista a 12 meses: 13.728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459.116 M y grupos nuevos de gama alta en 2027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 bicicleta por debajo del 11 %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mercado deja de pagar 35x (tipos japoneses al 3 %)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hasta el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 de PER de 30-38x y caja que amortigua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japonés a 10 años por encima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Apreciación del yen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(la divisa restó 19.600 M de explotación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en Singapur y Malasia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USD/JPY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demanda norteamericana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el mayor mercado, se recupera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Norteamérica del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producto (retirada de bielas Hollowtech II)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(provisión adicional del orden de la de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de 7.500 M ya dotada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dotaciones de garantía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ociosa y gobierno familiar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Mantiene el ROE bajo (3,9 %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50.000 M en 2025 y dividendo creciente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nueva recompra en 2027</w:t>
            </w:r>
          </w:p>
        </w:tc>
      </w:tr>
    </w:tbl>
    <w:p>
      <w:pPr>
        <w:spacing w:after="160" w:before="0"/>
      </w:pPr>
    </w:p>
    <w:p>
      <w:pPr>
        <w:pStyle w:val="Heading2"/>
      </w:pPr>
      <w:r>
        <w:t xml:space="preserve">Pre-mortem</w:t>
      </w:r>
    </w:p>
    <w:p>
      <w:pPr>
        <w:spacing w:after="100"/>
      </w:pPr>
      <w:r>
        <w:t xml:space="preserve">Es octubre de 2029 y la acción vale 10.700 JPY. El inventario de bicicletas en China y Norteamérica tardó hasta 2028 en normalizarse, los fabricantes chinos se quedaron con la gama baja y los grupos nuevos de 2027 vendieron menos de lo esperado porque el ciclista medio aplazó la compra. El margen EBITDA se quedó en el 16-17 %, el yen se apreció con los tipos japoneses al 3,5 % y la divisa volvió a restar beneficio. El mercado, que pagaba 35x esperando la recuperación, bajó el múltiplo a 25x, el de un fabricante maduro. La caja evitó una caída mayor, pero la empresa no la devolvió. La señal que lo habría anticipado: el margen de explotación de bicicleta del 3T26 y del 4T26 sin mejora frente a 2025.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de explotación de bicicleta espera la dirección cuando el inventario se normalice, con la capacidad de Singapur ya amortizándose?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base (margen EBITDA del 20 %) y lo que descuenta el precio (25,7 %).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meses de inventario tienen hoy los fabricantes y las tiendas en Europa, China y Norteamérica?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cuándo vuelve el volumen.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≈460.000 M de caja considera necesaria la empresa y qué hará con el resto?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del 10 % subiría el BPA un 10 % y el ROE.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mantiene tanta caja en divisas y cómo la cubre?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diferencias de cambio movieron el beneficio neto en ±20.000 M en 2024-2026.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grupos nuevos llegan en 2027 y cuánto pesan en las ventas de gama alta?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catalizador de volumen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¿Está cerrada la provisión de garantía de las bielas Hollowtech II?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Provisión de 7.500 M en 2025.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Kabuyoho (señales y valoración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señal de tendencia pasó de «compra» en julio a «venta» en septiembre; por PBR la ve «algo barata»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se lee como gestión activa del capital, pero no compensa las rebajas de guía; el PER (26,8x) parece caro frente al ocio japonés y el DCF de la comunidad, barato [64,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TipRanks (ADR)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Destaca ventas en descenso, la caída del margen de 2025 y del flujo de caja libre como límites para dividendos y recompras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note.com (blogs de inversores japoneses)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Explican que el beneficio neto sube por divisa y partidas no operativas mientras el de explotación cae; uno defiende que la caja permite seguir subiendo la retribución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 tocado fondo el ciclo de la bicicleta?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bicicleta del 1S26 están planas y el margen de ese segmento cae un 15 %: el fondo de volumen parece cerca, el de margen todavía no [12].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inflado por la divisa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el 1S26 suma ganancias de cambio y una venta de activos; el resultado de explotación guiado para 2026 (47.000 M) es un 9 % menor que el de 2025 [10, 11].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y retribución al accionista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≈459.000 M JPY (≈30 % de la capitalización) y dividendo de 363 JPY (2,0 %); la recompra de 2025 fue de ≈50.000 M [10, 12, 21].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exigente por PER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 a ≈32x nuestro BPA de 2027e, pero sin la caja el PER cae a ≈22x; el mercado paga la recuperación del margen.</w:t>
            </w:r>
          </w:p>
        </w:tc>
      </w:tr>
    </w:tbl>
    <w:p>
      <w:pPr>
        <w:spacing w:after="160" w:before="0"/>
      </w:pPr>
    </w:p>
    <w:p>
      <w:pPr>
        <w:spacing w:after="100"/>
      </w:pPr>
      <w:r>
        <w:t xml:space="preserve">El sentimiento de los particulares es dividido y sin extremos: ni capitulación ni euforia. Los que ven valor miran la caja y la recompra; los escépticos, el PER alto y que el beneficio neto lo inflan las diferencias de cambio [64, 65, 66]. Coincide con el consenso de analistas (mayoría de «mantener») y con nuestra lectura: el debate no es si Shimano es una buena empresa, sino cuánto hay que pagar por una recuperación de márgenes que aún no se ve en el resultado de explotación. No hemos podido leer Reddit, Stocktwits ni el tablón de Yahoo!ファイナンス, así que la lectura se apoya en plataformas de análisis para particulares y blogs [63, 67, 68].</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2 explicados. Fuentes: 71 (11 primarias); citas distintas en el texto: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39,5 %: explica la causa (créditos fiscales, regularizaciones, mezcla de países) y no lo proyectes en el DCF. Explicación: El 39,5 % de 2025 sale de impuesto (≈22.200 M) sobre un beneficio antes de impuestos reducido por la pérdida de cambio de la caja en divisas, que no reduce la base fiscal de la misma forma; en 2021-2024 fue del 22-26 %. En el DCF usamos el 29 % (tipo legal japonés de ≈30 % con la mezcla de Singapur y Malasia).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36,4 % frente a un ROIC de 8,4 % y un incremental histórico de -21,6 %: crecimiento que la empresa no ha demostrado poder comprar. Explicación: El ROIC de 2025 (8,4 %) y el incremental negativo son de fondo de ciclo y están mal medidos: sin existencias ni inmovilizado en el balance disponible, el capital invertido se calcula como patrimonio menos caja e incluye inversiones financieras. El aumento de NOPAT de la proyección viene de recuperar margen (del 15,5 % al 20 %, por debajo del 22,7 % de 2023), no de capital nuevo. Rebajamos el base (crecimiento medio de 3,7 % a 3,4 % y margen final de 21 % a 20 %) y dejamos el veredicto en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clientes, proveedores y activo corriente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Kessan Tanshin FY2025 en PDF (no se puede abrir: solo WebSearch); 2) búsqueda en Stock Analysis, Investing y Stockopedia (extractos sin años); 3) búsqueda en japonés (棚卸資産) en IR BANK, Strainer y the-shashi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Patrimonio y caja de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 Investing (solo activo y pasivo corriente); 3) Stock Analysis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y recompras de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de flujos (PDF no accesibles); 2) Stock Analysis y Yahoo (columnas sin año); 3) prensa sobre recompras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opinión y señales contables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Securities Report (PDF no accesible); 2) búsqueda del auditor en prensa; 3) Simply Wall St y TipRanks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geografía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geográficos del Tanshin (PDF no accesible); 2) prensa sectorial (solo tendencias por región); 3) Statista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 de componentes de bicicleta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estudios de mercado (sin cifra fiable en los extractos); 2) Bike Europe y SGI Europe (solo tendencias); 3) cuentas de competidores (SRAM privada)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Shimano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integrado de la empresa (no accesible); 2) prensa sectorial (sin cifra citada); 3) estimación por ventas de competidores (SRAM sin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accesible); 2) MSCI/Sustainalytics (sin extracto); 3) prensa (retirada de bielas Hollowtech 2023 sin cifra actualizada)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del primer ejecutivo, votos de la junta y participación de la familia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corporativo y Securities Report (no accesibles); 2) búsqueda en inglés de resultados de la junta del 24-mar-2026; 3) Simply Wall St y GlobalData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Securities Report (no accesible); 2) web de la empresa (solo autocartera en el extracto); 3) Buffett Code y Kabutan (sin lista)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beta en Stock Analysis y Yahoo (sin extracto); 3) históricos de Nikkei (solo cierres anuales)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en componentes de bicicleta y pesca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no hecha por presupuesto de búsquedas compartido; 2) operaciones conocidas sin múltiplo publicado (compras de capital privado de Accell, 2022);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2027e y 2028e (ventas, EBITDA,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abre con WebFetch, bloqueado); 2) Investing y Simply Wall St (solo 2026e); 3) StocksGuide (cifras contradictorias)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Stocktwits y del tablón de Yahoo!ファイナンス</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Reddit y Seeking Alpha (sin hilos de los últimos tres meses); 2) búsqueda del tablón de Yahoo!ファイナンス y de Minkabu (sin extractos de comentarios); 3) API de Stocktwits (sin acceso: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Results for FY2025 (JGAAP), Kessan Tanshin.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https://finance-frontend-pc-dist.west.edge.storage-yahoo.jp/disclosure/20260210/20260209552874.pdf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Shimano: Consolidated Financial Results for FY2025 (JGAAP).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(copia del comunicado)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https://www.marketscreener.com/news/shimano-consolidated-financial-results-for-fy2025-jgaap-ce7e5adfdd8ef724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(TYO:7309) Financials - Income Statement (2021-2025 y LTM jun-26).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https://stockanalysis.com/quote/tyo/7309/financials/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(TYO:7309) Cash Flow Statement.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https://stockanalysis.com/quote/tyo/7309/financials/cash-flow-statement/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7309:TYO financials (amortización 2023-2025).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https://markets.ft.markitdigital.com/data/equities/tearsheet/financials?s=7309%3ATYO&amp;subView=IncomeStatement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(7309) Balance Sheet / Financial summary (activo, patrimonio, caja y pasivo corriente 2021-2025).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https://www.investing.com/equities/shimano-inc-financial-summary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10-Year Income Statement (impuesto sobre beneficios).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https://uk.marketscreener.com/quote/stock/SHIMANO-INC-438398/finances-income-statement/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(7309) Q2 2026 report: ventas y beneficio del 1S26.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Gyokai Digest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https://www.gyokaidigest.com/en/companies/shimano/report/2026-Q2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raises guidance after strong Q2.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https://sginews.com/Content/shimano-raises-guidance-after-strong-q2.aspx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(7309) Q2 2026 earnings summary (guía revisada, dividendo 363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https://quartr.com/events/shimano-inc-7309-q2-2026_F9ZM0gSU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reports first-half profit surge and raises forecast.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FilingReader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https://filingreader.com/news-wire/tokyo/2026-07-28/shimano-reports-first-half-profit-surge-and-raises-forecast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 Shimano Sees Robust H1 Fishing Tackle Sales; Bike Business Remains Weak (balance y caja a 30-jun-26).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SGB Executive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https://sgbonline.com/exec-shimano-sees-robust-h1-fishing-tackle-sales-bike-business-remains-weak/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Q1 sales flat but operating income down sharply in its bike division.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Bicycle Retailer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https://www.bicycleretailer.com/industry-news/2026/04/23/shimano-q1-sales-flat-operating-income-down-sharply-its-bike-division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Bleak start to 2026 for Shimano as sales drop and operating income slashed by half.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road.cc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https://road.cc/news/bleak-start-to-2026-for-shimano-as-sales-drop-and-operating-income-slashed-by-half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Shimano’s uneven recovery: currency losses wipe out 3% sales growth in 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Velora Cycling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https://veloracycling.com/news/shimano-bicycle-sales-increase-net-income-falls-2025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 Shimano Gets Nice Europe Lift in Bicycle Components in 2025 to Offset Sharp China Decline (segmentos 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SGB Executive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https://sgbonline.com/exec-shimano-gets-nice-europe-lift-in-bicycle-components-in-2025-to-offset-sharp-china-decline/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Supplemental Information FY2025-Q2 (segmentos 2024).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(vía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https://www.marketscreener.com/news/shimano-supplemental-information-fy2025-q2-ce7c5fd9da8eff26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シマノ【7309】業績推移・財務諸表 (BPA 2018-2025).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Strainer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https://strainer.jp/companies/2412/performance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シマノの業績・財務 (acciones emitidas a fin de 2024 y 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Buffett Code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https://www.buffett-code.com/company/7309/financial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株式状況 (acciones emitidas y autocartera a 30-jun-2026).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https://www.shimano.com/jp/ir/stockinformation.html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(TSE:7309) Valuation in Focus After Buyback Completion (2.603.300 acciones por 49.990 M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https://simplywall.st/stocks/jp/consumer-durables/tse-7309/shimano-shares/news/shimano-tse7309-valuation-in-focus-after-buyback-completion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First Half of FY2025 (JGAAP): compra de autocartera 30.019 M y dividendos 13.756 M en el 1S25.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https://finance-frontend-pc-dist.west.edge.storage-yahoo.jp/disclosure/20250729/20250729522091.pdf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announces bike sales +3% in 2020 (ventas 378.040 M, beneficio neto 63.472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Bicycle Retailer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https://bicycleretailer.com/international/2021/02/09/shimano-announces-bike-sales-3-2020-makes-no-mention-supply-chain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Bicycle parts maker Shimano invests $179 million to build Singapore plant.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Caixin (Nikkei)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https://www.caixinglobal.com/2021-07-12/bicycle-parts-maker-shimano-invests-179-million-to-build-singapore-plant-101739154.html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Tackle giant reports double-digit sales increase for first half of year.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Angling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https://angling-international.com/2026/07/29/tackle-giant-reports-double-digit-sales-increase-for-first-half-of-year/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First Quarter of FY2026 (JGAAP).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https://finance-frontend-pc-dist.west.edge.storage-yahoo.jp/disclosure/20260423/20260423508691.pdf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Shimano Inc. (7309.T) Income Statement (gastos de explotación).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https://finance.yahoo.com/quote/7309.T/financials/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Q1 2026 results: five takeaways (inventario en Europa, precios de las bicicletas).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https://www.sgieurope.com/financial-results/shimano-q1-five-takeaways/120743.article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Just Beat Analyst Forecasts (BPA de 2026 del consenso: 563 JPY, 12 analistas).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https://simplywall.st/stocks/jp/consumer-durables/tse-7309/shimano-shares/news/shimano-inc-just-beat-analyst-forecasts-and-analysts-have-be-2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(TYO:7309) Statistics &amp; Valuation Metrics (caja neta 463.720 M, sin deuda, BPA LTM 671,50).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https://stockanalysis.com/quote/tyo/7309/statistics/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sets the bar for industry stabilisation.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Bike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https://onlinemagazine.bike-eu.com/en/edition-march-2026/shimano-sets-the-bar-for-industry-stabilisation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Shimano’s inventory crisis.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https://www.sgieurope.com/financial-results/shimanos-inventory-crisis/119829.article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Shimano’s 2026 crisis deepens: operating income halved as tariffs bite.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BikeTips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https://biketips.com/shimano-2026-sales-drop-operating-income-tariffs/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reports 16% growth in bicycle component sales and signals «signs of recovery» in European market.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BikeRadar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https://www.bikeradar.com/news/shimano-reports-growth-in-bicycle-component-sales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Factory Hldg Reports Q2 2026 Results: Full Earnings Call Transcript.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https://www.benzinga.com/news/26/09/61862484/fox-factory-hldg-reports-q2-2026-results-full-earnings-call-transcript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(historia de la empresa).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https://en.wikipedia.org/wiki/Shimano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performances mixed in 2025 as Shimano reports 3% growth in bike division.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Bicycle Retailer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https://bicycleretailer.com/industry-news/2026/02/10/global-performances-mixed-2025-shimano-reports-3-growth-bike-division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raises component prices: what it means for Shimano stock.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https://www.ad-hoc-news.de/boerse/news/nebenwerte/shimano-raises-component-prices-what-it-means-for-shimano-stock/70228925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Weak home sales buck strong fishing trend at Shimano.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Angling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https://angling-international.com/2026/02/16/weak-home-sales-buck-strong-fishing-trend-at-shimano/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 話題の銘柄 (compras aplazadas a la espera de nuevos grupos de gama alta; subida del resultado de explotación previsto para 2027).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https://www.traders.co.jp/premium/wadai/23872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Factory Holding (FOXF): cotización 18,77 USD y BPA LTM −7,14.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https://ca.finance.yahoo.com/quote/FOXF/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グローブライド(7990): PER予想 9,2 veces; capitalización 52.200 M JPY (7-oct-2026).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https://kabuyoho.jp/reportTarget?bcode=7990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Shimano firmado por Taizo Shimano, presidente y consejero representante.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https://www.shimano.com/en/cms/news/japan/2064469fab8b3a090d56cb2408c72e490d46ae27.pdf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management and board (antigüedad media del equipo 5,4 años y del consejo 10,4 años).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https://simplywall.st/stocks/us/consumer-durables/otc-smnn.y/shimano/management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 Company Profile: executives.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https://www.globaldata.com/company-profile/shimano-inc/executives/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【株価が動いた理由】シマノ −23,33 %: segunda rebaja de la guía de beneficio neto y límite diario a la baja.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PayPay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https://media.paypay-sec.co.jp/cat2/mj250730_2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(株)シマノ【7309】：株価 (cierre del 13-oct-2026: 17.845 JPY; próximos resultados 27-oct-2026).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Yahoo!ファイナンス</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https://finance.yahoo.co.jp/quote/7309.T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 株価 (rango del año: 21.530 el 30-jul-2026 y 15.320 el 9-jun-2026).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Matsui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https://finance.matsui.co.jp/stock/7309/index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 過去10年間の株価推移 (cierres anuales 2020-2025).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Nikkei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https://www.nikkei.com/nkd/company/history/yprice/?scode=7309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(7309) Stock Forecast &amp; Price Target (10 analistas: 2 comprar, 7 mantener, 1 vender; objetivo medio 19.214,5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https://www.investing.com/equities/shimano-inc-consensus-estimates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Stock (7309): consenso.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https://www.marketscreener.com/quote/stock/SHIMANO-INC-6491559/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Share Price, Forecast &amp; Financials (BPA del próximo ejercicio 546 JPY; objetivo 17.787).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https://www.stockopedia.com/share-prices/shimano-TYO:7309/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Thule Group (THUPY): PER adelantado 18,0 (22-jul-2026).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https://finance.yahoo.com/quote/THUPY/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Manufacturing (9921): PER adelantado 15,6.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MuslimXchange (datos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https://muslimxchange.com/ticker/9921-giant-manufacturing-co-ltd/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Bandai Namco (7832): múltiplos recogidos en el informe de ANYCOLOR del 14-oct-2026 de este repositorio (MarketScreener y Stock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informes/anycolor-2026-10-14/datos.json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(7936) y Amer Sports (AS): múltiplos recogidos en el informe de Deckers del 11-oct-2026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informes/deckers-2026-10-11/datos.json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JGB yield curve, constant maturity (10 años: 3,089 %), tomado del informe de ANYCOLOR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 決算・業績進捗 y señales (próximos resultados: 27-oct-2026).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https://kabuyoho.jp/sp/report?bcode=7309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analyst forecast (3 analistas; objetivo medio ≈19.901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https://www.tipranks.com/stocks/jp:7309/forecast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 時系列 (cierres de septiembre de 2026: 19.255 el 4-sep, 18.225 el 18-sep).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https://www.traders.co.jp/stocks/61_7309/historical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シマノ【7309】株の基本情報 (BPA previsto por la empresa para 2026: 511,3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https://kabutan.jp/stock/?code=7309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 señales técnicas y valoración de Shimano (alternan «compra» en julio y «venta» en septiembre de 2026; «algo barata» por PBR).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https://kabuyoho.jp/sp/reportTop?bcode=7309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Did Shimano’s sizable share buyback reveal a new direction for capital allocation? (narrativa de la comunidad).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https://simplywall.st/stocks/jp/consumer-durables/tse-7309/shimano-shares/news/did-shimanos-tse7309-sizable-share-buyback-reveal-a-new-dire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Shimano ADR (SMNNY), puntos bajistas: ventas a la baja, margen de 2025 y caída del flujo de caja libre.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https://www.tipranks.com/stocks/smnny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[Understanding Financial Statement Analysis through Manga] The Shock of a 46% Drop in Operating Profit… (blog de inversor particular).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https://note.com/mangawakaru/n/n247acd3d53c6?hl=en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【決算解説】シマノ（7309）2025年12月期 «Ventas casi planas, beneficio hundido y por qué aún puede aumentar la retribución» (blog de inversor particular).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https://note.com/kabuya66/n/n20f5949b09c2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Shimano P/E 26,8x frente a 14,5x del ocio japonés; DCF de la comunidad muy por encima del precio.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https://simplywall.st/stocks/us/consumer-durables/otc-smnn.y/shimano/valuation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FY2024 (JGAAP).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https://finance.stockweather.co.jp/contents/dispPDF.aspx?disclosure=20250207567352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First Nine Months of FY2025 (JGAAP).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(vía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https://www.marketscreener.com/news/shimano-consolidated-financial-results-for-the-first-nine-months-of-fy2025-jgaap-ce7d5ddfd18bf122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 sheet 2019 (ventas de 363.230 M JPY).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https://www.shimano.com/jp/img/pdf/factsheet_en/2019_12/fs_20191231.pdf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71,5 %</w:t>
      </w:r>
      <w:r>
        <w:t xml:space="preserve"> · Secciones con menos del 60 % de campos cubiertos: </w:t>
      </w:r>
      <w:r>
        <w:rPr>
          <w:b/>
          <w:bCs/>
        </w:rPr>
        <w:t xml:space="preserve">calidad, capital, gobierno, bolsa, transacciones, esg</w:t>
      </w:r>
      <w:r>
        <w:t xml:space="preserve"> · Generado el 14 oct 2026.</w:t>
      </w:r>
    </w:p>
    <w:p>
      <w:pPr>
        <w:pStyle w:val="Nota"/>
        <w:spacing w:after="100"/>
      </w:pPr>
      <w:r>
        <w:t xml:space="preserve">Análisis hecho desde la nube con la red limitada a la búsqueda web: la web de la empresa, EDINET, los PDF del Kessan Tanshin y los proveedores de datos no se pudieron abrir, así que las cifras salen de los extractos de búsqueda de los comunicados de resultados, de proveedores (Stock Analysis, Investing, MarketScreener, Strainer) y de la prensa sectorial, cruzadas cuando fue posible. La confianza es menor que en un análisis normal y lo que no cuadró está en null y en los huecos. Cuentas en JPY con normas japonesas (J-GAAP); ejercicio natural; sin arrendamientos en balance. Faltan existencias, clientes y proveedores, por lo que el circulante del DCF va a 0 y su inversión se suma al capex (≈1-1,5 puntos de ventas). Precio: cierre del 13-oct-2026 (17.845 JPY); el del 14-oct no estaba en los resultados de búsqueda. El BPA del objetivo a 12 meses y el PER histórico están en base recurrente (resultado de explotación + 5.000 M de ingresos financieros, impuesto del 29 %), sin las diferencias de cambio de la caja.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Shimano Inc. (7309)</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17.845,00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(14.895,00 – 21.530,00)</c:v>
                </c:pt>
                <c:pt idx="1">
                  <c:v>Comparables: PER NTM (9.120,60 – 11.949,68)</c:v>
                </c:pt>
                <c:pt idx="2">
                  <c:v>DCF (WACC y g ± 0,5) (12.790,97 – 15.044,06)</c:v>
                </c:pt>
                <c:pt idx="3">
                  <c:v>Escenarios (bajista – alcista) (10.327,90 – 16.678,34)</c:v>
                </c:pt>
                <c:pt idx="4">
                  <c:v>DCF con la prima implícita del mercado (4,2 %)</c:v>
                </c:pt>
                <c:pt idx="5">
                  <c:v>Precio actual (17.845,00)</c:v>
                </c:pt>
              </c:strCache>
            </c:strRef>
          </c:cat>
          <c:val>
            <c:numRef>
              <c:f>Hoja1!$B$2:$B$7</c:f>
              <c:numCache>
                <c:formatCode>#,##0</c:formatCode>
                <c:ptCount val="6"/>
                <c:pt idx="0">
                  <c:v>14895</c:v>
                </c:pt>
                <c:pt idx="1">
                  <c:v>9120.6</c:v>
                </c:pt>
                <c:pt idx="2">
                  <c:v>12790.97</c:v>
                </c:pt>
                <c:pt idx="3">
                  <c:v>10327.9</c:v>
                </c:pt>
                <c:pt idx="4">
                  <c:v>14873.98</c:v>
                </c:pt>
                <c:pt idx="5">
                  <c:v>17755.78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(14.895,00 – 21.530,00)</c:v>
                </c:pt>
                <c:pt idx="1">
                  <c:v>Comparables: PER NTM (9.120,60 – 11.949,68)</c:v>
                </c:pt>
                <c:pt idx="2">
                  <c:v>DCF (WACC y g ± 0,5) (12.790,97 – 15.044,06)</c:v>
                </c:pt>
                <c:pt idx="3">
                  <c:v>Escenarios (bajista – alcista) (10.327,90 – 16.678,34)</c:v>
                </c:pt>
                <c:pt idx="4">
                  <c:v>DCF con la prima implícita del mercado (4,2 %)</c:v>
                </c:pt>
                <c:pt idx="5">
                  <c:v>Precio actual (17.845,00)</c:v>
                </c:pt>
              </c:strCache>
            </c:strRef>
          </c:cat>
          <c:val>
            <c:numRef>
              <c:f>Hoja1!$C$2:$C$7</c:f>
              <c:numCache>
                <c:formatCode>#,##0</c:formatCode>
                <c:ptCount val="6"/>
                <c:pt idx="0">
                  <c:v>6635</c:v>
                </c:pt>
                <c:pt idx="1">
                  <c:v>2829.08</c:v>
                </c:pt>
                <c:pt idx="2">
                  <c:v>2253.09</c:v>
                </c:pt>
                <c:pt idx="3">
                  <c:v>6350.4400000000005</c:v>
                </c:pt>
                <c:pt idx="4">
                  <c:v>2127.220000000001</c:v>
                </c:pt>
                <c:pt idx="5">
                  <c:v>178.44000000000233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Componentes de bicicleta</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345640</c:v>
                </c:pt>
                <c:pt idx="1">
                  <c:v>354972</c:v>
                </c:pt>
              </c:numCache>
            </c:numRef>
          </c:val>
        </c:ser>
        <c:ser>
          <c:idx val="1"/>
          <c:order val="1"/>
          <c:tx>
            <c:strRef>
              <c:f>Hoja1!$C$1</c:f>
              <c:strCache>
                <c:ptCount val="1"/>
                <c:pt idx="0">
                  <c:v>Pesca</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104990</c:v>
                </c:pt>
                <c:pt idx="1">
                  <c:v>110832</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363</c:v>
                </c:pt>
                <c:pt idx="1">
                  <c:v>439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Componentes de bicicleta</c:v>
                </c:pt>
                <c:pt idx="1">
                  <c:v>Pesca</c:v>
                </c:pt>
                <c:pt idx="2">
                  <c:v>Otros</c:v>
                </c:pt>
              </c:strCache>
            </c:strRef>
          </c:cat>
          <c:val>
            <c:numRef>
              <c:f>Hoja1!$B$2:$B$4</c:f>
              <c:numCache>
                <c:formatCode>General</c:formatCode>
                <c:ptCount val="3"/>
                <c:pt idx="0">
                  <c:v>76.1</c:v>
                </c:pt>
                <c:pt idx="1">
                  <c:v>23.8</c:v>
                </c:pt>
                <c:pt idx="2">
                  <c:v>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Shimano</c:v>
                </c:pt>
                <c:pt idx="1">
                  <c:v>SRAM</c:v>
                </c:pt>
                <c:pt idx="2">
                  <c:v>Fox Factory</c:v>
                </c:pt>
                <c:pt idx="3">
                  <c:v>Globeride (Daiwa)</c:v>
                </c:pt>
              </c:strCache>
            </c:strRef>
          </c:cat>
          <c:val>
            <c:numRef>
              <c:f>Hoja1!$B$2:$B$5</c:f>
              <c:numCache>
                <c:formatCode>0.0"%"</c:formatCode>
                <c:ptCount val="4"/>
                <c:pt idx="0">
                  <c:v>11.1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546515</c:v>
                </c:pt>
                <c:pt idx="1">
                  <c:v>628909</c:v>
                </c:pt>
                <c:pt idx="2">
                  <c:v>474362</c:v>
                </c:pt>
                <c:pt idx="3">
                  <c:v>450993</c:v>
                </c:pt>
                <c:pt idx="4">
                  <c:v>466243</c:v>
                </c:pt>
                <c:pt idx="5">
                  <c:v>490954</c:v>
                </c:pt>
                <c:pt idx="6">
                  <c:v>510592</c:v>
                </c:pt>
                <c:pt idx="7">
                  <c:v>531016</c:v>
                </c:pt>
                <c:pt idx="8">
                  <c:v>549601</c:v>
                </c:pt>
                <c:pt idx="9">
                  <c:v>568837</c:v>
                </c:pt>
                <c:pt idx="10">
                  <c:v>585902</c:v>
                </c:pt>
                <c:pt idx="11">
                  <c:v>603480</c:v>
                </c:pt>
                <c:pt idx="12">
                  <c:v>618566</c:v>
                </c:pt>
                <c:pt idx="13">
                  <c:v>634031</c:v>
                </c:pt>
                <c:pt idx="14">
                  <c:v>649881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167038</c:v>
                </c:pt>
                <c:pt idx="1">
                  <c:v>190151</c:v>
                </c:pt>
                <c:pt idx="2">
                  <c:v>107591</c:v>
                </c:pt>
                <c:pt idx="3">
                  <c:v>90123</c:v>
                </c:pt>
                <c:pt idx="4">
                  <c:v>78886</c:v>
                </c:pt>
                <c:pt idx="5">
                  <c:v>76098</c:v>
                </c:pt>
                <c:pt idx="6">
                  <c:v>85779</c:v>
                </c:pt>
                <c:pt idx="7">
                  <c:v>95583</c:v>
                </c:pt>
                <c:pt idx="8">
                  <c:v>104424</c:v>
                </c:pt>
                <c:pt idx="9">
                  <c:v>110923</c:v>
                </c:pt>
                <c:pt idx="10">
                  <c:v>117180</c:v>
                </c:pt>
                <c:pt idx="11">
                  <c:v>120696</c:v>
                </c:pt>
                <c:pt idx="12">
                  <c:v>123713</c:v>
                </c:pt>
                <c:pt idx="13">
                  <c:v>126806</c:v>
                </c:pt>
                <c:pt idx="14">
                  <c:v>129976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42.3</c:v>
                </c:pt>
                <c:pt idx="1">
                  <c:v>42.2</c:v>
                </c:pt>
                <c:pt idx="2">
                  <c:v>38.5</c:v>
                </c:pt>
                <c:pt idx="3">
                  <c:v>38.2</c:v>
                </c:pt>
                <c:pt idx="4">
                  <c:v>35.7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30.6</c:v>
                </c:pt>
                <c:pt idx="1">
                  <c:v>30.2</c:v>
                </c:pt>
                <c:pt idx="2">
                  <c:v>22.7</c:v>
                </c:pt>
                <c:pt idx="3">
                  <c:v>20</c:v>
                </c:pt>
                <c:pt idx="4">
                  <c:v>16.9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27.1</c:v>
                </c:pt>
                <c:pt idx="1">
                  <c:v>26.9</c:v>
                </c:pt>
                <c:pt idx="2">
                  <c:v>17.6</c:v>
                </c:pt>
                <c:pt idx="3">
                  <c:v>14.4</c:v>
                </c:pt>
                <c:pt idx="4">
                  <c:v>11.1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21.2</c:v>
                </c:pt>
                <c:pt idx="1">
                  <c:v>20.4</c:v>
                </c:pt>
                <c:pt idx="2">
                  <c:v>12.9</c:v>
                </c:pt>
                <c:pt idx="3">
                  <c:v>16.9</c:v>
                </c:pt>
                <c:pt idx="4">
                  <c:v>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1T25</c:v>
                </c:pt>
                <c:pt idx="1">
                  <c:v>2T25</c:v>
                </c:pt>
                <c:pt idx="2">
                  <c:v>2S25</c:v>
                </c:pt>
                <c:pt idx="3">
                  <c:v>1T26</c:v>
                </c:pt>
                <c:pt idx="4">
                  <c:v>2T26</c:v>
                </c:pt>
              </c:strCache>
            </c:strRef>
          </c:cat>
          <c:val>
            <c:numRef>
              <c:f>Hoja1!$B$2:$B$6</c:f>
              <c:numCache>
                <c:formatCode>0.0"%"</c:formatCode>
                <c:ptCount val="5"/>
                <c:pt idx="3">
                  <c:v>3.6</c:v>
                </c:pt>
                <c:pt idx="4">
                  <c:v>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96283</c:v>
                </c:pt>
                <c:pt idx="1">
                  <c:v>90437</c:v>
                </c:pt>
                <c:pt idx="2">
                  <c:v>89784</c:v>
                </c:pt>
                <c:pt idx="3">
                  <c:v>50208</c:v>
                </c:pt>
                <c:pt idx="4">
                  <c:v>28261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115937</c:v>
                </c:pt>
                <c:pt idx="1">
                  <c:v>128178</c:v>
                </c:pt>
                <c:pt idx="2">
                  <c:v>61142</c:v>
                </c:pt>
                <c:pt idx="3">
                  <c:v>76329</c:v>
                </c:pt>
                <c:pt idx="4">
                  <c:v>33991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39.8</c:v>
                </c:pt>
                <c:pt idx="3">
                  <c:v>15.4</c:v>
                </c:pt>
                <c:pt idx="4">
                  <c:v>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8.3</c:v>
                </c:pt>
                <c:pt idx="2">
                  <c:v>8.3</c:v>
                </c:pt>
                <c:pt idx="3">
                  <c:v>8.3</c:v>
                </c:pt>
                <c:pt idx="4">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15.3</c:v>
                </c:pt>
                <c:pt idx="3">
                  <c:v>9.1</c:v>
                </c:pt>
                <c:pt idx="4">
                  <c:v>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-4.59</c:v>
                </c:pt>
                <c:pt idx="3">
                  <c:v>-5.93</c:v>
                </c:pt>
                <c:pt idx="4">
                  <c:v>-5.99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4">
                  <c:v>29700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4">
                  <c:v>49990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Autocartera</c:v>
                </c:pt>
              </c:strCache>
            </c:strRef>
          </c:cat>
          <c:val>
            <c:numRef>
              <c:f>Hoja1!$B$2</c:f>
              <c:numCache>
                <c:formatCode>0.0"%"</c:formatCode>
                <c:ptCount val="1"/>
                <c:pt idx="0">
                  <c:v>1.78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Shimano</c:v>
                </c:pt>
                <c:pt idx="1">
                  <c:v>Globeride (Daiwa)</c:v>
                </c:pt>
                <c:pt idx="2">
                  <c:v>Thule Group</c:v>
                </c:pt>
                <c:pt idx="3">
                  <c:v>Giant Manufacturing</c:v>
                </c:pt>
                <c:pt idx="4">
                  <c:v>Bandai Namco</c:v>
                </c:pt>
                <c:pt idx="5">
                  <c:v>Asics</c:v>
                </c:pt>
                <c:pt idx="6">
                  <c:v>Amer Sports</c:v>
                </c:pt>
              </c:strCache>
            </c:strRef>
          </c:cat>
          <c:val>
            <c:numRef>
              <c:f>Hoja1!$B$2:$B$8</c:f>
              <c:numCache>
                <c:formatCode>0.0"x"</c:formatCode>
                <c:ptCount val="7"/>
                <c:pt idx="4">
                  <c:v>12.3</c:v>
                </c:pt>
                <c:pt idx="5">
                  <c:v>12.4</c:v>
                </c:pt>
                <c:pt idx="6">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Bandai Namco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6.5</c:v>
                </c:pt>
              </c:numCache>
            </c:numRef>
          </c:xVal>
          <c:yVal>
            <c:numRef>
              <c:f>Hoja1!$C$2</c:f>
              <c:numCache>
                <c:formatCode>0.0"x"</c:formatCode>
                <c:ptCount val="1"/>
                <c:pt idx="0">
                  <c:v>12.3</c:v>
                </c:pt>
              </c:numCache>
            </c:numRef>
          </c:yVal>
          <c:smooth val="0"/>
        </c:ser>
        <c:ser>
          <c:idx val="1"/>
          <c:order val="1"/>
          <c:tx>
            <c:strRef>
              <c:f>Hoja1!$A$3</c:f>
              <c:strCache>
                <c:ptCount val="1"/>
                <c:pt idx="0">
                  <c:v>Asics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16.9</c:v>
                </c:pt>
              </c:numCache>
            </c:numRef>
          </c:xVal>
          <c:yVal>
            <c:numRef>
              <c:f>Hoja1!$C$3</c:f>
              <c:numCache>
                <c:formatCode>0.0"x"</c:formatCode>
                <c:ptCount val="1"/>
                <c:pt idx="0">
                  <c:v>12.4</c:v>
                </c:pt>
              </c:numCache>
            </c:numRef>
          </c:yVal>
          <c:smooth val="0"/>
        </c:ser>
        <c:ser>
          <c:idx val="2"/>
          <c:order val="2"/>
          <c:tx>
            <c:strRef>
              <c:f>Hoja1!$A$4</c:f>
              <c:strCache>
                <c:ptCount val="1"/>
                <c:pt idx="0">
                  <c:v>Amer Sports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18.6</c:v>
                </c:pt>
              </c:numCache>
            </c:numRef>
          </c:xVal>
          <c:yVal>
            <c:numRef>
              <c:f>Hoja1!$C$4</c:f>
              <c:numCache>
                <c:formatCode>0.0"x"</c:formatCode>
                <c:ptCount val="1"/>
                <c:pt idx="0">
                  <c:v>9.7</c:v>
                </c:pt>
              </c:numCache>
            </c:numRef>
          </c:yVal>
          <c:smooth val="0"/>
        </c:ser>
        <c:axId val="10"/>
        <c:axId val="20"/>
      </c:scatterChart>
      <c:valAx>
        <c:axId val="10"/>
        <c:scaling>
          <c:orientation val="minMax"/>
          <c:max val="2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23153</c:v>
                </c:pt>
                <c:pt idx="1">
                  <c:v>28940</c:v>
                </c:pt>
                <c:pt idx="2">
                  <c:v>37277</c:v>
                </c:pt>
                <c:pt idx="3">
                  <c:v>42484</c:v>
                </c:pt>
                <c:pt idx="4">
                  <c:v>45990</c:v>
                </c:pt>
                <c:pt idx="5">
                  <c:v>49450</c:v>
                </c:pt>
                <c:pt idx="6">
                  <c:v>50934</c:v>
                </c:pt>
                <c:pt idx="7">
                  <c:v>52207</c:v>
                </c:pt>
                <c:pt idx="8">
                  <c:v>53512</c:v>
                </c:pt>
                <c:pt idx="9">
                  <c:v>54850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285984</c:v>
                </c:pt>
                <c:pt idx="1">
                  <c:v>424549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17.845,00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10327.9</c:v>
                </c:pt>
                <c:pt idx="1">
                  <c:v>13743.13</c:v>
                </c:pt>
                <c:pt idx="2">
                  <c:v>16678.34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17.845,00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(14.895,00 – 21.530,00)</c:v>
                </c:pt>
                <c:pt idx="1">
                  <c:v>Comparables: PER NTM (9.120,60 – 11.949,68)</c:v>
                </c:pt>
                <c:pt idx="2">
                  <c:v>DCF (WACC y g ± 0,5) (12.790,97 – 15.044,06)</c:v>
                </c:pt>
                <c:pt idx="3">
                  <c:v>Escenarios (bajista – alcista) (10.327,90 – 16.678,34)</c:v>
                </c:pt>
                <c:pt idx="4">
                  <c:v>DCF con la prima implícita del mercado (4,2 %)</c:v>
                </c:pt>
                <c:pt idx="5">
                  <c:v>Precio actual (17.845,00)</c:v>
                </c:pt>
              </c:strCache>
            </c:strRef>
          </c:cat>
          <c:val>
            <c:numRef>
              <c:f>Hoja1!$B$2:$B$7</c:f>
              <c:numCache>
                <c:formatCode>#,##0</c:formatCode>
                <c:ptCount val="6"/>
                <c:pt idx="0">
                  <c:v>14895</c:v>
                </c:pt>
                <c:pt idx="1">
                  <c:v>9120.6</c:v>
                </c:pt>
                <c:pt idx="2">
                  <c:v>12790.97</c:v>
                </c:pt>
                <c:pt idx="3">
                  <c:v>10327.9</c:v>
                </c:pt>
                <c:pt idx="4">
                  <c:v>14873.98</c:v>
                </c:pt>
                <c:pt idx="5">
                  <c:v>17755.78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(14.895,00 – 21.530,00)</c:v>
                </c:pt>
                <c:pt idx="1">
                  <c:v>Comparables: PER NTM (9.120,60 – 11.949,68)</c:v>
                </c:pt>
                <c:pt idx="2">
                  <c:v>DCF (WACC y g ± 0,5) (12.790,97 – 15.044,06)</c:v>
                </c:pt>
                <c:pt idx="3">
                  <c:v>Escenarios (bajista – alcista) (10.327,90 – 16.678,34)</c:v>
                </c:pt>
                <c:pt idx="4">
                  <c:v>DCF con la prima implícita del mercado (4,2 %)</c:v>
                </c:pt>
                <c:pt idx="5">
                  <c:v>Precio actual (17.845,00)</c:v>
                </c:pt>
              </c:strCache>
            </c:strRef>
          </c:cat>
          <c:val>
            <c:numRef>
              <c:f>Hoja1!$C$2:$C$7</c:f>
              <c:numCache>
                <c:formatCode>#,##0</c:formatCode>
                <c:ptCount val="6"/>
                <c:pt idx="0">
                  <c:v>6635</c:v>
                </c:pt>
                <c:pt idx="1">
                  <c:v>2829.08</c:v>
                </c:pt>
                <c:pt idx="2">
                  <c:v>2253.09</c:v>
                </c:pt>
                <c:pt idx="3">
                  <c:v>6350.4400000000005</c:v>
                </c:pt>
                <c:pt idx="4">
                  <c:v>2127.220000000001</c:v>
                </c:pt>
                <c:pt idx="5">
                  <c:v>178.44000000000233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