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Autodesk, Inc.</w:t>
      </w:r>
    </w:p>
    <w:p>
      <w:pPr>
        <w:spacing w:after="60"/>
        <w:rPr>
          <w:color w:val="52514E"/>
          <w:sz w:val="22"/>
          <w:szCs w:val="22"/>
        </w:rPr>
      </w:pPr>
      <w:r>
        <w:rPr>
          <w:color w:val="52514E"/>
          <w:sz w:val="22"/>
          <w:szCs w:val="22"/>
        </w:rPr>
        <w:t xml:space="preserve">ADSK · Nasdaq Global Select · ISIN US0527691069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231,14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279,23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+20,8 % (base +17,1 %)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199,13 USD · mercado 233,07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48.771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18,5x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Autodesk,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ADSK / US0527691069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 Francisco (California) · 1982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https://www.autodesk.com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231,14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185,50 – 320,00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48.771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51.030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279,23 USD</w:t>
      </w:r>
      <w:r>
        <w:t xml:space="preserve"> frente a 231,14 · Rentabilidad a 12 meses </w:t>
      </w:r>
      <w:r>
        <w:rPr>
          <w:b/>
          <w:bCs/>
        </w:rPr>
        <w:t xml:space="preserve">+20,8 % (base +17,1 %)</w:t>
      </w:r>
      <w:r>
        <w:t xml:space="preserve"> · Valor intrínseco 199,13 USD · con la prima implícita del mercado: 233,07 (+0,8 %) · Alcista / bajista +1,7 % / -51,2 %</w:t>
      </w:r>
    </w:p>
    <w:p>
      <w:pPr>
        <w:spacing w:after="100"/>
      </w:pPr>
      <w:r>
        <w:rPr>
          <w:b/>
        </w:rPr>
        <w:t xml:space="preserve">La recomendación y por qué.</w:t>
      </w:r>
      <w:r>
        <w:t xml:space="preserve"> Mantener, con convicción baja. El objetivo a 12 meses es de 279,23 USD (+20,8 % ponderado; +17,1 % en el caso base, 24,5 veces un BPA FY2029e de 11,05 USD), por encima de los umbrales de compra, pero el valor intrínseco, 199,13 USD, queda un 13,8 % por debajo del precio de 231,14 USD (206,47 EUR por acción, el 0,7 % de una cartera de 30.000 EUR). El objetivo medio de 36 analistas es 307,54 [39]. Los escenarios son asimétricos a la baja (bajista −51,2 %, alcista +1,7 %): con nuestro WACC del 10,86 % el DCF no paga el PER de hoy. La convicción es baja porque las reglas discrepan: con nuestro coste de capital sale Vender y con la prima implícita del mercado (valor de 233,07) Mantener, así que la conclusión depende de la tasa de descuento, no de las cifras. La convicción subiría con el precio por debajo de 199 USD o una guía de FY2028 de doble dígito con la NR3 estable; bajaría si la NR3 sale del rango del 100-110 %.</w:t>
      </w:r>
    </w:p>
    <w:p>
      <w:pPr>
        <w:spacing w:after="100"/>
      </w:pPr>
      <w:r>
        <w:rPr>
          <w:b/>
        </w:rPr>
        <w:t xml:space="preserve">El negocio.</w:t>
      </w:r>
      <w:r>
        <w:t xml:space="preserve"> Veredicto de calidad: Sí. Autodesk cobra por suscripción el software estándar del diseño (DWG y RVT), con un 91 % de margen bruto, un ROIC del 38,4 % frente a un WACC del 10,86 % (+27,5 puntos) y un ROIC incremental del 26 % [1, 5]. Crecer no consume capital: los clientes pagan por adelantado. Sostenibilidad: Sí; el 8,5 % anual que proyectamos queda por debajo del 13,7 % histórico y del 9,9 % del mercado [18], con poder de precios demostrado. El riesgo de IA es alto y de sentido mixto: el 75 % de las ventas se cobra por usuario nombrado y la IA puede reducir puestos [27], pero los datos de proyecto y el cobro por consumo pueden capturar valor [28]; hoy no se ve daño (ingresos +16 % en el 2T FY27) [2].</w:t>
      </w:r>
    </w:p>
    <w:p>
      <w:pPr>
        <w:spacing w:after="100"/>
      </w:pPr>
      <w:r>
        <w:rPr>
          <w:b/>
        </w:rPr>
        <w:t xml:space="preserve">Finanzas.</w:t>
      </w:r>
      <w:r>
        <w:t xml:space="preserve"> Ventas +13,7 % anual desde FY2021; el margen EBITDA con pagos en acciones pasó del 19,9 % al 27,8 % [3, 6, 7, 8, 14]. La caja libre de los últimos doce meses es de 2.839 M, pero no resta los pagos en acciones (788 M, el 11 % de las ventas en FY2026); restándolos, el BPA normalizado de FY2026 es de 6,93 USD, no los 12,52-12,60 non-GAAP de la guía de FY2027 [2]. La compra de MaintainX (≈3.575 M, ≈26 veces ARR) [48] lleva la deuda neta ajustada a 2.651 M. Altman 3,92, Piotroski 8 y Beneish −2,67: sin alertas contables [10, 11].</w:t>
      </w:r>
    </w:p>
    <w:p>
      <w:pPr>
        <w:spacing w:after="100"/>
      </w:pPr>
      <w:r>
        <w:rPr>
          <w:b/>
        </w:rPr>
        <w:t xml:space="preserve">Equipo y gobierno.</w:t>
      </w:r>
      <w:r>
        <w:t xml:space="preserve"> Suma algo: Starboard forzó el objetivo de margen del 41 % y dos consejeros [1, 37], el consejo se renueva [36] y cuatro directivos compraron 2,2 M de acciones en mayo-junio [35]; la remuneración tuvo un 91,3 % de apoyo [34].</w:t>
      </w:r>
    </w:p>
    <w:p>
      <w:pPr>
        <w:spacing w:after="100"/>
      </w:pPr>
      <w:r>
        <w:rPr>
          <w:b/>
        </w:rPr>
        <w:t xml:space="preserve">Valoración.</w:t>
      </w:r>
      <w:r>
        <w:t xml:space="preserve"> El DCF (191,55) y los escenarios quedan por debajo del precio; el PER de los comparables (264,02) y las transacciones (338,37) por encima, con PTC comprada por Schneider a 8,65 veces ventas [30] y una muestra de comparables frágil [42, 46]. El precio descuenta un 10,0 % de crecimiento anual hasta FY2036e, frente al 7,7 % de nuestro base, y una rentabilidad del 9,6 %. No descuenta un hundimiento por la IA. Nuestro BPA FY2029e va un 4,8 % por debajo del consenso [39].</w:t>
      </w:r>
    </w:p>
    <w:p>
      <w:pPr>
        <w:spacing w:after="100"/>
      </w:pPr>
      <w:r>
        <w:rPr>
          <w:b/>
        </w:rPr>
        <w:t xml:space="preserve">Riesgos y catalizadores.</w:t>
      </w:r>
      <w:r>
        <w:t xml:space="preserve"> La IA (−41 % en el bajista), MaintainX (≈ −8 %) y la reorganización de ventas (≈ −5 %). Catalizadores: resultados del 3T FY27 el 24-nov-2026 y guía de FY2028 a finales de febrero de 2027. Foros divididos, sin euforia: el miedo a la IA mueve la acción con noticias ajenas [60, 61].</w:t>
      </w:r>
    </w:p>
    <w:p>
      <w:pPr>
        <w:spacing w:after="100"/>
      </w:pPr>
      <w:r>
        <w:rPr>
          <w:b/>
        </w:rPr>
        <w:t xml:space="preserve">Qué cambiaría la decisión.</w:t>
      </w:r>
      <w:r>
        <w:t xml:space="preserve"> Comprar por debajo de 199,13 USD; vender por encima de 310,25 USD. Pasaríamos a Vender con la NR3 por debajo del 100 % o una guía de FY2028 por debajo del 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279,23 USD</w:t>
      </w:r>
      <w:r>
        <w:t xml:space="preserve"> (rentabilidad +20,8 % (base +17,1 %)) · Valor intrínseco: 199,13 USD (-13,8 % sobre 231,14) · con la prima implícita del mercado: 233,07 (+0,8 %)</w:t>
      </w:r>
    </w:p>
    <w:p>
      <w:pPr>
        <w:spacing w:after="100"/>
      </w:pPr>
      <w:r>
        <w:t xml:space="preserve">Autodesk es el estándar del software de diseño para arquitectura, ingeniería, construcción y fabricación: AutoCAD y Revit fijan los formatos que exigen los mandatos BIM, y la suscripción da un 91 % de margen bruto, un ROIC del 38,4 % y una caja libre de 2.839 M en doce meses [1, 2]. El paso al nuevo modelo de transacción y la retirada de descuentos han subido el crecimiento al 16 % en el 2T FY27 [2], y la guía de FY2027 es de 8.295-8.345 M de ingresos [2].</w:t>
      </w:r>
    </w:p>
    <w:p>
      <w:pPr>
        <w:spacing w:after="100"/>
      </w:pPr>
      <w:r>
        <w:t xml:space="preserve">El precio, 231,14 USD, ha caído un 28 % desde máximos por miedo a que la IA reduzca los puestos de pago. A 24,6 veces el BPA de los próximos doce meses es la mitad de su historia, pero con nuestro WACC del 10,86 % el DCF da 191,55 USD: el precio descuenta un 10,0 % de crecimiento anual durante nueve años, frente al 7,7 % de nuestro base [calc].</w:t>
      </w:r>
    </w:p>
    <w:p>
      <w:pPr>
        <w:spacing w:after="100"/>
      </w:pPr>
      <w:r>
        <w:t xml:space="preserve">El mercado acierta en que el múltiplo histórico no volverá mientras no se sepa qué hace la IA con el cobro por puesto, y probablemente se equivoca en el plazo: no hay señal de daño en la NR3 ni en las renovaciones [4, 12]. Para invertir hay que creer que Autodesk cobra por consumo y por datos lo que pierda en puestos, y que el margen non-GAAP llega al 41 % en FY2029. A 12 meses la regla de múltiplos da +20,8 %; a largo plazo el precio ya pide algo más que nuestro base. Por eso esperamos un precio mejor.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 × 9,17 = 190,74 · 24,5x × 11,05 = 270,73 · 31,9x × 12,06 = 384,71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 / 17,1 %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(46,5x) es 1,9 veces el PER de hoy (24,5x);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307,54 (nuestro base -12,0 %)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 / -51,2 %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10,9 %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(FY2028e-FY2036e)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frente a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199,13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199,13 y 310,25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310,25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199,13 USD con la tesis intacta, pasaríamos a Comprar (valor intrínseco ≥ precio y rentabilidad a 12 meses por encima del 15 %).</w:t>
      </w:r>
    </w:p>
    <w:p>
      <w:pPr>
        <w:pStyle w:val="ListParagraph"/>
        <w:numPr>
          <w:ilvl w:val="0"/>
          <w:numId w:val="2"/>
        </w:numPr>
        <w:spacing w:after="60"/>
      </w:pPr>
      <w:r>
        <w:t xml:space="preserve">Si la NR3 sale por debajo del 100 % en cualquier trimestre, pasaríamos a Vender.</w:t>
      </w:r>
    </w:p>
    <w:p>
      <w:pPr>
        <w:pStyle w:val="ListParagraph"/>
        <w:numPr>
          <w:ilvl w:val="0"/>
          <w:numId w:val="2"/>
        </w:numPr>
        <w:spacing w:after="60"/>
      </w:pPr>
      <w:r>
        <w:t xml:space="preserve">Si la guía de FY2028 (febrero de 2027) da un crecimiento inferior al 8 %, pasaríamos a Vender.</w:t>
      </w:r>
    </w:p>
    <w:p>
      <w:pPr>
        <w:pStyle w:val="ListParagraph"/>
        <w:numPr>
          <w:ilvl w:val="0"/>
          <w:numId w:val="2"/>
        </w:numPr>
        <w:spacing w:after="60"/>
      </w:pPr>
      <w:r>
        <w:t xml:space="preserve">Si el precio supera 310,25 USD sin cambios en la guía, venderíamos.</w:t>
      </w:r>
    </w:p>
    <w:p>
      <w:pPr>
        <w:pStyle w:val="ListParagraph"/>
        <w:numPr>
          <w:ilvl w:val="0"/>
          <w:numId w:val="2"/>
        </w:numPr>
        <w:spacing w:after="60"/>
      </w:pPr>
      <w:r>
        <w:t xml:space="preserve">Si la empresa publica ingresos de IA o de consumo por encima del 5 % de las ventas con la NR3 estable, revisaríamos al alza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cobro por puesto está amenazado y que Autodesk ya no merece las 45-60 veces beneficios de su historia: el PER adelantado ha bajado a 24,5 veces nuestro BPA. A la vez, y sin decirlo, el precio sigue pidiendo un crecimiento del 10,0 % anual hasta FY2036e, por encima del mercado previsto (9,9 %) y de nuestro base (7,7 %) [calc]. Los analistas mantienen un objetivo medio de 307,54 USD, un 33 % por encima del precio [39].</w:t>
      </w:r>
    </w:p>
    <w:p>
      <w:pPr>
        <w:keepNext/>
        <w:spacing w:after="100"/>
      </w:pPr>
      <w:r>
        <w:rPr>
          <w:b/>
          <w:bCs/>
        </w:rPr>
        <w:t xml:space="preserve">Lo que creemos nosotros.</w:t>
      </w:r>
    </w:p>
    <w:p>
      <w:pPr>
        <w:spacing w:after="100"/>
      </w:pPr>
      <w:r>
        <w:t xml:space="preserve">Coincidimos con el consenso en los beneficios (nuestro BPA FY2029e, 11,05 USD, va un 4,8 % por debajo) y discrepamos en el precio: el mercado no está pagando una empresa en declive, sino una que sigue creciendo al 10 % una década. La regla a 12 meses, que solo exige mantener el PER de hoy, da +20,8 %; el DCF, que exige cubrir un coste de capital del 10,86 %, da −17,1 %. No tenemos una visión distinta de la del mercado sobre la IA; sí sobre lo que ya está en el precio.</w:t>
      </w:r>
    </w:p>
    <w:p>
      <w:pPr>
        <w:keepNext/>
        <w:spacing w:after="100"/>
      </w:pPr>
      <w:r>
        <w:rPr>
          <w:b/>
          <w:bCs/>
        </w:rPr>
        <w:t xml:space="preserve">Por qué podemos tener razón.</w:t>
      </w:r>
    </w:p>
    <w:p>
      <w:pPr>
        <w:spacing w:after="100"/>
      </w:pPr>
      <w:r>
        <w:t xml:space="preserve">Porque la caída del múltiplo coincide con un crecimiento que se acelera (+16 % en el 2T FY27) y una guía de margen al alza [2], y porque las compras de directivos de mayo-junio (2,2 M) y la presión de Starboard [1, 35] apuntan a que la dirección también cree que la acción está barata. Pero la asimetría de los escenarios (−51 % frente a +2 %) dice que el margen de seguridad no existe todavía.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31,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 alta</w:t>
      </w:r>
      <w:r>
        <w:t xml:space="preserve">: ROIC del 38,4 % frente a un WACC del 10,86 %, y ROIC incremental del 26 % [calc].</w:t>
      </w:r>
    </w:p>
    <w:p>
      <w:pPr>
        <w:pStyle w:val="ListParagraph"/>
        <w:numPr>
          <w:ilvl w:val="0"/>
          <w:numId w:val="2"/>
        </w:numPr>
        <w:spacing w:after="60"/>
      </w:pPr>
      <w:r>
        <w:rPr>
          <w:b/>
        </w:rPr>
        <w:t xml:space="preserve">Crecimiento al alza</w:t>
      </w:r>
      <w:r>
        <w:t xml:space="preserve">: ingresos +16 % en el 2T FY27 y guía de FY2027 elevada a 8.295-8.345 M [2].</w:t>
      </w:r>
    </w:p>
    <w:p>
      <w:pPr>
        <w:pStyle w:val="ListParagraph"/>
        <w:numPr>
          <w:ilvl w:val="0"/>
          <w:numId w:val="2"/>
        </w:numPr>
        <w:spacing w:after="60"/>
      </w:pPr>
      <w:r>
        <w:rPr>
          <w:b/>
        </w:rPr>
        <w:t xml:space="preserve">Rentabilidad a 12 meses</w:t>
      </w:r>
      <w:r>
        <w:t xml:space="preserve">: +20,8 % ponderada y +17,1 % en el base con el PER de hoy (24,5 veces) [calc].</w:t>
      </w:r>
    </w:p>
    <w:p>
      <w:pPr>
        <w:pStyle w:val="ListParagraph"/>
        <w:numPr>
          <w:ilvl w:val="0"/>
          <w:numId w:val="2"/>
        </w:numPr>
        <w:spacing w:after="60"/>
      </w:pPr>
      <w:r>
        <w:rPr>
          <w:b/>
        </w:rPr>
        <w:t xml:space="preserve">Formatos estándar</w:t>
      </w:r>
      <w:r>
        <w:t xml:space="preserve">: la cuota de Revit en Reino Unido pasó del 27 % al 49 % en seis años [26].</w:t>
      </w:r>
    </w:p>
    <w:p>
      <w:pPr>
        <w:pStyle w:val="ListParagraph"/>
        <w:numPr>
          <w:ilvl w:val="0"/>
          <w:numId w:val="2"/>
        </w:numPr>
        <w:spacing w:after="60"/>
      </w:pPr>
      <w:r>
        <w:rPr>
          <w:b/>
        </w:rPr>
        <w:t xml:space="preserve">Gobierno alineado</w:t>
      </w:r>
      <w:r>
        <w:t xml:space="preserve">: compras de directivos de 2,2 M y objetivo de margen del 41 % en FY2029 con Starboard [1, 35].</w:t>
      </w:r>
    </w:p>
    <w:p>
      <w:pPr>
        <w:pStyle w:val="ListParagraph"/>
        <w:numPr>
          <w:ilvl w:val="0"/>
          <w:numId w:val="2"/>
        </w:numPr>
        <w:spacing w:after="60"/>
      </w:pPr>
      <w:r>
        <w:rPr>
          <w:b/>
        </w:rPr>
        <w:t xml:space="preserve">Riesgo ESG bajo</w:t>
      </w:r>
      <w:r>
        <w:t xml:space="preserve">: 15,1 puntos en Sustainalytics [32].</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199,13 USD, un 13,8 % menos [calc].</w:t>
      </w:r>
    </w:p>
    <w:p>
      <w:pPr>
        <w:pStyle w:val="ListParagraph"/>
        <w:numPr>
          <w:ilvl w:val="0"/>
          <w:numId w:val="2"/>
        </w:numPr>
        <w:spacing w:after="60"/>
      </w:pPr>
      <w:r>
        <w:rPr>
          <w:b/>
        </w:rPr>
        <w:t xml:space="preserve">Asimetría a la baja</w:t>
      </w:r>
      <w:r>
        <w:t xml:space="preserve">: bajista −51,2 % frente a alcista +1,7 % [calc].</w:t>
      </w:r>
    </w:p>
    <w:p>
      <w:pPr>
        <w:pStyle w:val="ListParagraph"/>
        <w:numPr>
          <w:ilvl w:val="0"/>
          <w:numId w:val="2"/>
        </w:numPr>
        <w:spacing w:after="60"/>
      </w:pPr>
      <w:r>
        <w:rPr>
          <w:b/>
        </w:rPr>
        <w:t xml:space="preserve">IA en el cobro por puesto</w:t>
      </w:r>
      <w:r>
        <w:t xml:space="preserve">: el 75 % de las ventas se cobra por usuario nombrado [27].</w:t>
      </w:r>
    </w:p>
    <w:p>
      <w:pPr>
        <w:pStyle w:val="ListParagraph"/>
        <w:numPr>
          <w:ilvl w:val="0"/>
          <w:numId w:val="2"/>
        </w:numPr>
        <w:spacing w:after="60"/>
      </w:pPr>
      <w:r>
        <w:rPr>
          <w:b/>
        </w:rPr>
        <w:t xml:space="preserve">MaintainX cara</w:t>
      </w:r>
      <w:r>
        <w:t xml:space="preserve">: ≈3.575 M, ≈26 veces ARR, pagados con deuda [16, 48].</w:t>
      </w:r>
    </w:p>
    <w:p>
      <w:pPr>
        <w:pStyle w:val="ListParagraph"/>
        <w:numPr>
          <w:ilvl w:val="0"/>
          <w:numId w:val="2"/>
        </w:numPr>
        <w:spacing w:after="60"/>
      </w:pPr>
      <w:r>
        <w:rPr>
          <w:b/>
        </w:rPr>
        <w:t xml:space="preserve">Pagos en acciones</w:t>
      </w:r>
      <w:r>
        <w:t xml:space="preserve">: 788 M (11 % de las ventas en FY2026) que el BPA non-GAAP de la guía (12,52-12,60) no resta [1, 2].</w:t>
      </w:r>
    </w:p>
    <w:p>
      <w:pPr>
        <w:pStyle w:val="Heading2"/>
      </w:pPr>
      <w:r>
        <w:t xml:space="preserve">Qué tiene que pasar para que la tesis funcione</w:t>
      </w:r>
    </w:p>
    <w:p>
      <w:pPr>
        <w:spacing w:after="100"/>
      </w:pPr>
      <w:r>
        <w:t xml:space="preserve">La tesis depende de que la IA no reduzca los puestos de pago más deprisa de lo que Autodesk añade cobro por consumo y precio. La señal más temprana es la retención neta (NR3), hoy cerca del techo del rango del 100-110 % [12]: si baja del 100 %, o si el crecimiento de AutoCAD y AutoCAD LT cae por debajo del 5 % interanual, el bajista deja de ser una hipótesis. La segunda es la guía de FY2028 de febrero: por debajo del 9 % de crecimiento confirmaría que el 16 % actual era transitorio.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(NR3)</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Cerca del techo del 100-110 %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 pérdida de puestos por la IA [12].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(2T FY27)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9 % en la guía de FY2028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(10,5 %) del bajista (6,5 %)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Billings del año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8.575-8.650 M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8.575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las renovaciones de EBA del 4T [2].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(guía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FY2028 por debajo del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base exige el 41 % en FY2029 [2, 12].</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en FY2026 (≈9 % implícito en la guía de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9 % en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punto vale ≈6 % del valor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21,5x / 18,5x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29,9x / 24,6x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Autodesk nació en 1982 con AutoCAD, el primer CAD para ordenador personal, y se convirtió en el estándar del dibujo técnico. Con Revit (comprado en 2002) dominó el BIM en edificación. Entre 2016 y 2020 pasó de licencias perpetuas a suscripción, con años de pérdidas, y luego compró sus piezas de construcción (PlanGrid, BuildingConnected en 2018-2019). Desde 2024 cambió el modo de vender: el nuevo modelo de transacción factura directamente al cliente en vez de a través de distribuidores, y la facturación plurianual por adelantado pasó a anual [1]. En 2024 una investigación interna sobre sus prácticas de caja libre y margen non-GAAP retrasó el 10-K y cambió al director financiero; en 2025 el activista Starboard pactó dos consejeros [1]. En 2026 compró MaintainX por ≈3.600 M USD para entrar en operación y mantenimiento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y lanzamiento de AutoCAD.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Revit Technology: base del liderazgo en BIM.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venta de licencias perpetuas de casi todos los productos: paso a suscripción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PlanGrid (875 M USD) y BuildingConnected: nace Autodesk Construction Cloud.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Investigación del comité de auditoría sobre la caja libre y el margen non-GAAP; la SEC y la fiscalía la cerraron sin acciones en agosto de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modelo de transacción: las ventas por TD Synnex bajan del 39 % (FY2024) al 14 % (FY2026)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cooperación con Starboard (23-abr-2025): entran en el consejo Jeff Epstein y Christie Simons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MaintainX por ≈3.600 M USD en efectivo, cerrada el 3-ago-2026 [29].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Autodesk vende programas de diseño y de gestión de proyectos para la edificación, la ingeniería civil, la construcción, la fabricación industrial y los efectos visuales. Sus productos clave son AutoCAD (CAD generalista, 1.787 M USD en FY2026), Revit y Civil 3D (dentro de la colección AEC), Autodesk Construction Cloud, Inventor y Fusion (fabricación) y Maya y 3ds Max (medios) [1]. Los clientes van desde un autónomo con AutoCAD LT hasta las mayores constructoras e ingenierías con contratos corporativos (EBA). Vende por su tienda en línea, directamente a cuentas grandes y a través de revendedores, que con el nuevo modelo de transacción presupuestan pero no facturan [1]. El 44 % de los ingresos viene de América, el 39 % de EMEA y el 17 % de Asia-Pacífico.</w:t>
      </w:r>
    </w:p>
    <w:p>
      <w:pPr>
        <w:pStyle w:val="Heading2"/>
      </w:pPr>
      <w:r>
        <w:t xml:space="preserve">Cómo gana dinero</w:t>
      </w:r>
    </w:p>
    <w:p>
      <w:pPr>
        <w:spacing w:after="100"/>
      </w:pPr>
      <w:r>
        <w:t xml:space="preserve">Cobra suscripciones anuales por usuario nombrado (AutoCAD, Revit, colecciones por sector) y contratos corporativos (EBA) por consumo de «tokens»; el 97 % de los ingresos es recurrente [1]. El margen depende sobre todo del precio, porque el coste de servir es bajo (margen bruto del 91 % en FY2026) y el grueso del gasto son personas: I+D (23 % de las ventas) y ventas y marketing (33 %) [1]. Por eso el apalancamiento operativo es alto: el margen operativo non-GAAP pasó del 36 % al 38 % en FY2026 y la guía es del 39 % en FY2027 y del 41 % en FY2029 [2, 12]. Los pagos en acciones (788 M, el 11 % de las ventas en FY2026) son el coste que el non-GAAP no ve. Estacionalidad: el 4T concentra renovaciones de EBA y facturación.</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AECO (arquitectura, ingeniería, construcción y operaciones)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AutoCAD y AutoCAD LT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(MFG)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Medios y entretenimiento (M&amp;E)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AECO (arquitectura, ingeniería, construcción y operaciones)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AutoCAD y AutoCAD LT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(MFG)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Medios y entretenimiento (M&amp;E)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ningún cliente final pesa de forma significativa; el único intermediario relevante, el distribuidor TD Synnex, ha bajado del 39 % de las ventas en FY2024 al 14 % en FY2026 por el nuevo modelo de transacción [1]. La retención neta (NR3) está en el rango del 100-110 % [1], con renovaciones «fuertes» según la dirección, que no da la cifra [12]. El poder de precios es demostrable: Autodesk ha retirado descuentos plurianuales y subido precios de forma sostenida, con ingresos que crecen por encima del volumen de puestos; la RPO crece solo un 2 % por la retirada de esos descuentos [1]. El riesgo es el número de puestos: Revit y AutoCAD se cobran por usuario nombrado (≈3.005 USD al año Revit) [27].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recurrentes /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Mantenimiento, suscripciones y parte de «otros»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 de ingresos (NR3, divisa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Algo por encima del 100-110 % (jul-25)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Cerca del techo del 100-110 %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Ligera bajada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da el rango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Billings (facturación)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 M USD (FY2025, estim. por diferencia)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7.771 M USD (FY2026, +30 %)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Inflada por el nuevo modelo de transacción y el paso a facturación anual [3]; 2T FY27: +10 %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Obligaciones de ejecución pendientes (RPO)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7.282 M USD (jul-25, estim. por diferencia)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7.433 M USD (jul-26, +2 %)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Frenadas por la retirada de descuentos plurianuales; la RPO corriente crece un 12 %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través de TD Synnex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nuevo modelo de transacción factura directamente al cliente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≈15.300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≈14.300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reestructuraciones de ventas en 2025 y 2026 [1,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ingeniería y construcción (CAD, BIM y gestión de obra), que es donde está el 75 % de las ventas de Autodesk (AECO más AutoCAD). Se usa la medición de Cambashi que cita Nemetschek: 9.400 M EUR de software de diseño y planificación AEC y 6.600 M EUR de construcción en 2025 [18]. MarketsandMarkets mide solo las herramientas BIM: 9.030 M USD en 2025 y 15.420 M USD en 2030 [19]. La fabricación (CAD mecánico y PLM, donde están Dassault, PTC y Siemens) y los medios son mercados distintos y no se incluyen.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≈16.000 M EUR en 2025 (≈17.900 M USD; diseño 9.400 M y construcción 6.600 M EUR, Cambashi) [18, 31]; BIM en sentido estricto: 9.030 M USD en 2025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BIM obligatorio en obra pública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Reino Unido Revit pasó del 27 % al 49 % de cuota en seis años; un mandato BIM funciona como un mandato Revit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obra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Cambashi prevé un 11,4 % anual para el software de construcción en 2025-2029 frente al 8,6 % del de diseño [18]; la construcción de Autodesk crece «por encima del 20 %»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paso a facturación directa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nuevo modelo de transacción y la retirada de descuentos plurianuales suben el precio efectivo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 y agentes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puestos por proyecto si la IA hace el trabajo de varios delineantes [27]; Autodesk prepara cobros por consumo y por uso de máquinas (API) [12,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la construcción y de la industria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FY2010 las ventas cayeron un 26 % con licencias perpetuas; con suscripción la caída de 2020 fue nula (+16 % en FY2021)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por nichos: Autodesk en BIM de edificación y CAD 2D, Bentley en infraestructura, Nemetschek en Europa, Dassault y PTC en CAD mecánico [18, 20,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solo los EBA de grandes cuentas negocian, y el formato de archivo (DWG, RVT) ata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nube y de modelos de IA que comprimirá algo el margen bruto, según la dirección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actores nativos de IA y en la nube (generación de planos, «texto a CAD»); la barrera es el dato y los estándares, no el código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puede reducir puestos y abaratar alternativas; es el centro del debate del mercado desde febrero de 2026 [27].</w:t>
            </w:r>
          </w:p>
        </w:tc>
      </w:tr>
    </w:tbl>
    <w:p>
      <w:pPr>
        <w:spacing w:after="160" w:before="0"/>
      </w:pPr>
    </w:p>
    <w:p>
      <w:pPr>
        <w:pStyle w:val="Heading2"/>
      </w:pPr>
      <w:r>
        <w:t xml:space="preserve">Ciclo</w:t>
      </w:r>
    </w:p>
    <w:p>
      <w:pPr>
        <w:spacing w:after="100"/>
      </w:pPr>
      <w:r>
        <w:t xml:space="preserve">Con suscripción, el ciclo pesa poco: Autodesk creció un 16 % en FY2021 (pandemia) y un 14 % en FY2023 pese a la subida de tipos [1]. Lo que mueve hoy al sector es el múltiplo: el miedo a la IA ha desrateado todo el software de diseño en 2026 (Autodesk −24 % en un año frente al +17 % del S&amp;P 500). Indicadores: billings, RPO corriente y NR3 trimestrales.</w:t>
      </w:r>
    </w:p>
    <w:p>
      <w:pPr>
        <w:pStyle w:val="Heading2"/>
      </w:pPr>
      <w:r>
        <w:t xml:space="preserve">Regulación</w:t>
      </w:r>
    </w:p>
    <w:p>
      <w:pPr>
        <w:spacing w:after="100"/>
      </w:pPr>
      <w:r>
        <w:t xml:space="preserve">No hay regulación que limite precios. Afectan los mandatos BIM en obra pública (Reino Unido, España, Alemania) [26], las normas de exportación de EE. UU. (salida de Rusia) [1], la protección de datos y la Ley de IA europea en los modelos que entrenen con datos de clientes. La reforma fiscal de EE. UU. de 2025 cambió la deducción de la I+D, lo que movió los impuestos diferidos de FY2026 [1].</w:t>
      </w:r>
    </w:p>
    <w:p>
      <w:pPr>
        <w:pStyle w:val="Heading2"/>
      </w:pPr>
      <w:r>
        <w:t xml:space="preserve">Tendencias y disrupción</w:t>
      </w:r>
    </w:p>
    <w:p>
      <w:pPr>
        <w:spacing w:after="100"/>
      </w:pPr>
      <w:r>
        <w:t xml:space="preserve">Tres tendencias: (1) paso de herramientas de escritorio a plataformas de datos en la nube (Forma, Fusion, Autodesk Construction Cloud), donde Autodesk quiere cobrar por proyecto y por consumo y no solo por puesto [28]; (2) la IA, que automatiza tareas de dibujo y documentación y amenaza el cobro por usuario, pero da valor al que tiene los datos del proyecto [12, 27]; (3) concentración: Schneider compra PTC por 23.700 M USD [30], Nemetschek compra HCSS y Autodesk compra MaintainX [29].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software de diseño y construcción AEC: estimación propia de ≈20 % del mercado de Cambashi (3.583 M USD de AECO sobre ≈17.900 M USD) [1, 18]. En CAD mecánico es el cuarto tras Dassault, Siemens y PTC.</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CATIA y SolidWorks; líder en CAD mecánico y PLM, poco en edificación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Medición y software industrial; separa su software de ingeniería (Octave)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Tekla y Viewpoint en obra; mezcla hardware y software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Creo y Windchill; en proceso de compra por Schneider Electric a 205 USD por acción [22, 30].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(carreteras, energía, agua)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ArchiCAD, Allplan, Bluebeam; principal rival de Revit en Europa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Procore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PCOR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Gestión de obra en la nube, rival de Autodesk Construction Cloud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DWG y RVT son los formatos de intercambio de la industria: un mandato BIM es en la práctica un mandato Revit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Bibliotecas, plantillas, formación y archivos de décadas; NR3 en el 100-110 % y ingresos recurrentes del 97 %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AutoCAD y Revit son estándares de formación en escuelas de arquitectura e ingeniería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non-GAAP del 38 % en FY2026 frente al 24 % de Bentley y el 22 % de Dassault (contable) [3, 4,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7.206 M USD de ventas, más que Bentley, Nemetschek y Procore juntos [3, 4, 9].</w:t>
            </w:r>
          </w:p>
        </w:tc>
      </w:tr>
    </w:tbl>
    <w:p>
      <w:pPr>
        <w:spacing w:after="160" w:before="0"/>
      </w:pPr>
    </w:p>
    <w:p>
      <w:pPr>
        <w:pStyle w:val="Heading2"/>
      </w:pPr>
      <w:r>
        <w:t xml:space="preserve">Amenazas</w:t>
      </w:r>
    </w:p>
    <w:p>
      <w:pPr>
        <w:spacing w:after="100"/>
      </w:pPr>
      <w:r>
        <w:t xml:space="preserve">La IA es la amenaza principal: puede reducir el número de puestos por proyecto (se cobra por usuario) y dar entrada a herramientas nativas que generen planos o modelos a partir de texto [27]. Su probabilidad de dañar el cobro por puesto en 3-5 años es media; la de sustituir el formato y los datos de Revit, baja. Segunda amenaza: Nemetschek y Bentley en Europa e infraestructura, y Procore en obra. Tercera: la ejecución de las reestructuraciones comerciales (Europa occidental va más lenta) [12].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FY2021-FY2026: ingresos </w:t>
      </w:r>
      <w:r>
        <w:rPr>
          <w:b/>
          <w:bCs/>
        </w:rPr>
        <w:t xml:space="preserve">13,7 %</w:t>
      </w:r>
      <w:r>
        <w:t xml:space="preserve">, EBITDA </w:t>
      </w:r>
      <w:r>
        <w:rPr>
          <w:b/>
          <w:bCs/>
        </w:rPr>
        <w:t xml:space="preserve">21,6 %</w:t>
      </w:r>
      <w:r>
        <w:t xml:space="preserve">, BPA </w:t>
      </w:r>
      <w:r>
        <w:rPr>
          <w:b/>
          <w:bCs/>
        </w:rPr>
        <w:t xml:space="preserve">-0,8 %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un 13,7 % anual compuesto entre FY2021 y FY2026, casi todo orgánico (las compras de FY2022 y FY2025 sumaron 2.075 M) [1, 5]. El salto de FY2026 (+17,5 %) lleva ≈4-6 puntos del nuevo modelo de transacción, que pasa a ingresos las comisiones que antes se restaban como incentivo al revendedor y las lleva a gastos de venta; sin él y en divisa constante el crecimiento trimestral fue del 11-14 % [12]. El margen EBITDA contable sin no recurrentes subió del 17,5 % (FY2022) al 27,8 % (FY2026) por precio, mezcla de suscripción y menos pagos en acciones sobre ventas; el nuevo modelo resta margen porcentual pero es neutro en beneficio. En el 2T FY27 los ingresos crecen un 16 % (14 % en divisa constante, ≈2 puntos del nuevo modelo) y el margen operativo GAAP sube 4 puntos, al 29 % [2].</w:t>
      </w:r>
    </w:p>
    <w:p>
      <w:pPr>
        <w:pStyle w:val="Heading2"/>
      </w:pPr>
      <w:r>
        <w:t xml:space="preserve">Ajustes y partidas no recurrentes</w:t>
      </w:r>
    </w:p>
    <w:p>
      <w:pPr>
        <w:spacing w:after="100"/>
      </w:pPr>
      <w:r>
        <w:t xml:space="preserve">Usamos cifras GAAP. El EBITDA excluye la reestructuración y los costes de adquisición (232 M en FY2026, 62 M en FY2025), que van en no recurrentes; los pagos en acciones se quedan como gasto. La empresa publica un margen non-GAAP del 38 % en FY2026 que suma los pagos en acciones (10,9 puntos), la amortización de intangibles (1,9) y la reestructuración (3,0) [3]. El impuesto de FY2026 (30 %) lleva la revalorización de impuestos diferidos por la reforma fiscal de EE. UU.; el de FY2021 lleva la liberación de una provisión de 679 M (BPA de 5,44) [9]. Hay reestructuraciones en FY2025, FY2026 y FY2027 (≈2.350 puestos): la dirección dice que no serán anuales [13].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 FY27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 FY27 (27-ago-2026) la dirección subió la guía de billings e ingresos (+1 punto subyacente y +1 de MaintainX, ≈60 M de ingresos en el segundo semestre) y mantuvo el margen non-GAAP del 39 %, con MaintainX restando margen [2, 12]. Mensajes: renovaciones «fuertes» sin cifra, construcción creciendo «por encima del 20 %», la reorganización de ventas en el rango previsto con Europa occidental más lenta, y el objetivo del 41 % de margen non-GAAP en FY2029 «en pie» [12]. Sobre la IA, un marco en tres pasos (tarea, flujo de trabajo, sistema) y cobro por uso de máquinas (API) con plazos ajustados al cliente [12]. Frente al 1T, el discurso pasó de la reorganización a la «inteligencia de proyecto» y a MaintainX. Los analistas preguntaron por los ingresos de IA, el número de puestos, el margen de MaintainX y FY2028; la dirección no dio cifra de ingresos de IA ni de NR3, ni objetivos de sinergias, ni el ARR actualizado de MaintainX [12]. La acción cayó un 5 % fuera de hora por un BPA del 3T previsto por debajo del consenso.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Compra de PIX4D, Payapps y otras por 825 M USD en caja; pequeñas frente a unas ventas de 6.131 M.).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pasó de caja neta a deuda neta moderada por MaintainX: deuda bruta de ≈4.500 M tras la emisión de bonos de septiembre (500 M al 5,05 % a 2029 y 500 M al 5,65 % a 2033, para repagar el préstamo puente) y 1.000 M de pagarés [4, 16, 17]. El circulante comercial es negativo (−51 % de las ventas en FY2026) porque los clientes pagan por adelantado; con la facturación anual de los contratos plurianuales esa financiación crece menos que las ventas (−75 % en FY2021) [5]. Vencimientos asumibles: 1.500 M en FY2028 (bono de junio de 2027 y pagarés) frente a una caja libre guiada de ≈2.740 M.</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FY2021-FY2026: FCF </w:t>
      </w:r>
      <w:r>
        <w:rPr>
          <w:b/>
          <w:bCs/>
        </w:rPr>
        <w:t xml:space="preserve">9.963</w:t>
      </w:r>
      <w:r>
        <w:t xml:space="preserve">, conversión </w:t>
      </w:r>
      <w:r>
        <w:rPr>
          <w:b/>
          <w:bCs/>
        </w:rPr>
        <w:t xml:space="preserve">176 %</w:t>
      </w:r>
      <w:r>
        <w:t xml:space="preserve"> del beneficio neto; adquisiciones 2.487, dividendos 0, recompras 5.781.</w:t>
      </w:r>
    </w:p>
    <w:p>
      <w:pPr>
        <w:spacing w:after="100"/>
      </w:pPr>
      <w:r>
        <w:t xml:space="preserve">La conversión del beneficio en caja es alta (176 % acumulado en FY2021-FY2026) porque los pagos en acciones no son caja y los clientes pagan por adelantado. Años anómalos: FY2024 (1.252 M de caja libre, −38 %) por el paso de facturación plurianual a anual, y FY2026 (2.376 M, +58 %) por la facturación directa del nuevo modelo y un 4T fuerte [3]. El capex es mínimo (≈1 % de las ventas, inmovilizado e intangibles), pero hay un «capex» oculto: las comisiones a revendedores activadas como coste de obtener contratos subieron de 467 M a 913 M en FY2026 [5]; en el DCF sumamos su aumento (≈1,3 % de las ventas) al capex. Usos: 5.781 M en recompras y 2.487 M en compras en seis años, sin dividendo.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Auditor EY, opinión favorable [1]. Tres puntos. (1) Pagos en acciones de 788 M (11 % de las ventas, 70 % del beneficio neto): por eso normalizamos el BPA restándolos; la empresa promete bajar al 9 % en FY2027 [12]. (2) La investigación de 2024 sobre las prácticas para «gestionar» la caja libre y el margen non-GAAP (cobros adelantados) terminó sin reexpresión y la SEC cerró el caso en 2025 [1]; el bono variable ya no mide caja libre. (3) El nuevo modelo de transacción cambia la presentación (ingresos y gastos más altos, margen porcentual menor) y la activación de comisiones, que creció a 913 M [5]. Indicadores del motor: Altman Z 3,92 (sin riesgo), Piotroski F 8 de 9 (mejora) y Beneish M −2,67 (por debajo del umbral de manipulación de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del 11 %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Diluyen ≈1,5 % al año antes de recompras; cuentan como gasto en nuestro BPA y en el DCF.</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Activación de comisiones de revendedores (913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duplicó en un año con el nuevo modelo; amortización de 536 M en FY2026. Vigilar que no crezca más que las ventas.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Investigación interna de 2024 sobre caja libre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por la SEC y la fiscalía sin acciones; cambió el director financiero.</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4.295 M en FY2026 (el 129 % del capital invertido medio); ha subido más de un 5 % en 2 de 5 años: compra única grande.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26,0 % · </w:t>
      </w:r>
      <w:r>
        <w:rPr>
          <w:b/>
          <w:bCs/>
        </w:rPr>
        <w:t xml:space="preserve">WACC</w:t>
      </w:r>
      <w:r>
        <w:t xml:space="preserve">: 10,9 %.</w:t>
      </w:r>
    </w:p>
    <w:p>
      <w:pPr>
        <w:spacing w:after="100"/>
      </w:pPr>
      <w:r>
        <w:t xml:space="preserve">Autodesk crea mucho valor: ROIC del 38,4 % en FY2026 frente a un WACC del 10,86 %, 27,5 puntos por encima, y por encima del 38 % todos los años desde FY2021 [calc]. El ROIC lo mueve el capital invertido mínimo (los clientes financian el circulante con 4.693 M de ingresos diferidos) y no un margen alto: la rotación es de 0,62 y el margen neto del 15,6 %. El ROIC incremental de los últimos cinco años es del 26 %, menor que el medio por el fondo de comercio de las compras. Tras MaintainX (≈3.500 M más de capital) el ROIC bajará a algo más del 20 % por cálculo propio, todavía el doble del WACC. Los competidores rinden mucho menos: Bentley 11,9 %, Dassault 13,8 % y Nemetschek 19,2 % [43, 44, 45].</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líquidas de 4.357 M USD a 31-jul-26 antes de pagar MaintainX (≈3.530 M el 3-ago) [4]; línea de crédito no dispuesta de 2.000 M USD que respalda un programa de pagarés de hasta 2.000 M (1.000 M dispuestos)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relevantes. Ingresos diferidos de 4.258 M en jul-26: obligación de servicio, no deuda [2]. Covenants de la línea de crédito y del préstamo puente (ratio de apalancamiento) con holgura amplia: deuda neta ajustada de 2.651 M frente a un EBITDA de 2.376 M (1,1 veces) [4]. Provisiones fiscales a largo plazo de 203 M [2]. Litigios: demanda derivativa abierta por la investigación de 2024; la colectiva fue desestimada con permiso para enmendar [1]. Compromisos de compra de nube y una retención de 150 M en acciones para los empleados de MaintainX [48].</w:t>
      </w:r>
    </w:p>
    <w:p>
      <w:pPr>
        <w:pStyle w:val="Heading1"/>
      </w:pPr>
      <w:r>
        <w:t xml:space="preserve">12. Asignación de capital</w:t>
      </w:r>
    </w:p>
    <w:p>
      <w:pPr>
        <w:pStyle w:val="Confianza"/>
        <w:spacing w:after="100"/>
      </w:pPr>
      <w:r>
        <w:t xml:space="preserve">Confianza: Media</w:t>
      </w:r>
    </w:p>
    <w:p>
      <w:pPr>
        <w:spacing w:after="100"/>
      </w:pPr>
      <w:r>
        <w:t xml:space="preserve">Sin dividendo. Prioridades: invertir en el negocio, compras «tuck-in» y recompras para reducir el número de acciones: ≈50 % de la caja libre a recompras a largo plazo; en FY2027 el importe será similar al de FY2026 (1.402 M) [12]. En el 2T FY27 recompró 2,1 M de acciones por 453 M [12]. Tras MaintainX la dirección habla de compras pequeñas alrededor de ella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MaintainX (mantenimiento y operaciones)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préstamo puente y pagarés; bonos en sept-2026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3-ago-2026; ≈26 veces el ARR esperado de 2026; resta margen en FY2027-FY2028 [12, 48].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PIX4D, Payapps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refuerzan construcción, que crece más del 20 % [1,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Innovyze (agua)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AECO; sin deterioros del fondo de comercio [1].</w:t>
            </w:r>
          </w:p>
        </w:tc>
      </w:tr>
    </w:tbl>
    <w:p>
      <w:pPr>
        <w:spacing w:after="160" w:before="0"/>
      </w:pPr>
    </w:p>
    <w:p>
      <w:pPr>
        <w:spacing w:after="100"/>
      </w:pPr>
      <w:r>
        <w:t xml:space="preserve">Buena asignadora en lo orgánico y discutible en el precio de las compras. En seis años generó 9.963 M de caja libre y destinó 5.781 M a recompras, pero el número de acciones diluidas solo bajó de 222 a 215 M: más de la mitad de las recompras compensa los pagos en acciones. MaintainX es la apuesta más cara: 3.575 M por un negocio de ≈135 M de ARR sin beneficios, un 7 % de la capitalización [48]. Si crece al 50 % y se integra con la base instalada puede justificarse; si no, es un deterioro futuro. El ROIC incremental del 26 % sigue holgado sobre el WACC.</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Anagnost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la compañía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Autodesk desde 1997; dirigió la transición a suscripción (ventas de 2.031 M USD en FY2017 a 7.206 M en FY2026, margen non-GAAP del 38 %) [33]. Starboard pidió su salida en 2024-2025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Janesh Moorjani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diciembre de 2024 desde Elastic tras la investigación sobre las prácticas de caja libre; compró 2.500 acciones a 197,67 USD en junio de 2026 [33,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M. Blum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ventas y del nuevo modelo de transacción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Ruth Ann Keene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Corporate Affairs, Chief Legal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Jefa de los servicios jurídicos y de asuntos corporativos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Stacy J.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director financiero de Intel; compró 3.435 acciones por 0,79 M USD en mayo de 2026 [33,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5.020-5.120 M USD (feb-22)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5.005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5.355-5.455 M USD (feb-23)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5.497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5.990-6.090 M USD (feb-24)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6.131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6.895-6.965 M USD (feb-25)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7.206 M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8.100-8.170 M USD (feb-26)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Elevada a 8.295-8.345 M USD en agosto (incluye MaintainX)</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en la cúpula (Anagnost desde 2017) y renovado en finanzas tras la investigación (Moorjani desde diciembre de 2024). La credibilidad de la guía es buena: superó el rango de ingresos en FY2024-FY2026 y lo elevó dos veces en FY2027 [2, 15]. Lo que resta es el historial reciente de ventas: tres reestructuraciones comerciales en dos años y Europa occidental todavía por debajo de lo previsto [12]. Señal positiva: el consejero delegado, el director financiero, el presidente y un consejero compraron acciones en mercado por 2,2 M USD entre mayo y junio de 2026, entre 189 y 231 USD, sin ninguna venta en 12 meses [35]. Sucesión no anunciada; Starboard pidió en 2024-2025 el relevo de Anagnost [37].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Stacy J.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Anagnost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Blasing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 Cahill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Jeff Epstein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(acuerdo con Starboard)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Ayanna Howard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Blake Irving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 R. Krishnan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Rami Rahim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Christie Simons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(acuerdo con Starboard)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Omar Abbosh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91 %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2,16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(15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en mercado en mayo-junio de 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Stacy J. Smith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Janesh Moorjani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Anagnost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T. Cahill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96 % de la remuneración objetivo del consejero delegado es variable [33]. El variable a largo plazo son unidades por objetivos (PSU) que desde FY2026 miden el resultado de explotación non-GAAP menos los pagos en acciones y el rendimiento relativo para el accionista a tres años (rTSR), en vez de la caja libre, que algunos accionistas cuestionaron tras la investigación [33]. Es una buena métrica: castiga la dilución. El total de Anagnost subió de 20,6 M USD (FY2024) a 30,1 M (FY2026), 204 veces el empleado mediano [33]. Hay cláusula de recuperación (clawback). La votación consultiva fue del 88,1 % a favor en 2025 y del 91,3 % en 2026 (8,3 % en contra) [33, 34].</w:t>
      </w:r>
    </w:p>
    <w:p>
      <w:pPr>
        <w:pStyle w:val="Heading2"/>
      </w:pPr>
      <w:r>
        <w:t xml:space="preserve">Operaciones vinculadas, estructura de control y defensas</w:t>
      </w:r>
    </w:p>
    <w:p>
      <w:pPr>
        <w:spacing w:after="100"/>
      </w:pPr>
      <w:r>
        <w:t xml:space="preserve">Sin accionista de control: Vanguard (10,1 %) y BlackRock (9,1 %) son gestoras [33]. Una acción, un voto; consejo de 11 con 10 independientes y presidente no ejecutivo separado del consejero delegado [33]. Starboard (≈0,5 % del capital) pactó en abril de 2025 dos consejeros y retiró su candidatura [1, 37]. En 2026 la junta aprobó limitar la responsabilidad de los directivos (exculpación de Delaware, 81 % a favor) y rechazó por poco (47,6 % a favor) una propuesta para facilitar juntas extraordinarias [34].</w:t>
      </w:r>
    </w:p>
    <w:p>
      <w:pPr>
        <w:pStyle w:val="Heading2"/>
      </w:pPr>
      <w:r>
        <w:t xml:space="preserve">Señales de alerta</w:t>
      </w:r>
    </w:p>
    <w:p>
      <w:pPr>
        <w:pStyle w:val="ListParagraph"/>
        <w:numPr>
          <w:ilvl w:val="0"/>
          <w:numId w:val="2"/>
        </w:numPr>
        <w:spacing w:after="60"/>
      </w:pPr>
      <w:r>
        <w:t xml:space="preserve">Investigación interna de 2024 sobre las prácticas de caja libre y margen non-GAAP: cambió el director financiero; la SEC y la fiscalía cerraron sin acciones en agosto de 2025; queda una demanda derivativa [1].</w:t>
      </w:r>
    </w:p>
    <w:p>
      <w:pPr>
        <w:pStyle w:val="ListParagraph"/>
        <w:numPr>
          <w:ilvl w:val="0"/>
          <w:numId w:val="2"/>
        </w:numPr>
        <w:spacing w:after="60"/>
      </w:pPr>
      <w:r>
        <w:t xml:space="preserve">Activismo: Starboard pidió en 2024-2025 el relevo del consejero delegado; acuerdo de cooperación en abril de 2025 [1, 37].</w:t>
      </w:r>
    </w:p>
    <w:p>
      <w:pPr>
        <w:pStyle w:val="ListParagraph"/>
        <w:numPr>
          <w:ilvl w:val="0"/>
          <w:numId w:val="2"/>
        </w:numPr>
        <w:spacing w:after="60"/>
      </w:pPr>
      <w:r>
        <w:t xml:space="preserve">Remuneración del consejero delegado al alza (+46 % en dos años) con la acción por debajo del S&amp;P 500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FY2027 (27-ago-2026, con MaintainX desde el 3-ago): billings de 8.575-8.650 M USD, ingresos de 8.295-8.345 M (+15-16 %), margen operativo GAAP del 25-27 % y non-GAAP del ≈39 %, BPA GAAP de 7,89-8,72 USD y non-GAAP de 12,52-12,60, caja libre de 2.725-2.750 M [2]. La dirección espera mejorar algo el margen non-GAAP en FY2028 y llegar al 41 % en FY2029, con pagos en acciones del ≈9 % de las ventas (11 % en FY2026)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(36 analistas; EBITDA y EBIT ajustados, BPA GAAP)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307,54</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Solo hay una fuente gratuita con estimaciones completas (MarketScreener): BPA GAAP de 8,48 USD en FY2027e, 9,78 en FY2028e y 11,61 en FY2029e, e ingresos de 8.324, 9.242 y 10.241 M [39]. Las estimaciones de ventas subieron con la guía de agosto y MaintainX; las de beneficio GAAP bajaron por la amortización y los costes de la compra. Los objetivos van a la baja: Citi bajó de 331 a 246 USD y Neutral, Wells Fargo de 350 a 330 USD, Cantor y Goldman iniciaron en Neutral por la IA y Guggenheim en Comprar; el objetivo medio es 307,54 USD con 36 analistas [39, 56, 57].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bl>
    <w:p>
      <w:pPr>
        <w:spacing w:after="160" w:before="0"/>
      </w:pPr>
    </w:p>
    <w:p>
      <w:pPr>
        <w:spacing w:after="100"/>
      </w:pPr>
      <w:r>
        <w:t xml:space="preserve">La acción ha perdido un 24,2 % en un año frente al +16,9 % del S&amp;P 500 y el −5,0 % del ETF de software (IGV), y un 4,5 % anual en cinco años. No es por las cifras (ingresos +16 % y margen al alza): es el desrateo de todo el software por puesto por miedo a la IA. Las mayores caídas de 12 meses fueron noticias ajenas o del sector: −8,3 % el 4-sep-2026 (relevo en Adobe y miedo a la IA), −7,1 % el 11-jun-2026 y −6,4 % el 9-abr-2026 [38, 61]. Mínimo de 185,50 USD el 22-jun-2026, cuando compraron los directivos; desde entonces +25 %, con el empuje de la compra de PTC por Schneider (+5,4 % el 5-oct) [58]. Volatilidad del 38,8 % y beta mensual de 1,30 (semanal de dos años 0,86) [38]. Posición corta ≈4,2 % del capital flotante [55].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a la mitad de su historia: EV/EBITDA de 21,5 veces frente a una media de 42,8 en cinco años y PER de 29,9 frente a 60,6 (cierres de cada ejercicio) [calc]. La historia está inflada por la transición a suscripción (beneficios bajos hasta FY2022) y por los tipos a cero; FY2021 se excluye por la burbuja de 2021. Ha cambiado algo estructural: la tasa libre pasó del 1,1 % al 5,2 % y el mercado ya no paga la terminal de un software por puesto por miedo a la IA. Por eso el selector de método trata a Autodesk como desrateada y no supone la vuelta a esos múltiplos.</w:t>
      </w:r>
    </w:p>
    <w:p>
      <w:pPr>
        <w:pStyle w:val="Heading1"/>
      </w:pPr>
      <w:r>
        <w:t xml:space="preserve">18. Comparables cotizados</w:t>
      </w:r>
    </w:p>
    <w:p>
      <w:pPr>
        <w:pStyle w:val="Confianza"/>
        <w:spacing w:after="100"/>
      </w:pPr>
      <w:r>
        <w:t xml:space="preserve">Confianza: Media</w:t>
      </w:r>
    </w:p>
    <w:p>
      <w:pPr>
        <w:spacing w:after="100"/>
      </w:pPr>
      <w:r>
        <w:t xml:space="preserve">Siete cotizadas de software de diseño e ingeniería con suscripción: Bentley y Nemetschek (BIM e infraestructura, los rivales directos en AECO), Dassault (CAD mecánico y PLM, rival en fabricación), Trimble y Hexagon (construcción y medición), y Synopsys y Cadence (diseño electrónico y simulación, la referencia de calidad del software de diseño). Fuera: PTC, porque su cotización ya es la de la oferta de Schneider (va a transacciones); Siemens, porque el software es una parte pequeña; y Procore, sin beneficios.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Hexagon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17,7x / 19,9x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 / 24,9x / 27,3x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 / 28,1x / 29,2x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 / 7,8x / 10,3x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368,09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(5 comparables): múltiplo = 8,7 + 0,66 × crecimiento; R² = 0,73. Para el crecimiento esperado de la empresa (12,4 %), el múltiplo ajustado es 16,9x y el valor por acción, 210,78.</w:t>
      </w:r>
    </w:p>
    <w:p>
      <w:pPr>
        <w:spacing w:after="100"/>
      </w:pPr>
      <w:r>
        <w:t xml:space="preserve">Autodesk está en la parte baja del mapa por múltiplo y en la alta por calidad: EV/EBITDA NTM de 18,5 veces frente a una mediana de 17,7 (pero nuestro EBITDA lleva los pagos en acciones como gasto y el de los comparables no siempre), PER NTM de 24,6 frente a 28,1, y un ROIC del 38,4 % frente a una mediana del 13,8 %. Con crecimientos parecidos (10,7 % de mediana) la prima de calidad no se paga: el descuento es el precio del miedo a la IA en el cobro por puesto. Los métodos dan 221,27 USD (EV/EBITDA NTM) y 264,02 (PER NTM). Usamos el PER como referencia porque mezcla menos definiciones; con siete empresas y bases de BPA distintas pesan solo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205 USD por acción en efectivo; 22.600 M de capital y ≈23.700 M con deuda; ventas de FY2025 de 2.739 M USD; ≈21 veces el EBITA ajustado de 2027e según la prensa [30, 47]. Pendiente de aprobación (3T 2027).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MaintainX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Autodesk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veces el ARR esperado de 2026 (&gt;135 M USD, +50 %); sin beneficios. Excluida: crecimiento y perfil de pérdidas distintos [48].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HCSS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2.000 M EUR y algo más de 20 veces el EBITDA de 2025, según el consejero delegado de Nemetschek; ventas ≈215 M USD [49,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GoCanvas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Nemetschek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 veces el ARR de 2023 (67 M USD) [51].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390 USD por acción en efectivo y acciones; ventas de 2023 de 2.270 M USD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Altium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Renesas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8.800 M AUD de valor empresa; ≈18 veces ventas y ≈50 veces EBITDA del ejercicio 2024e [53].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113 USD por acción; 14 veces ventas y 31 veces EBITDA ajustado de 2025e con sinergias [54].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31,0x (25,5x – 40,5x)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276,44 – 445,35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Los compradores estratégicos pagan entre 9 y 18 veces las ventas por software de diseño: Schneider ofrece 8,65 veces por PTC (prima del 42 %), Siemens pagó 14 por Altair y Synopsys 15,4 por Ansys [30, 52, 54]. Autodesk cotiza a 6,55 veces sus ventas LTM. No es objetivo probable de una opa (51.030 M de valor empresa, sin accionista de control), pero la operación de PTC marca un suelo de valor de control muy por encima del precio: a 8,65 veces las ventas LTM, Autodesk valdría ≈310 USD por acción. Por la prima de control no ponderamos este método.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se fija en el 15,5 % (8.323 M, en la guía de 8.295-8.345 M) [2]. FY2028e: 10,5 %, por debajo del consenso (11,0 %) porque deja de sumar el nuevo modelo de transacción (≈2 puntos) y suma un año entero de MaintainX (≈1,5 puntos) [12]. Después bajamos medio punto al año hasta el 4 % de FY2036e: el mercado de diseño y construcción crece un 9,9 % previsto [18] y Autodesk creció un 13,7 % anual en FY2021-FY2026. Media de la proyección: 8,5 %, por debajo de su historia, para dejar sitio a la presión de la IA sobre los puestos.</w:t>
      </w:r>
    </w:p>
    <w:p>
      <w:pPr>
        <w:keepNext/>
        <w:spacing w:after="100"/>
      </w:pPr>
      <w:r>
        <w:rPr>
          <w:b/>
          <w:bCs/>
        </w:rPr>
        <w:t xml:space="preserve">Márgenes.</w:t>
      </w:r>
    </w:p>
    <w:p>
      <w:pPr>
        <w:spacing w:after="100"/>
      </w:pPr>
      <w:r>
        <w:t xml:space="preserve">Margen EBITDA contable (con pagos en acciones como gasto) del 30,6 % en FY2027e, que equivale al ≈39 % non-GAAP de la guía menos pagos en acciones del 9 % más la depreciación [2, 12]. Sube al 33,0 % en FY2029e, coherente con el 41 % non-GAAP de la dirección para FY2029 y pagos en acciones del 8,6 %, y se estabiliza en el 35 % a partir de FY2033e. Dassault y PTC ganan un 33-43 % de EBITDA; no suponemos más.</w:t>
      </w:r>
    </w:p>
    <w:p>
      <w:pPr>
        <w:keepNext/>
        <w:spacing w:after="100"/>
      </w:pPr>
      <w:r>
        <w:rPr>
          <w:b/>
          <w:bCs/>
        </w:rPr>
        <w:t xml:space="preserve">Inversión y circulante.</w:t>
      </w:r>
    </w:p>
    <w:p>
      <w:pPr>
        <w:spacing w:after="100"/>
      </w:pPr>
      <w:r>
        <w:t xml:space="preserve">Capex del 2,3 % de las ventas: ≈1 % de inmovilizado e intangibles más el aumento de comisiones activadas (≈1,3 %), que no pasa por el EBITDA [5]. Amortización del 3,2-3,4 % hasta FY2029e por los intangibles de MaintainX y bajando al 2,0 %; en el último año el capex (2,2 %) la supera. Circulante del −46 % al −40 % de las ventas: los clientes siguen pagando por adelantado, pero menos con la facturación anual.</w:t>
      </w:r>
    </w:p>
    <w:p>
      <w:pPr>
        <w:keepNext/>
        <w:spacing w:after="100"/>
      </w:pPr>
      <w:r>
        <w:rPr>
          <w:b/>
          <w:bCs/>
        </w:rPr>
        <w:t xml:space="preserve">Coste del capital.</w:t>
      </w:r>
    </w:p>
    <w:p>
      <w:pPr>
        <w:spacing w:after="100"/>
      </w:pPr>
      <w:r>
        <w:t xml:space="preserve">Tasa libre del 5,19 % (bono a 10 años de EE. UU., 14-oct-2026) [40]. Beta de 1,15: la mensual de cinco años es 1,30 (ajustada 1,20) y la semanal de dos años 0,86 [38]; tomamos un punto intermedio. Prima de mercado del 5,5 %. Coste de la deuda del 5,4 % antes de impuestos (bonos emitidos al 5,05-5,65 % en septiembre) [16] y peso del 9 % a valor de mercado. WACC del 10,86 %. Con la prima implícita del mercado (4,2 %) el WACC baja al 9,5 % [41]. La recomendación depende de la beta: con 1,0 el DCF sube ≈10 %.</w:t>
      </w:r>
    </w:p>
    <w:p>
      <w:pPr>
        <w:keepNext/>
        <w:spacing w:after="100"/>
      </w:pPr>
      <w:r>
        <w:rPr>
          <w:b/>
          <w:bCs/>
        </w:rPr>
        <w:t xml:space="preserve">Valor terminal.</w:t>
      </w:r>
    </w:p>
    <w:p>
      <w:pPr>
        <w:spacing w:after="100"/>
      </w:pPr>
      <w:r>
        <w:t xml:space="preserve">Crecimiento terminal del 3,0 %: crecimiento real del 0,5-1 % más una inflación esperada del 2-2,5 % en USD, por debajo de la tasa libre menos medio punto (4,7 %). El múltiplo implícito es de 10,4 veces el EBITDA de salida, por debajo de los comparables (17,7 veces NTM), porque con un WACC del 10,9 % Gordon es exigente; el valor terminal pesa un 53 %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180,24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238,28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 frente al 8,4 %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-3.221 M, con un capex bruto medio del 2,3 % de las ventas). En un negocio de activos ligeros, el crecimiento medio del 8,4 %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≈12 puntos de crecimiento subyacente (volumen y precio, retirada de descuentos plurianuales) más ≈2-3 del nuevo modelo de transacción y ≈1 de MaintainX [2,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(construcción y Fusion por encima del 20 %, AutoCAD más lento) y precio del 4 %; +1,5 de MaintainX en su primer año entero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4 % (subidas anuales y cobro por consumo y API) y volumen del 5,5 %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diseño y construcción al 9,9 % anual [18]; precio del 3,5 %.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Convergencia hacia el mercado; sin compras.</w:t>
            </w:r>
          </w:p>
        </w:tc>
      </w:tr>
    </w:tbl>
    <w:p>
      <w:pPr>
        <w:spacing w:after="160" w:before="0"/>
      </w:pPr>
    </w:p>
    <w:p>
      <w:pPr>
        <w:spacing w:after="100"/>
      </w:pPr>
      <w:r>
        <w:t xml:space="preserve">Sí. El crecimiento proyectado (8,5 % de media) está por debajo del histórico (13,7 % anual en FY2021-FY2026) y del mercado previsto (9,9 %) [18], y no necesita capital: la reinversión neta es negativa porque los clientes pagan por adelantado, así que la prueba es el poder de precios y la cuota. El poder de precios está demostrado (retirada de descuentos plurianuales, NR3 cerca del 110 % y renovaciones fuertes) [4, 12] y la cuota final de AECO sube poco (de ≈20 % a ≈21 % del mercado de Cambashi con el crecimiento de AECO al ritmo del grupo; prueba manual, porque la cuota es de un segmento). El ROIC del 38,4 % y el incremental del 26 % triplican y doblan el WACC. El riesgo no es de financiación sino de volumen: si la IA reduce los puestos, el volumen del puente (5-5,5 %) no se cumple; ese caso está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(FY2028e-FY2036e)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 (base: 7,7 %)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10,9 %)</w:t>
            </w:r>
          </w:p>
        </w:tc>
      </w:tr>
    </w:tbl>
    <w:p>
      <w:pPr>
        <w:spacing w:after="160" w:before="0"/>
      </w:pPr>
    </w:p>
    <w:p>
      <w:pPr>
        <w:spacing w:after="100"/>
      </w:pPr>
      <w:r>
        <w:t xml:space="preserve">El DCF da 191,55 USD por acción, un 17,1 % por debajo del precio, con un valor terminal que pesa el 53 %. El DCF inverso dice que el precio descuenta un crecimiento del 10,0 % anual en FY2028e-FY2036e frente al 7,7 % de nuestro caso base en esos años (o un margen EBITDA del 41,9 % con nuestro crecimiento), y una rentabilidad implícita del 9,6 % frente a nuestro WACC del 10,86 %. Es decir: al precio de hoy el mercado no descuenta el hundimiento por la IA que sugiere la caída de la acción, sino que la empresa siga creciendo al ritmo del mercado durante una década; lo que ha cambiado es el múltiplo, no la exigencia. Con la prima implícita del mercado (WACC del 9,5 %) el valor sube a 235,00 USD, en línea con el precio. Nuestra lectura: precio justo para un comprador con el coste de capital del mercado y algo caro con el nuestro; no hay margen de seguridad en el DCF, aunque la regla a 12 meses, que mira el múltiplo y no la terminal, sí da recorrido.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reduce los puestos: los estudios de arquitectura e ingeniería producen planos y modelos con la mitad de delineantes, el cobro por consumo no compensa y AutoCAD LT pierde clientes frente a herramientas generativas baratas. El crecimiento baja 4 puntos al año y el margen 3 puntos (precio a la baja en las renovaciones), como le pasó a Autodesk en FY2010 con las licencias o al software de atención al cliente en 2026.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se cumple, el crecimiento converge del 10,5 % al 4 % en diez años y el margen non-GAAP llega al 41 % en FY2029 con los pagos en acciones bajando al ≈8,5 %. La IA se vende como módulo y por consumo sin canibalizar puestos de forma visible.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multiplica el valor de los datos de proyecto (Forma, Construction Cloud, MaintainX): Autodesk cobra por resultados y por uso de agentes, la construcción sigue por encima del 20 % y el margen supera la guía. Crecimiento 2 puntos por encima del base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31,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182,76 USD (-20,9 %).</w:t>
      </w:r>
    </w:p>
    <w:p>
      <w:pPr>
        <w:spacing w:after="100"/>
      </w:pPr>
      <w:r>
        <w:t xml:space="preserve">La asimetría del valor intrínseco es mala: el alcista vale 235,02 USD (+1,7 %) y el bajista 112,91 (−51,2 %), con una asimetría de 0,03 veces; con la prima del mercado mejora a 0,60. El bajista pesa porque la IA tocaría a la vez el volumen y el precio y porque con un WACC del 11 % una década de menor crecimiento destruye la terminal. A 12 meses la lectura cambia: la regla de múltiplos parte de un PER de 24,5 veces y ya descuenta parte del miedo, y la ponderada es positiva. Compensa como posición de cartera solo comprando por debajo del valor intrínseco.</w:t>
      </w:r>
    </w:p>
    <w:p>
      <w:pPr>
        <w:pStyle w:val="Heading1"/>
      </w:pPr>
      <w:r>
        <w:t xml:space="preserve">22. Suma de partes</w:t>
      </w:r>
    </w:p>
    <w:p>
      <w:pPr>
        <w:pStyle w:val="Confianza"/>
        <w:spacing w:after="100"/>
      </w:pPr>
      <w:r>
        <w:t xml:space="preserve">Confianza: Alta</w:t>
      </w:r>
    </w:p>
    <w:p>
      <w:pPr>
        <w:spacing w:after="100"/>
      </w:pPr>
      <w:r>
        <w:t xml:space="preserve">No aplica: las cinco familias de producto comparten plataforma, clientes, canal y modelo de suscripción, y la empresa publica un solo segmento sin resultado por familia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31,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232,30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199,13 USD (-13,8 % sobre 231,14).</w:t>
      </w:r>
    </w:p>
    <w:p>
      <w:pPr>
        <w:spacing w:after="100"/>
      </w:pPr>
      <w:r>
        <w:t xml:space="preserve">Pesos: DCF 50 %, escenarios 30 % y comparables 20 %; transacciones 0 % porque llevan prima de control. El DCF es el método más fiable para un negocio de suscripción con flujos previsibles; los comparables son pocos y con bases de BPA mezcladas. La dispersión es grande: el DCF (191,55) y los escenarios (182,76) quedan por debajo del precio; el PER de los comparables (264,02) y las transacciones (338,37) por encima. La diferencia es la tasa de descuento: con la prima del mercado el DCF da 235,00. El valor intrínseco ponderado, 199,13 USD (−13,8 %), es la referencia de largo plazo; el objetivo a 12 meses sale de la regla de múltiplos (sección siguiente).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384,71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+66,4 %</w:t>
            </w:r>
          </w:p>
        </w:tc>
      </w:tr>
    </w:tbl>
    <w:p>
      <w:pPr>
        <w:spacing w:after="160" w:before="0"/>
      </w:pPr>
    </w:p>
    <w:p>
      <w:pPr>
        <w:spacing w:after="100"/>
      </w:pPr>
      <w:r>
        <w:rPr>
          <w:b/>
          <w:bCs/>
        </w:rPr>
        <w:t xml:space="preserve">Objetivo a 12 meses (ponderado):</w:t>
      </w:r>
      <w:r>
        <w:t xml:space="preserve"> 279,23 USD · rentabilidad +20,8 % (base +17,1 %) · señal Mantener.</w:t>
      </w:r>
    </w:p>
    <w:p>
      <w:pPr>
        <w:spacing w:after="100"/>
      </w:pPr>
      <w:r>
        <w:t xml:space="preserve">Para comparar, con la regla v2 (historia al cierre, mismo precio): 20,8x / 24,5x / 31,9x, 20,8 % Mantener; con el tope anterior del base (×1,3, 14-oct mediodía): 57,6 % Mantener; con la v3 sin el selector (tope ×1,1): 33,4 % Mantener. Decide la v2, elegida por el selector de método (desrateada: la mediana adelantada (46,5x) es 1,9 veces el PER de hoy (24,5x); la historia es de otro régimen y decide la v2; METODO-VIGENTE.md).</w:t>
      </w:r>
    </w:p>
    <w:p>
      <w:pPr>
        <w:keepNext/>
        <w:spacing w:after="100"/>
      </w:pPr>
      <w:r>
        <w:rPr>
          <w:b/>
          <w:bCs/>
        </w:rPr>
        <w:t xml:space="preserve">Frente al consenso (solo contraste).</w:t>
      </w:r>
    </w:p>
    <w:p>
      <w:pPr>
        <w:spacing w:after="100"/>
      </w:pPr>
      <w:r>
        <w:t xml:space="preserve">Nuestro BPA de FY2029e (11,05 USD) queda un 4,8 % por debajo del consenso GAAP (11,61) y el de FY2028e (9,45) un 3,4 % por debajo (9,78) [39]: suponemos un crecimiento algo menor (10,5 % frente al 11,0 % en FY2028e), sin recompras netas y con un 20 % de impuestos. El precio base (270,73 USD) queda un 12,0 % por debajo del objetivo medio de los analistas (307,54), que aplican PER más altos (≈27-30 veces) por la historia de la empresa; nuestra regla, con la empresa desrateada, parte del PER de hoy.</w:t>
      </w:r>
    </w:p>
    <w:p>
      <w:pPr>
        <w:keepNext/>
        <w:spacing w:after="100"/>
      </w:pPr>
      <w:r>
        <w:rPr>
          <w:b/>
          <w:bCs/>
        </w:rPr>
        <w:t xml:space="preserve">Del valor intrínseco al objetivo a 12 meses.</w:t>
      </w:r>
    </w:p>
    <w:p>
      <w:pPr>
        <w:spacing w:after="100"/>
      </w:pPr>
      <w:r>
        <w:t xml:space="preserve">El objetivo a 12 meses (279,23 USD) está un 40 % por encima del valor intrínseco (199,13). La distancia sale de la tasa de descuento: la regla a 12 meses supone que el PER de hoy (24,5 veces nuestro BPA FY2028e) se mantiene y que el BPA crece un 17 % hasta FY2029e; el DCF, con un WACC del 10,86 %, no paga ese PER a largo plazo. Para que el valor intrínseco alcance al precio tiene que bajar el coste de capital (la prima del mercado da 235 USD) o el crecimiento a diez años superar el 10 %. El BPA base crece un 16,8 % anual desde el normalizado de FY2026 (6,93), no un 28 % desde el publicado (5,23), que lleva la reestructuración y un impuesto del 30 %.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MaintainX; guía del 3T: ingresos de 2.125-2.140 M y BPA non-GAAP de 3,04-3,09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mayor grupo de EBA de la historia en el 4T y primera guía con el margen de MaintainX</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bono de 500 M al 3,5 % y 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al ≈5 %; votación de remuneración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PTC por Schneider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valor de control del software de diseño (8,65 veces ventas)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Lanzamientos de agentes de IA de terceros (Anthropic, OpenAI) en diseño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de un día del 6-9 % por miedo a la 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FY2028-FY2029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non-GAAP del 41 % en FY2029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y caja libre al alza; recompras de ≈1.400 M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reduce los puestos de pago (Revit, AutoCAD, Inventor)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 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 112,91 frente a 191,55)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por consumo, EBA y API; datos de proyecto en la nube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NR3 por debajo del 100 % o ingresos de AutoCAD y AutoCAD LT por debajo del 5 % interanual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MaintainX no crece ni se integra (compra a ≈26 veces ARR)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−8 % (≈17 USD por acción si se deteriora la mitad del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50 % y venta cruzada a la base instalada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MaintainX que publicará cuatro trimestres; deterioro del fondo de comercio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Reorganización de ventas: Europa occidental y renovaciones de EBA del 4T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(un punto menos de crecimiento en FY2028)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reestructuración «final»; renovaciones fuertes en el 2T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Billings del 4T FY27 por debajo de la guía (8.575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del software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12 meses si el PER baja de 24,5 a 22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cotiza a la mitad de su historia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que no bajan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(un punto más de pagos en acciones sobre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Variable ligado al resultado menos pagos en acciones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por encima del 9 % de las ventas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BIM y construcción (Nemetschek, Bentley, Procore)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Formato RVT como estándar de mandatos BIM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de Revit en mandatos europeos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por la investigación de 2024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&lt; −1 %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y fiscalía cerraron sin acciones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Reapertura de la demanda colectiva</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cuando los grandes estudios de arquitectura e ingeniería, con agentes de IA que generan documentación y detalles constructivos a partir del modelo, renuevan sus EBA con un 15-20 % menos de puestos. Autodesk intenta compensar con cobro por consumo, pero los clientes lo perciben como una subida de precio y negocian a la baja; AutoCAD LT pierde a los autónomos frente a herramientas generativas de 20 USD al mes. El crecimiento cae del 15 % al 6 % en dos años, el margen se estanca en el 38 % non-GAAP porque la IA encarece la nube, MaintainX crece la mitad de lo prometido y se deteriora. El mercado, que ya pagaba solo 24 veces, baja a 16 veces un BPA que no crece. Indicadores que lo habrían anticipado: la NR3 bajando del techo del rango 100-110 %, el crecimiento de AutoCAD y AutoCAD LT por debajo del 5 %, la RPO corriente creciendo menos que los ingresos y la guía de FY2028 por debajo del 9 %.</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−41 % en el bajista; +23 % en el alcista (a 3-5 años, sobre el DCF base)</w:t>
      </w:r>
    </w:p>
    <w:p>
      <w:pPr>
        <w:spacing w:after="100"/>
      </w:pPr>
      <w:r>
        <w:t xml:space="preserve">La IA toca casi todas las ventas: el 75 % (AECO y AutoCAD) se cobra por usuario nombrado y la documentación y el dibujo son tareas que los modelos ya automatizan, lo que puede reducir puestos [27]. A la vez, Autodesk tiene lo que la IA necesita en el mundo físico: los datos y el contexto de los proyectos (formatos DWG y RVT, Construction Cloud y ahora MaintainX), y empieza a cobrar por consumo y por uso de máquinas (API, MCP en Fusion) [12, 28]. Hoy no se ve daño (NR3 cerca del 110 %, ingresos +16 % en el 2T FY27) [2, 4]. Señales: la NR3, el crecimiento de AutoCAD LT, los puestos por EBA y que la empresa empiece a dar ingresos de IA, que hoy no da.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15,1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r>
    </w:tbl>
    <w:p>
      <w:pPr>
        <w:spacing w:after="160" w:before="0"/>
      </w:pPr>
    </w:p>
    <w:p>
      <w:pPr>
        <w:pStyle w:val="Heading2"/>
      </w:pPr>
      <w:r>
        <w:t xml:space="preserve">Asuntos materiales</w:t>
      </w:r>
    </w:p>
    <w:p>
      <w:pPr>
        <w:spacing w:after="100"/>
      </w:pPr>
      <w:r>
        <w:t xml:space="preserve">En software, lo material es el capital humano (dos reestructuraciones de ventas en dos años, 2.350 puestos) [1], la seguridad de los datos de los clientes en la nube y el gobierno de la IA (uso de datos de clientes para entrenar modelos). Las emisiones son pequeñas (oficinas y nube de terceros).</w:t>
      </w:r>
    </w:p>
    <w:p>
      <w:pPr>
        <w:pStyle w:val="Heading2"/>
      </w:pPr>
      <w:r>
        <w:t xml:space="preserve">Controversias</w:t>
      </w:r>
    </w:p>
    <w:p>
      <w:pPr>
        <w:spacing w:after="100"/>
      </w:pPr>
      <w:r>
        <w:t xml:space="preserve">La investigación interna de 2024 sobre las prácticas de caja libre y margen non-GAAP llevó a una demanda colectiva, desestimada con posibilidad de enmendar en julio de 2025, y a una demanda derivativa aún abierta; la SEC y la fiscalía cerraron sus expedientes en agosto de 2025 sin acciones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puestos de pago tienen las 100 mayores cuentas frente a hace dos años, y cuántos de los EBA renovados en FY2027 bajaron de tamaño?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base del bajista y la empresa no la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FY2027 viene ya de consumo, API o funciones de IA cobradas aparte?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cifra no se puede comprobar 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MaintainX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ARR de MaintainX hoy, su crecimiento y su margen, y cuándo deja de restar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pagaron 3.575 M (7 % de la capitalización) por ≈135 M de ARR.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NR3</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¿Dónde está exactamente la retención neta dentro del rango del 100-110 % y cómo ha evolucionado en los mercados maduros de Europa?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«algo por encima» al «cerca del techo» en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senda de pagos en acciones sobre ventas hay detrás del 41 % de margen en FY2029?</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vale ≈6 %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Comisiones activadas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costes de obtener contratos se duplicaron hasta 913 M y cuánto subirán con el resto del nuevo modelo?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caja que no pasa por el EBITDA.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mantendrán 1.400 M de recompras en FY2028 con la deuda de MaintainX y el bono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50 % de la caja libre a recompras es la única vía de bajar el número de acciones.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Mayoría de títulos alcistas («mercado que valora mal a un beneficiado de la IA», «demasiado barata para ignorarla», «subidas de precio»), con uno equilibrado tras el 2T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Cantor y Goldman inician en Neutral por la IA; Guggenheim en Comprar; la acción cae tras el 2T pese a superar previsiones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técnico (doble suelo en 185, media de 200 sesiones) y alivio tras la compra de PTC por Schneider; algunos bajistas esperan nuevos mínimos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 que «pide a la IA romper el foso» y concluye que la amenaza está en la interfaz y el cobro por puesto, no en los datos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Yahoo Finance / TIKR (comentarios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Caídas del 8-9 % en un día por noticias ajenas (agentes de Anthropic, relevo en Adobe): el mercado vende todo el software por puesto [60, 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reducirá los puestos de Revit y AutoCAD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pero aún no visible en las cifras: NR3 cerca del 110 %, renovaciones fuertes e ingresos +16 % en el 2T FY27 [2, 4]. Lo recoge nuestro bajista (−4 puntos de crecimiento y −3 de margen).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24,5 veces nuestro BPA de FY2028 frente a una mediana adelantada de 46,5 en cinco años; pero esa historia es de otro régimen de tipos y de percepción, y la regla no supone su vuelta.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MaintainX, cara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en múltiplo (≈26 veces ARR); pesa un 7 % de la capitalización y resta margen en FY2027-FY2028 [12, 48].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compra de PTC como suelo de 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paga 8,65 veces ventas; Autodesk cotiza a 6,55 [30]. Es valor de control, no precio a 12 meses.</w:t>
            </w:r>
          </w:p>
        </w:tc>
      </w:tr>
    </w:tbl>
    <w:p>
      <w:pPr>
        <w:spacing w:after="160" w:before="0"/>
      </w:pPr>
    </w:p>
    <w:p>
      <w:pPr>
        <w:spacing w:after="100"/>
      </w:pPr>
      <w:r>
        <w:t xml:space="preserve">El sentimiento de los particulares es dividido y algo más alcista que el de los analistas que han iniciado cobertura en 2026 (Cantor, Goldman y Citi en Neutral). Los foros repiten la tesis de «demasiado barata» y discuten el gráfico (doble suelo en 185 USD); la parte bajista se apoya en el cobro por puesto y en MaintainX. No hay euforia ni capitulación: el debate es el mismo que el del informe. Lo que aporta es que el miedo a la IA mueve la acción por noticias ajenas (agentes de Anthropic, Adobe), lo que da oportunidades de compra en caídas de un día.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19 controles correctos y 3 explicados. Fuentes: 61 (35 primarias); citas distintas en el texto: 61.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-46,0 % frente a -51,0 % real: genera una variación de circulante de -153 M en el primer año. Converge de forma gradual. Explicación: El circulante de FY2026 (−51 % de las ventas) estaba inflado por la facturación del 4T con el nuevo modelo de transacción; con la facturación anual de contratos plurianuales los ingresos diferidos crecen menos que las ventas (billings FY2027 de 8.575-8.650 M frente a ingresos de 8.295-8.345 M) y el ratio converge al −46 %. La salida de 153 M es real: la guía de caja libre ya la recoge.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16,3x a 19,1x según qué comparable se quite (202,92 a 239,62 por acción): la muestra es frágil; explícalo y no le des mucho peso. Explicación: Muestra de siete con modelos distintos (EDA, PLM, BIM, medición); por eso pesan un 20 % y la decisión se apoya en el DCF y en la regla a 12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FY2029e (11,05) supone un 28,3 % anual desde 5,23 (FY2026): explícalo en valoracion.objetivo_12m.comentario o la confianza es baja. Explicación: El BPA publicado de FY2026 (5,23) lleva 1,00 USD de reestructuración, 0,07 de costes de adquisición y un tipo impositivo del 30 % por la revalorización de impuestos diferidos; en la misma base que nuestros casos fue de 6,93 USD, y el base de FY2029e (11,05) supone un 16,8 % anual, en línea con la guía (BPA GAAP de 7,89-8,72 en FY2027 con 0,7 USD de partidas no recurrentes).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informe del auditor («We have served as the Company's auditor since…»: no extraído); 2) proxy 2026, propuesta de ratificación; 3) búsqueda en el texto de los documentos descargados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Nemetschek (Cambashi): solo tamaño; 2) MarketsandMarkets (nota de prensa, sin cuotas); 3) cálculo con los ingresos de los cinco primeros: perímetros distintos (fabricación y hardware mezclados)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y objetivos mínimo y máximo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y número); 2) Investing.com (no abre sin JavaScript); 3) prensa: Citi 246 USD, Piper 300 USD, Wells Fargo 330 USD, sin la lista completa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424B2 de sept-2026 (solo definiciones de grado de inversión); 2) 10-K y 10-Q (sin rating); 3) búsqueda de acciones de Moody's y S&amp;P de 2026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Autodesk, Form 10-K del ejercicio cerrado el 31-ene-2026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https://www.sec.gov/Archives/edgar/data/769397/000076939726000015/adsk-20260131.htm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Autodesk announces fiscal 2027 second quarter results (nota de resultados,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https://www.sec.gov/Archives/edgar/data/769397/000076939726000059/q227pressrelease.htm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2026 fourth quarter and full-year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https://www.sec.gov/Archives/edgar/data/769397/000076939726000010/q426pressrelease.htm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Form 10-Q del trimestre cerrado el 31-jul-2026 (2T FY27)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https://www.sec.gov/Archives/edgar/data/769397/000076939726000061/adsk-20260731.htm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hechos XBRL de las cuentas anuales (companyfacts, CIK 769397)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2024 fourth quarter and full-year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https://www.sec.gov/Archives/edgar/data/769397/000076939724000019/q424pressrelease.htm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2023 fourth quarter and full-year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https://www.sec.gov/Archives/edgar/data/769397/000076939723000022/q423pressrelease.htm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2022 fourth quarter and full-year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https://www.sec.gov/Archives/edgar/data/769397/000076939722000013/q422pressrelease.htm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2021 fourth quarter and full-year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https://www.sec.gov/Archives/edgar/data/769397/000076939721000009/q421pressrelease.htm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2026 third quarter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https://www.sec.gov/Archives/edgar/data/769397/000076939725000126/q326pressrelease.htm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2027 first quarter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https://www.sec.gov/Archives/edgar/data/769397/000076939726000041/q127pressrelease.htm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Transcript: Autodesk (ADSK) Q2 FY27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Singju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https://singjupost.com/transcript-autodesk-adsk-q2-fy27-earnings-call-conference/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plan de reestructuración de enero de 2026 (≈1.000 empleos, 135-160 M USD) y carta del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https://www.sec.gov/Archives/edgar/data/769397/000076939726000006/adsk-20260122.htm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2020 fourth quarter and full-year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https://www.sec.gov/Archives/edgar/data/769397/000076939720000005/q420pressrelease.htm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announces fiscal 2025 fourth quarter and full-year results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https://www.sec.gov/Archives/edgar/data/769397/000076939725000013/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emisión de 500 M USD al 5,050 % con vencimiento en 2029 y 500 M USD al 5,650 % en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https://www.sec.gov/Archives/edgar/data/769397/000119312526387877/d103766d8k.htm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(424B2) de las obligaciones 2029 y 2033: uso de los fondos (repago del préstamo puente de 1.000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https://www.sec.gov/Archives/edgar/data/769397/000119312526384494/d110760d424b2.htm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2025 (Cambashi: mercado de software de diseño 9.400 M EUR y de construcción 6.600 M EUR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https://ir.nemetschek.com/media/document/31f34112-03e9-4e86-9892-457de2987552/assets/Nemetschek-Geschaeftsbericht-2025_de_locked.pdf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Building Information Modeling Market worth $15.42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https://www.marketsandmarkets.com/PressReleases/building-information-modeling.asp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https://www.sec.gov/Archives/edgar/data/1031308/000103130826000007/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https://www.sec.gov/Archives/edgar/data/864749/000086474926000015/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Form 10-K del ejercicio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https://www.sec.gov/Archives/edgar/data/857005/000119312525291326/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4T25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Technologies,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Procore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https://www.sec.gov/Archives/edgar/data/1611052/000162828026011055/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Last Week in ConTech (cuota de Revit en Reino Unido del 27 % al 49 % en seis años; ArchiCAD 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ConTech Roundup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https://contechroundup.substack.com/p/last-week-in-contech-23-february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AI margin pressure (riesgo de menos puestos con la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Pitchgrade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https://pitchgrade.com/research/autodesk-ai-margin-pressure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wants you to pay for outcomes, not just access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Schnitger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https://schnitgercorp.com/2025/10/08/autodesk-wants-you-to-pay-for-outcomes-not-just-access/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to acquire MaintainX (nota de prensa,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https://www.sec.gov/Archives/edgar/data/769397/000121390026062125/ea029248301ex99-1.htm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to buy US software maker PTC for $22.6bn in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https://thenextweb.com/news/schneider-electric-ptc-22-6bn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(14-oct-2026: 1,1195 USD/EUR)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Sustainalytics ESG Risk Rating: Autodesk Inc. (15,1, riesgo bajo)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 Sustainalytics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https://sustainalytics.com/esg-rating/autodesk-inc/1007998148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https://www.sec.gov/Archives/edgar/data/769397/000076939726000030/adsk-20260429.htm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17-jun-2026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https://www.sec.gov/Archives/edgar/data/769397/000076939726000050/adsk-20260617.htm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(oct-2025 a oct-2026), agregados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https://www.sec.gov/cgi-bin/browse-edgar?action=getcompany&amp;CIK=0000769397&amp;type=4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Omar Abbosh y salida de Stephen Milligan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https://www.sec.gov/Archives/edgar/data/769397/000076939726000024/autodeskannouncesnominatio.htm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issues statement in response to comments by Starboard Value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Finansavisen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https://www.finansavisen.no/borsmeldinger/2025/03/26/58bf2c75-46b5-4963-8ba8-2ca65cfec984/autodesk-issues-statement-in-response-to-comments-by-starboard-value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ADSK, SPY e IGV (herramientas/bolsa.mjs), hasta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https://finance.yahoo.com/quote/ADSK/history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 data, forecasts, estimates (consenso FY2027-FY2029)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(10 años: 5,19 % 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Cadence Design Systems del 14-oct-2026: comparables Synopsys y Cadence (cifras de MarketScreener y de las cuentas a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(informes/cadence-2026-10-14)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https://www.marketscreener.com/quote/stock/CADENCE-DESIGN-SYSTEMS-I-4842/finances/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Nemetschek del 10-oct-2026: comparables Trimble, Hexagon y Nemetschek (MarketScreener, a 9-oct)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(informes/nemetschek-2026-10-10)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https://www.marketscreener.com/quote/stock/NEMETSCHEK-SE-436400/finances/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Dassault Systèmes del 7-oct-2026 (múltiplos propios a 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(informes/dassault-2026-10-07)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de software de aplicaciones (comparables a 10-14 oct, Bentley)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(sectores/software-2026-10-14)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https://www.marketscreener.com/quote/stock/BENTLEY-SYSTEMS-INCORPORA-114855936/finances/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Cotizaciones de cierre de los comparables del 13 y 14-oct-2026 (API de gráficos)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https://finance.yahoo.com/quote/SNPS/history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to buy PTC for $22.6 billion (valor con deuda 23.700 M USD; 21x EBITA ajustado 2027e)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Tech 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https://thetechcapital.com/schneider-electric-buy-ptc-22-6-billion-industrial-ai/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fusión para comprar MaintainX por ≈3.575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https://www.sec.gov/Archives/edgar/data/769397/000121390026062125/ea0292483-8k_autodesk.htm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übernimmt HCSS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(EQS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https://ir.nemetschek.com/nachrichten/nemetschek-se-uebernimmt-hcss-und-steigt-zum-naechsten-globalen-marktfuehrer-im-markt-fuer-bausoftware-auf/d0299905-a853-4952-bf37-68df4f0a53ef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to Buy Thoma Bravo's HCSS in €2 Billion-Plus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https://news.bloomberglaw.com/private-equity/nemetschek-strikes-deal-for-thomas-software-firm-hcss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Group erwirbt GoCanvas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https://ir.nemetschek.com/nachrichten/nemetschek-se-erwirbt-gocanvas-um-die-digitalisierung-in-der-bauindustrie-weiter-zu-beschleunigen/a779c764-bbec-4d8a-beea-dbec6fab68d2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https://www.sec.gov/Archives/edgar/data/883241/000119312524008120/d720113dex991.htm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Renesas to Acquire PCB Design Software Leader Altium (ASX)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Altium / Renesas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https://announcements.asx.com.au/asxpdf/20240215/pdf/060f97wn7z3zgb.pdf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Acquisition of Altair Engineering (presentación a inversores)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https://assets.new.siemens.com/siemens/assets/api/uuid:dd37857b-7a3c-4eab-abec-3f7c784e6de0/siemens-investor-presentation-241030.pdf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ADSK short interest (≈4,2 % del capital flotante, 8,9 M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Equibles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https://equibles.com/stocks/ADSK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(ADSK): noticias de analistas (Cantor y Goldman Sachs inician en Neutral; Guggenheim en Comprar)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https://seekingalpha.com/api/sa/combined/ADSK.xml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18 % in last 12 months, can Autodesk stock recover in 2026? (Citi rebaja a Neutral, objetivo 246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https://www.tikr.com/blog/down-18-in-last-12-months-can-autodesk-nasdaq-stock-recover-in-2026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$ADSK (30 mensajes, 17-sep a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https://api.stocktwits.com/api/2/streams/symbol/ADSK.json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fell 35 %: I asked AI to kill the moat. It couldn't (narrativa de un usuario)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https://www.simplywall.st/narratives/octskt9d-autodesk-fell-35percent-i-asked-ai-to-kill-the-moat-it-couldnt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Paylocity, Rapid7, DigitalOcean and Manhattan Associates shares plummet (agentes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https://finance.yahoo.com/markets/stocks/articles/autodesk-paylocity-rapid7-digitalocean-manhattan-023747720.html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(ADSK) stock fell 8 % on September 4,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https://www.tikr.com/blog/title-2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91,0 %</w:t>
      </w:r>
      <w:r>
        <w:t xml:space="preserve"> · Secciones con menos del 60 % de campos cubiertos: </w:t>
      </w:r>
      <w:r>
        <w:rPr>
          <w:b/>
          <w:bCs/>
        </w:rPr>
        <w:t xml:space="preserve">consenso</w:t>
      </w:r>
      <w:r>
        <w:t xml:space="preserve"> · Generado el 15 oct 2026.</w:t>
      </w:r>
    </w:p>
    <w:p>
      <w:pPr>
        <w:pStyle w:val="Nota"/>
        <w:spacing w:after="100"/>
      </w:pPr>
      <w:r>
        <w:t xml:space="preserve">Cotiza en el Nasdaq en USD y publica en USD (US GAAP); ejercicio cerrado el 31 de enero con la etiqueta del año en que termina (FY2026 = feb-25 a ene-26). Precio: cierre del 14-oct-2026 (231,14 USD); la sesión del 15-oct no había cerrado al hacer el análisis. Cuentas del XBRL de la SEC comprobadas con el 10-K FY2026 y el 10-Q del 2T FY27. El BPA de la regla a 12 meses no es el publicado ni el ajustado de la empresa: es el BPA GAAP sin reestructuración, costes de adquisición, resultados de participaciones ni efectos fiscales puntuales, calculado como BPA non-GAAP menos los pagos en acciones y la amortización de intangibles comprados, netos de un 19 % de impuestos (estimación propia, explicada en la sección 23). Los arrendamientos operativos (251 M en ene-26) no van a la deuda: en US GAAP su gasto ya está en el EBITDA. El puente es el balance del 31-jul-2026 más el pago de MaintainX del 3-ago (≈3.530 M sin la caja adquirida). Comparables tomados de informes del repositorio de 7-14 oct, llevados al cierre del 13-14 oct con la variación del precio (estimación) y con bases de BPA mezcladas; ingresos de competidores europeos pasados a USD al tipo del BCE del 14-oct (1,1195).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Autodesk, Inc. (ADSK)</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(185,50 – 320,00)</c:v>
                </c:pt>
                <c:pt idx="1">
                  <c:v>Comparables: EV/EBITDA NTM (178,35 – 249,45)</c:v>
                </c:pt>
                <c:pt idx="2">
                  <c:v>Comparables: PER NTM (232,54 – 274,35)</c:v>
                </c:pt>
                <c:pt idx="3">
                  <c:v>Transacciones precedentes (EV/EBITDA) (276,44 – 445,35)</c:v>
                </c:pt>
                <c:pt idx="4">
                  <c:v>DCF (WACC y g ± 0,5) (173,31 – 214,90)</c:v>
                </c:pt>
                <c:pt idx="5">
                  <c:v>Escenarios (bajista – alcista) (112,91 – 235,02)</c:v>
                </c:pt>
                <c:pt idx="6">
                  <c:v>DCF con la prima implícita del mercado (4,2 %)</c:v>
                </c:pt>
                <c:pt idx="7">
                  <c:v>Precio actual (231,14)</c:v>
                </c:pt>
              </c:strCache>
            </c:strRef>
          </c:cat>
          <c:val>
            <c:numRef>
              <c:f>Hoja1!$B$2:$B$9</c:f>
              <c:numCache>
                <c:formatCode>#,##0</c:formatCode>
                <c:ptCount val="8"/>
                <c:pt idx="0">
                  <c:v>185.5</c:v>
                </c:pt>
                <c:pt idx="1">
                  <c:v>178.35</c:v>
                </c:pt>
                <c:pt idx="2">
                  <c:v>232.54</c:v>
                </c:pt>
                <c:pt idx="3">
                  <c:v>276.44</c:v>
                </c:pt>
                <c:pt idx="4">
                  <c:v>173.31</c:v>
                </c:pt>
                <c:pt idx="5">
                  <c:v>112.91</c:v>
                </c:pt>
                <c:pt idx="6">
                  <c:v>217.04</c:v>
                </c:pt>
                <c:pt idx="7">
                  <c:v>229.98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(185,50 – 320,00)</c:v>
                </c:pt>
                <c:pt idx="1">
                  <c:v>Comparables: EV/EBITDA NTM (178,35 – 249,45)</c:v>
                </c:pt>
                <c:pt idx="2">
                  <c:v>Comparables: PER NTM (232,54 – 274,35)</c:v>
                </c:pt>
                <c:pt idx="3">
                  <c:v>Transacciones precedentes (EV/EBITDA) (276,44 – 445,35)</c:v>
                </c:pt>
                <c:pt idx="4">
                  <c:v>DCF (WACC y g ± 0,5) (173,31 – 214,90)</c:v>
                </c:pt>
                <c:pt idx="5">
                  <c:v>Escenarios (bajista – alcista) (112,91 – 235,02)</c:v>
                </c:pt>
                <c:pt idx="6">
                  <c:v>DCF con la prima implícita del mercado (4,2 %)</c:v>
                </c:pt>
                <c:pt idx="7">
                  <c:v>Precio actual (231,14)</c:v>
                </c:pt>
              </c:strCache>
            </c:strRef>
          </c:cat>
          <c:val>
            <c:numRef>
              <c:f>Hoja1!$C$2:$C$9</c:f>
              <c:numCache>
                <c:formatCode>#,##0</c:formatCode>
                <c:ptCount val="8"/>
                <c:pt idx="0">
                  <c:v>134.5</c:v>
                </c:pt>
                <c:pt idx="1">
                  <c:v>71.1</c:v>
                </c:pt>
                <c:pt idx="2">
                  <c:v>41.81000000000003</c:v>
                </c:pt>
                <c:pt idx="3">
                  <c:v>168.91000000000003</c:v>
                </c:pt>
                <c:pt idx="4">
                  <c:v>41.59</c:v>
                </c:pt>
                <c:pt idx="5">
                  <c:v>122.11000000000001</c:v>
                </c:pt>
                <c:pt idx="6">
                  <c:v>38.95000000000002</c:v>
                </c:pt>
                <c:pt idx="7">
                  <c:v>2.3200000000000216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AECO (arquitectura, ingeniería, construcción y operaciones)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1959.9</c:v>
                </c:pt>
                <c:pt idx="1">
                  <c:v>2278</c:v>
                </c:pt>
                <c:pt idx="2">
                  <c:v>2580</c:v>
                </c:pt>
                <c:pt idx="3">
                  <c:v>2937</c:v>
                </c:pt>
                <c:pt idx="4">
                  <c:v>3583</c:v>
                </c:pt>
              </c:numCache>
            </c:numRef>
          </c:val>
        </c:ser>
        <c:ser>
          <c:idx val="1"/>
          <c:order val="1"/>
          <c:tx>
            <c:strRef>
              <c:f>Hoja1!$C$1</c:f>
              <c:strCache>
                <c:ptCount val="1"/>
                <c:pt idx="0">
                  <c:v>AutoCAD y AutoCAD LT</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1253</c:v>
                </c:pt>
                <c:pt idx="1">
                  <c:v>1387</c:v>
                </c:pt>
                <c:pt idx="2">
                  <c:v>1462</c:v>
                </c:pt>
                <c:pt idx="3">
                  <c:v>1572</c:v>
                </c:pt>
                <c:pt idx="4">
                  <c:v>1787</c:v>
                </c:pt>
              </c:numCache>
            </c:numRef>
          </c:val>
        </c:ser>
        <c:ser>
          <c:idx val="2"/>
          <c:order val="2"/>
          <c:tx>
            <c:strRef>
              <c:f>Hoja1!$D$1</c:f>
              <c:strCache>
                <c:ptCount val="1"/>
                <c:pt idx="0">
                  <c:v>Fabricación (MFG)</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876</c:v>
                </c:pt>
                <c:pt idx="1">
                  <c:v>978</c:v>
                </c:pt>
                <c:pt idx="2">
                  <c:v>1063</c:v>
                </c:pt>
                <c:pt idx="3">
                  <c:v>1189</c:v>
                </c:pt>
                <c:pt idx="4">
                  <c:v>1379</c:v>
                </c:pt>
              </c:numCache>
            </c:numRef>
          </c:val>
        </c:ser>
        <c:ser>
          <c:idx val="3"/>
          <c:order val="3"/>
          <c:tx>
            <c:strRef>
              <c:f>Hoja1!$E$1</c:f>
              <c:strCache>
                <c:ptCount val="1"/>
                <c:pt idx="0">
                  <c:v>Medios y entretenimiento (M&amp;E)</c:v>
                </c:pt>
              </c:strCache>
            </c:strRef>
          </c:tx>
          <c:spPr>
            <a:solidFill>
              <a:srgbClr val="EDA100"/>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258.9</c:v>
                </c:pt>
                <c:pt idx="1">
                  <c:v>291</c:v>
                </c:pt>
                <c:pt idx="2">
                  <c:v>295</c:v>
                </c:pt>
                <c:pt idx="3">
                  <c:v>315</c:v>
                </c:pt>
                <c:pt idx="4">
                  <c:v>332</c:v>
                </c:pt>
              </c:numCache>
            </c:numRef>
          </c:val>
        </c:ser>
        <c:ser>
          <c:idx val="4"/>
          <c:order val="4"/>
          <c:tx>
            <c:strRef>
              <c:f>Hoja1!$F$1</c:f>
              <c:strCache>
                <c:ptCount val="1"/>
                <c:pt idx="0">
                  <c:v>Otros</c:v>
                </c:pt>
              </c:strCache>
            </c:strRef>
          </c:tx>
          <c:spPr>
            <a:solidFill>
              <a:srgbClr val="E87BA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Hoja1!$F$2:$F$6</c:f>
              <c:numCache>
                <c:formatCode>#,##0</c:formatCode>
                <c:ptCount val="5"/>
                <c:pt idx="0">
                  <c:v>38.6</c:v>
                </c:pt>
                <c:pt idx="1">
                  <c:v>71</c:v>
                </c:pt>
                <c:pt idx="2">
                  <c:v>97</c:v>
                </c:pt>
                <c:pt idx="3">
                  <c:v>118</c:v>
                </c:pt>
                <c:pt idx="4">
                  <c:v>125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AECO (arquitectura, ingeniería, construcción y operaciones)</c:v>
                </c:pt>
                <c:pt idx="1">
                  <c:v>AutoCAD y AutoCAD LT</c:v>
                </c:pt>
                <c:pt idx="2">
                  <c:v>Fabricación (MFG)</c:v>
                </c:pt>
                <c:pt idx="3">
                  <c:v>Medios y entretenimiento (M&amp;E)</c:v>
                </c:pt>
                <c:pt idx="4">
                  <c:v>Otros</c:v>
                </c:pt>
              </c:strCache>
            </c:strRef>
          </c:cat>
          <c:val>
            <c:numRef>
              <c:f>Hoja1!$B$2:$B$6</c:f>
              <c:numCache>
                <c:formatCode>General</c:formatCode>
                <c:ptCount val="5"/>
                <c:pt idx="0">
                  <c:v>49.7</c:v>
                </c:pt>
                <c:pt idx="1">
                  <c:v>24.8</c:v>
                </c:pt>
                <c:pt idx="2">
                  <c:v>19.1</c:v>
                </c:pt>
                <c:pt idx="3">
                  <c:v>4.6</c:v>
                </c:pt>
                <c:pt idx="4">
                  <c:v>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EE. UU.</c:v>
                </c:pt>
                <c:pt idx="1">
                  <c:v>Resto de América</c:v>
                </c:pt>
                <c:pt idx="2">
                  <c:v>EMEA</c:v>
                </c:pt>
                <c:pt idx="3">
                  <c:v>Asia-Pacífico</c:v>
                </c:pt>
              </c:strCache>
            </c:strRef>
          </c:cat>
          <c:val>
            <c:numRef>
              <c:f>Hoja1!$B$2:$B$5</c:f>
              <c:numCache>
                <c:formatCode>0"%"</c:formatCode>
                <c:ptCount val="4"/>
                <c:pt idx="0">
                  <c:v>35.6</c:v>
                </c:pt>
                <c:pt idx="1">
                  <c:v>8.5</c:v>
                </c:pt>
                <c:pt idx="2">
                  <c:v>38.8</c:v>
                </c:pt>
                <c:pt idx="3">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2022</c:v>
                </c:pt>
                <c:pt idx="1">
                  <c:v>2024</c:v>
                </c:pt>
                <c:pt idx="2">
                  <c:v>2025</c:v>
                </c:pt>
                <c:pt idx="3">
                  <c:v>2026e</c:v>
                </c:pt>
                <c:pt idx="4">
                  <c:v>2027e</c:v>
                </c:pt>
                <c:pt idx="5">
                  <c:v>2028e</c:v>
                </c:pt>
                <c:pt idx="6">
                  <c:v>2029e</c:v>
                </c:pt>
              </c:strCache>
            </c:strRef>
          </c:cat>
          <c:val>
            <c:numRef>
              <c:f>Hoja1!$B$2:$B$8</c:f>
              <c:numCache>
                <c:formatCode>#,##0</c:formatCode>
                <c:ptCount val="7"/>
                <c:pt idx="0">
                  <c:v>12300</c:v>
                </c:pt>
                <c:pt idx="1">
                  <c:v>14500</c:v>
                </c:pt>
                <c:pt idx="2">
                  <c:v>16000</c:v>
                </c:pt>
                <c:pt idx="3">
                  <c:v>17576</c:v>
                </c:pt>
                <c:pt idx="4">
                  <c:v>19308</c:v>
                </c:pt>
                <c:pt idx="5">
                  <c:v>21210</c:v>
                </c:pt>
                <c:pt idx="6">
                  <c:v>23300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Autodesk</c:v>
                </c:pt>
                <c:pt idx="1">
                  <c:v>Dassault Systèmes</c:v>
                </c:pt>
                <c:pt idx="2">
                  <c:v>Hexagon</c:v>
                </c:pt>
                <c:pt idx="3">
                  <c:v>Trimble</c:v>
                </c:pt>
                <c:pt idx="4">
                  <c:v>PTC</c:v>
                </c:pt>
                <c:pt idx="5">
                  <c:v>Bentley Systems</c:v>
                </c:pt>
                <c:pt idx="6">
                  <c:v>Nemetschek</c:v>
                </c:pt>
                <c:pt idx="7">
                  <c:v>Procore</c:v>
                </c:pt>
              </c:strCache>
            </c:strRef>
          </c:cat>
          <c:val>
            <c:numRef>
              <c:f>Hoja1!$B$2:$B$9</c:f>
              <c:numCache>
                <c:formatCode>0.0"%"</c:formatCode>
                <c:ptCount val="8"/>
                <c:pt idx="0">
                  <c:v>25.1</c:v>
                </c:pt>
                <c:pt idx="1">
                  <c:v>21.7</c:v>
                </c:pt>
                <c:pt idx="2">
                  <c:v>17</c:v>
                </c:pt>
                <c:pt idx="3">
                  <c:v>16.5</c:v>
                </c:pt>
                <c:pt idx="4">
                  <c:v>35.9</c:v>
                </c:pt>
                <c:pt idx="5">
                  <c:v>24.1</c:v>
                </c:pt>
                <c:pt idx="7">
                  <c:v>-9.4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5</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Hoja1!$B$2:$B$17</c:f>
              <c:numCache>
                <c:formatCode>#,##0</c:formatCode>
                <c:ptCount val="16"/>
                <c:pt idx="0">
                  <c:v>3790</c:v>
                </c:pt>
                <c:pt idx="1">
                  <c:v>4386</c:v>
                </c:pt>
                <c:pt idx="2">
                  <c:v>5005</c:v>
                </c:pt>
                <c:pt idx="3">
                  <c:v>5497</c:v>
                </c:pt>
                <c:pt idx="4">
                  <c:v>6131</c:v>
                </c:pt>
                <c:pt idx="5">
                  <c:v>7206</c:v>
                </c:pt>
                <c:pt idx="6">
                  <c:v>8323</c:v>
                </c:pt>
                <c:pt idx="7">
                  <c:v>9197</c:v>
                </c:pt>
                <c:pt idx="8">
                  <c:v>10117</c:v>
                </c:pt>
                <c:pt idx="9">
                  <c:v>11078</c:v>
                </c:pt>
                <c:pt idx="10">
                  <c:v>12075</c:v>
                </c:pt>
                <c:pt idx="11">
                  <c:v>13041</c:v>
                </c:pt>
                <c:pt idx="12">
                  <c:v>13953</c:v>
                </c:pt>
                <c:pt idx="13">
                  <c:v>14791</c:v>
                </c:pt>
                <c:pt idx="14">
                  <c:v>15530</c:v>
                </c:pt>
                <c:pt idx="15">
                  <c:v>16151</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FY2021</c:v>
                </c:pt>
                <c:pt idx="1">
                  <c:v>FY2022</c:v>
                </c:pt>
                <c:pt idx="2">
                  <c:v>FY2023</c:v>
                </c:pt>
                <c:pt idx="3">
                  <c:v>FY2024</c:v>
                </c:pt>
                <c:pt idx="4">
                  <c:v>FY2025</c:v>
                </c:pt>
                <c:pt idx="5">
                  <c:v>FY2026</c:v>
                </c:pt>
                <c:pt idx="6">
                  <c:v>FY2027e</c:v>
                </c:pt>
                <c:pt idx="7">
                  <c:v>FY2028e</c:v>
                </c:pt>
                <c:pt idx="8">
                  <c:v>FY2029e</c:v>
                </c:pt>
                <c:pt idx="9">
                  <c:v>FY2030e</c:v>
                </c:pt>
                <c:pt idx="10">
                  <c:v>FY2031e</c:v>
                </c:pt>
                <c:pt idx="11">
                  <c:v>FY2032e</c:v>
                </c:pt>
                <c:pt idx="12">
                  <c:v>FY2033e</c:v>
                </c:pt>
                <c:pt idx="13">
                  <c:v>FY2034e</c:v>
                </c:pt>
                <c:pt idx="14">
                  <c:v>FY2035e</c:v>
                </c:pt>
                <c:pt idx="15">
                  <c:v>FY2036e</c:v>
                </c:pt>
              </c:strCache>
            </c:strRef>
          </c:cat>
          <c:val>
            <c:numRef>
              <c:f>Hoja1!$C$2:$C$17</c:f>
              <c:numCache>
                <c:formatCode>#,##0</c:formatCode>
                <c:ptCount val="16"/>
                <c:pt idx="0">
                  <c:v>753</c:v>
                </c:pt>
                <c:pt idx="1">
                  <c:v>766</c:v>
                </c:pt>
                <c:pt idx="2">
                  <c:v>1139</c:v>
                </c:pt>
                <c:pt idx="3">
                  <c:v>1281</c:v>
                </c:pt>
                <c:pt idx="4">
                  <c:v>1596</c:v>
                </c:pt>
                <c:pt idx="5">
                  <c:v>2005</c:v>
                </c:pt>
                <c:pt idx="6">
                  <c:v>2547</c:v>
                </c:pt>
                <c:pt idx="7">
                  <c:v>2925</c:v>
                </c:pt>
                <c:pt idx="8">
                  <c:v>3338</c:v>
                </c:pt>
                <c:pt idx="9">
                  <c:v>3744</c:v>
                </c:pt>
                <c:pt idx="10">
                  <c:v>4154</c:v>
                </c:pt>
                <c:pt idx="11">
                  <c:v>4538</c:v>
                </c:pt>
                <c:pt idx="12">
                  <c:v>4884</c:v>
                </c:pt>
                <c:pt idx="13">
                  <c:v>5177</c:v>
                </c:pt>
                <c:pt idx="14">
                  <c:v>5436</c:v>
                </c:pt>
                <c:pt idx="15">
                  <c:v>5653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91.1</c:v>
                </c:pt>
                <c:pt idx="1">
                  <c:v>90.5</c:v>
                </c:pt>
                <c:pt idx="2">
                  <c:v>90.4</c:v>
                </c:pt>
                <c:pt idx="3">
                  <c:v>90.7</c:v>
                </c:pt>
                <c:pt idx="4">
                  <c:v>90.6</c:v>
                </c:pt>
                <c:pt idx="5">
                  <c:v>91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19.9</c:v>
                </c:pt>
                <c:pt idx="1">
                  <c:v>17.5</c:v>
                </c:pt>
                <c:pt idx="2">
                  <c:v>22.8</c:v>
                </c:pt>
                <c:pt idx="3">
                  <c:v>23.3</c:v>
                </c:pt>
                <c:pt idx="4">
                  <c:v>26</c:v>
                </c:pt>
                <c:pt idx="5">
                  <c:v>27.8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16.6</c:v>
                </c:pt>
                <c:pt idx="1">
                  <c:v>14.1</c:v>
                </c:pt>
                <c:pt idx="2">
                  <c:v>19.8</c:v>
                </c:pt>
                <c:pt idx="3">
                  <c:v>20.8</c:v>
                </c:pt>
                <c:pt idx="4">
                  <c:v>23.1</c:v>
                </c:pt>
                <c:pt idx="5">
                  <c:v>25.1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Hoja1!$E$2:$E$7</c:f>
              <c:numCache>
                <c:formatCode>0"%"</c:formatCode>
                <c:ptCount val="6"/>
                <c:pt idx="0">
                  <c:v>31.9</c:v>
                </c:pt>
                <c:pt idx="1">
                  <c:v>11.3</c:v>
                </c:pt>
                <c:pt idx="2">
                  <c:v>16.4</c:v>
                </c:pt>
                <c:pt idx="3">
                  <c:v>16.5</c:v>
                </c:pt>
                <c:pt idx="4">
                  <c:v>18.1</c:v>
                </c:pt>
                <c:pt idx="5">
                  <c:v>15.6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 FY25</c:v>
                </c:pt>
                <c:pt idx="1">
                  <c:v>4T FY25</c:v>
                </c:pt>
                <c:pt idx="2">
                  <c:v>1T FY26</c:v>
                </c:pt>
                <c:pt idx="3">
                  <c:v>2T FY26</c:v>
                </c:pt>
                <c:pt idx="4">
                  <c:v>3T FY26</c:v>
                </c:pt>
                <c:pt idx="5">
                  <c:v>4T FY26</c:v>
                </c:pt>
                <c:pt idx="6">
                  <c:v>1T FY27</c:v>
                </c:pt>
                <c:pt idx="7">
                  <c:v>2T FY27</c:v>
                </c:pt>
              </c:strCache>
            </c:strRef>
          </c:cat>
          <c:val>
            <c:numRef>
              <c:f>Hoja1!$B$2:$B$9</c:f>
              <c:numCache>
                <c:formatCode>0.0"%"</c:formatCode>
                <c:ptCount val="8"/>
                <c:pt idx="0">
                  <c:v>11.3</c:v>
                </c:pt>
                <c:pt idx="1">
                  <c:v>11.6</c:v>
                </c:pt>
                <c:pt idx="2">
                  <c:v>15.2</c:v>
                </c:pt>
                <c:pt idx="3">
                  <c:v>17.1</c:v>
                </c:pt>
                <c:pt idx="4">
                  <c:v>18</c:v>
                </c:pt>
                <c:pt idx="5">
                  <c:v>19.4</c:v>
                </c:pt>
                <c:pt idx="6">
                  <c:v>18.4</c:v>
                </c:pt>
                <c:pt idx="7">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62</c:v>
                </c:pt>
                <c:pt idx="1">
                  <c:v>60</c:v>
                </c:pt>
                <c:pt idx="2">
                  <c:v>70</c:v>
                </c:pt>
                <c:pt idx="3">
                  <c:v>58</c:v>
                </c:pt>
                <c:pt idx="4">
                  <c:v>60</c:v>
                </c:pt>
                <c:pt idx="5">
                  <c:v>73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0</c:v>
                </c:pt>
                <c:pt idx="1">
                  <c:v>0</c:v>
                </c:pt>
                <c:pt idx="2">
                  <c:v>0</c:v>
                </c:pt>
                <c:pt idx="3">
                  <c:v>0</c:v>
                </c:pt>
                <c:pt idx="4">
                  <c:v>0</c:v>
                </c:pt>
                <c:pt idx="5">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133</c:v>
                </c:pt>
                <c:pt idx="1">
                  <c:v>106</c:v>
                </c:pt>
                <c:pt idx="2">
                  <c:v>78</c:v>
                </c:pt>
                <c:pt idx="3">
                  <c:v>71</c:v>
                </c:pt>
                <c:pt idx="4">
                  <c:v>153</c:v>
                </c:pt>
                <c:pt idx="5">
                  <c:v>237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1341</c:v>
                </c:pt>
                <c:pt idx="1">
                  <c:v>1464</c:v>
                </c:pt>
                <c:pt idx="2">
                  <c:v>2025</c:v>
                </c:pt>
                <c:pt idx="3">
                  <c:v>1252</c:v>
                </c:pt>
                <c:pt idx="4">
                  <c:v>1505</c:v>
                </c:pt>
                <c:pt idx="5">
                  <c:v>2376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1208</c:v>
                </c:pt>
                <c:pt idx="1">
                  <c:v>497</c:v>
                </c:pt>
                <c:pt idx="2">
                  <c:v>823</c:v>
                </c:pt>
                <c:pt idx="3">
                  <c:v>906</c:v>
                </c:pt>
                <c:pt idx="4">
                  <c:v>1112</c:v>
                </c:pt>
                <c:pt idx="5">
                  <c:v>1124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74.6</c:v>
                </c:pt>
                <c:pt idx="1">
                  <c:v>38.6</c:v>
                </c:pt>
                <c:pt idx="2">
                  <c:v>49.6</c:v>
                </c:pt>
                <c:pt idx="3">
                  <c:v>48.4</c:v>
                </c:pt>
                <c:pt idx="4">
                  <c:v>40.7</c:v>
                </c:pt>
                <c:pt idx="5">
                  <c:v>38.4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10.9</c:v>
                </c:pt>
                <c:pt idx="1">
                  <c:v>10.9</c:v>
                </c:pt>
                <c:pt idx="2">
                  <c:v>10.9</c:v>
                </c:pt>
                <c:pt idx="3">
                  <c:v>10.9</c:v>
                </c:pt>
                <c:pt idx="4">
                  <c:v>10.9</c:v>
                </c:pt>
                <c:pt idx="5">
                  <c:v>10.9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125.2</c:v>
                </c:pt>
                <c:pt idx="1">
                  <c:v>54.8</c:v>
                </c:pt>
                <c:pt idx="2">
                  <c:v>82.5</c:v>
                </c:pt>
                <c:pt idx="3">
                  <c:v>60.4</c:v>
                </c:pt>
                <c:pt idx="4">
                  <c:v>49.7</c:v>
                </c:pt>
                <c:pt idx="5">
                  <c:v>39.7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-0.16</c:v>
                </c:pt>
                <c:pt idx="1">
                  <c:v>1.46</c:v>
                </c:pt>
                <c:pt idx="2">
                  <c:v>0.31</c:v>
                </c:pt>
                <c:pt idx="3">
                  <c:v>0.32</c:v>
                </c:pt>
                <c:pt idx="4">
                  <c:v>0.44</c:v>
                </c:pt>
                <c:pt idx="5">
                  <c:v>0.13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FY2028</c:v>
                </c:pt>
                <c:pt idx="1">
                  <c:v>FY2030</c:v>
                </c:pt>
                <c:pt idx="2">
                  <c:v>FY2031</c:v>
                </c:pt>
                <c:pt idx="3">
                  <c:v>FY2032</c:v>
                </c:pt>
                <c:pt idx="4">
                  <c:v>FY2034</c:v>
                </c:pt>
                <c:pt idx="5">
                  <c:v>FY2036</c:v>
                </c:pt>
              </c:strCache>
            </c:strRef>
          </c:cat>
          <c:val>
            <c:numRef>
              <c:f>Hoja1!$B$2:$B$7</c:f>
              <c:numCache>
                <c:formatCode>#,##0</c:formatCode>
                <c:ptCount val="6"/>
                <c:pt idx="0">
                  <c:v>1500</c:v>
                </c:pt>
                <c:pt idx="1">
                  <c:v>500</c:v>
                </c:pt>
                <c:pt idx="2">
                  <c:v>500</c:v>
                </c:pt>
                <c:pt idx="3">
                  <c:v>1000</c:v>
                </c:pt>
                <c:pt idx="4">
                  <c:v>500</c:v>
                </c:pt>
                <c:pt idx="5">
                  <c:v>500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Hoja1!$B$2:$B$7</c:f>
              <c:numCache>
                <c:formatCode>#,##0</c:formatCode>
                <c:ptCount val="6"/>
                <c:pt idx="0">
                  <c:v>246</c:v>
                </c:pt>
                <c:pt idx="1">
                  <c:v>1250</c:v>
                </c:pt>
                <c:pt idx="2">
                  <c:v>96</c:v>
                </c:pt>
                <c:pt idx="3">
                  <c:v>70</c:v>
                </c:pt>
                <c:pt idx="4">
                  <c:v>825</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Hoja1!$C$2:$C$7</c:f>
              <c:numCache>
                <c:formatCode>#,##0</c:formatCode>
                <c:ptCount val="6"/>
                <c:pt idx="0">
                  <c:v>0</c:v>
                </c:pt>
                <c:pt idx="1">
                  <c:v>0</c:v>
                </c:pt>
                <c:pt idx="2">
                  <c:v>0</c:v>
                </c:pt>
                <c:pt idx="3">
                  <c:v>0</c:v>
                </c:pt>
                <c:pt idx="4">
                  <c:v>0</c:v>
                </c:pt>
                <c:pt idx="5">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FY2021</c:v>
                </c:pt>
                <c:pt idx="1">
                  <c:v>FY2022</c:v>
                </c:pt>
                <c:pt idx="2">
                  <c:v>FY2023</c:v>
                </c:pt>
                <c:pt idx="3">
                  <c:v>FY2024</c:v>
                </c:pt>
                <c:pt idx="4">
                  <c:v>FY2025</c:v>
                </c:pt>
                <c:pt idx="5">
                  <c:v>FY2026</c:v>
                </c:pt>
              </c:strCache>
            </c:strRef>
          </c:cat>
          <c:val>
            <c:numRef>
              <c:f>Hoja1!$D$2:$D$7</c:f>
              <c:numCache>
                <c:formatCode>#,##0</c:formatCode>
                <c:ptCount val="6"/>
                <c:pt idx="0">
                  <c:v>552</c:v>
                </c:pt>
                <c:pt idx="1">
                  <c:v>1079</c:v>
                </c:pt>
                <c:pt idx="2">
                  <c:v>1101</c:v>
                </c:pt>
                <c:pt idx="3">
                  <c:v>795</c:v>
                </c:pt>
                <c:pt idx="4">
                  <c:v>852</c:v>
                </c:pt>
                <c:pt idx="5">
                  <c:v>1402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10</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The Vanguard Group</c:v>
                </c:pt>
                <c:pt idx="1">
                  <c:v>BlackRock</c:v>
                </c:pt>
                <c:pt idx="2">
                  <c:v>Consejeros y directivos (15 personas)</c:v>
                </c:pt>
              </c:strCache>
            </c:strRef>
          </c:cat>
          <c:val>
            <c:numRef>
              <c:f>Hoja1!$B$2:$B$4</c:f>
              <c:numCache>
                <c:formatCode>0.0"%"</c:formatCode>
                <c:ptCount val="3"/>
                <c:pt idx="0">
                  <c:v>10.1</c:v>
                </c:pt>
                <c:pt idx="1">
                  <c:v>9.1</c:v>
                </c:pt>
                <c:pt idx="2">
                  <c:v>0.14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42.6</c:v>
                </c:pt>
                <c:pt idx="1">
                  <c:v>66.4</c:v>
                </c:pt>
                <c:pt idx="2">
                  <c:v>-7.9</c:v>
                </c:pt>
                <c:pt idx="3">
                  <c:v>-33.5</c:v>
                </c:pt>
                <c:pt idx="4">
                  <c:v>30.3</c:v>
                </c:pt>
                <c:pt idx="5">
                  <c:v>21.4</c:v>
                </c:pt>
                <c:pt idx="6">
                  <c:v>0.1</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31.2</c:v>
                </c:pt>
                <c:pt idx="1">
                  <c:v>18.3</c:v>
                </c:pt>
                <c:pt idx="2">
                  <c:v>28.7</c:v>
                </c:pt>
                <c:pt idx="3">
                  <c:v>-18.2</c:v>
                </c:pt>
                <c:pt idx="4">
                  <c:v>26.2</c:v>
                </c:pt>
                <c:pt idx="5">
                  <c:v>24.9</c:v>
                </c:pt>
                <c:pt idx="6">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81.6</c:v>
                </c:pt>
                <c:pt idx="1">
                  <c:v>73.9</c:v>
                </c:pt>
                <c:pt idx="2">
                  <c:v>41.5</c:v>
                </c:pt>
                <c:pt idx="3">
                  <c:v>43.1</c:v>
                </c:pt>
                <c:pt idx="4">
                  <c:v>42.8</c:v>
                </c:pt>
                <c:pt idx="5">
                  <c:v>27.2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42.8</c:v>
                </c:pt>
                <c:pt idx="1">
                  <c:v>42.8</c:v>
                </c:pt>
                <c:pt idx="2">
                  <c:v>42.8</c:v>
                </c:pt>
                <c:pt idx="3">
                  <c:v>42.8</c:v>
                </c:pt>
                <c:pt idx="4">
                  <c:v>42.8</c:v>
                </c:pt>
                <c:pt idx="5">
                  <c:v>42.8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Autodesk</c:v>
                </c:pt>
                <c:pt idx="1">
                  <c:v>Synopsys</c:v>
                </c:pt>
                <c:pt idx="2">
                  <c:v>Cadence Design Systems</c:v>
                </c:pt>
                <c:pt idx="3">
                  <c:v>Dassault Systèmes</c:v>
                </c:pt>
                <c:pt idx="4">
                  <c:v>Bentley Systems</c:v>
                </c:pt>
                <c:pt idx="5">
                  <c:v>Nemetschek</c:v>
                </c:pt>
                <c:pt idx="6">
                  <c:v>Trimble</c:v>
                </c:pt>
                <c:pt idx="7">
                  <c:v>Hexagon</c:v>
                </c:pt>
              </c:strCache>
            </c:strRef>
          </c:cat>
          <c:val>
            <c:numRef>
              <c:f>Hoja1!$B$2:$B$9</c:f>
              <c:numCache>
                <c:formatCode>0.0"x"</c:formatCode>
                <c:ptCount val="8"/>
                <c:pt idx="0">
                  <c:v>18.5</c:v>
                </c:pt>
                <c:pt idx="1">
                  <c:v>21.5</c:v>
                </c:pt>
                <c:pt idx="3">
                  <c:v>12.5</c:v>
                </c:pt>
                <c:pt idx="4">
                  <c:v>19.1</c:v>
                </c:pt>
                <c:pt idx="5">
                  <c:v>20.1</c:v>
                </c:pt>
                <c:pt idx="6">
                  <c:v>13.8</c:v>
                </c:pt>
                <c:pt idx="7">
                  <c:v>16.3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Autodesk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12.4</c:v>
                </c:pt>
              </c:numCache>
            </c:numRef>
          </c:xVal>
          <c:yVal>
            <c:numRef>
              <c:f>Hoja1!$C$2</c:f>
              <c:numCache>
                <c:formatCode>0.0"x"</c:formatCode>
                <c:ptCount val="1"/>
                <c:pt idx="0">
                  <c:v>18.5</c:v>
                </c:pt>
              </c:numCache>
            </c:numRef>
          </c:yVal>
          <c:smooth val="0"/>
        </c:ser>
        <c:ser>
          <c:idx val="1"/>
          <c:order val="1"/>
          <c:tx>
            <c:strRef>
              <c:f>Hoja1!$A$3</c:f>
              <c:strCache>
                <c:ptCount val="1"/>
                <c:pt idx="0">
                  <c:v>Synopsys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17.1</c:v>
                </c:pt>
              </c:numCache>
            </c:numRef>
          </c:xVal>
          <c:yVal>
            <c:numRef>
              <c:f>Hoja1!$C$3</c:f>
              <c:numCache>
                <c:formatCode>0.0"x"</c:formatCode>
                <c:ptCount val="1"/>
                <c:pt idx="0">
                  <c:v>21.5</c:v>
                </c:pt>
              </c:numCache>
            </c:numRef>
          </c:yVal>
          <c:smooth val="0"/>
        </c:ser>
        <c:ser>
          <c:idx val="2"/>
          <c:order val="2"/>
          <c:tx>
            <c:strRef>
              <c:f>Hoja1!$A$4</c:f>
              <c:strCache>
                <c:ptCount val="1"/>
                <c:pt idx="0">
                  <c:v>Dassault Systèmes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7.6</c:v>
                </c:pt>
              </c:numCache>
            </c:numRef>
          </c:xVal>
          <c:yVal>
            <c:numRef>
              <c:f>Hoja1!$C$4</c:f>
              <c:numCache>
                <c:formatCode>0.0"x"</c:formatCode>
                <c:ptCount val="1"/>
                <c:pt idx="0">
                  <c:v>12.5</c:v>
                </c:pt>
              </c:numCache>
            </c:numRef>
          </c:yVal>
          <c:smooth val="0"/>
        </c:ser>
        <c:ser>
          <c:idx val="3"/>
          <c:order val="3"/>
          <c:tx>
            <c:strRef>
              <c:f>Hoja1!$A$5</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11.4</c:v>
                </c:pt>
              </c:numCache>
            </c:numRef>
          </c:xVal>
          <c:yVal>
            <c:numRef>
              <c:f>Hoja1!$C$5</c:f>
              <c:numCache>
                <c:formatCode>0.0"x"</c:formatCode>
                <c:ptCount val="1"/>
                <c:pt idx="0">
                  <c:v>19.1</c:v>
                </c:pt>
              </c:numCache>
            </c:numRef>
          </c:yVal>
          <c:smooth val="0"/>
        </c:ser>
        <c:ser>
          <c:idx val="4"/>
          <c:order val="4"/>
          <c:tx>
            <c:strRef>
              <c:f>Hoja1!$A$6</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20</c:v>
                </c:pt>
              </c:numCache>
            </c:numRef>
          </c:xVal>
          <c:yVal>
            <c:numRef>
              <c:f>Hoja1!$C$6</c:f>
              <c:numCache>
                <c:formatCode>0.0"x"</c:formatCode>
                <c:ptCount val="1"/>
                <c:pt idx="0">
                  <c:v>20.1</c:v>
                </c:pt>
              </c:numCache>
            </c:numRef>
          </c:yVal>
          <c:smooth val="0"/>
        </c:ser>
        <c:ser>
          <c:idx val="5"/>
          <c:order val="5"/>
          <c:tx>
            <c:strRef>
              <c:f>Hoja1!$A$7</c:f>
              <c:strCache>
                <c:ptCount val="1"/>
                <c:pt idx="0">
                  <c:v>Trimble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c:v>
                </c:pt>
              </c:numCache>
            </c:numRef>
          </c:xVal>
          <c:yVal>
            <c:numRef>
              <c:f>Hoja1!$C$7</c:f>
              <c:numCache>
                <c:formatCode>0.0"x"</c:formatCode>
                <c:ptCount val="1"/>
                <c:pt idx="0">
                  <c:v>13.8</c:v>
                </c:pt>
              </c:numCache>
            </c:numRef>
          </c:yVal>
          <c:smooth val="0"/>
        </c:ser>
        <c:axId val="10"/>
        <c:axId val="20"/>
      </c:scatterChart>
      <c:valAx>
        <c:axId val="10"/>
        <c:scaling>
          <c:orientation val="minMax"/>
          <c:max val="24"/>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PTC</c:v>
                </c:pt>
                <c:pt idx="1">
                  <c:v>MaintainX</c:v>
                </c:pt>
                <c:pt idx="2">
                  <c:v>HCSS</c:v>
                </c:pt>
                <c:pt idx="3">
                  <c:v>GoCanvas</c:v>
                </c:pt>
                <c:pt idx="4">
                  <c:v>Ansys</c:v>
                </c:pt>
                <c:pt idx="5">
                  <c:v>Altium</c:v>
                </c:pt>
                <c:pt idx="6">
                  <c:v>Altair Engineering</c:v>
                </c:pt>
              </c:strCache>
            </c:strRef>
          </c:cat>
          <c:val>
            <c:numRef>
              <c:f>Hoja1!$B$2:$B$8</c:f>
              <c:numCache>
                <c:formatCode>0.0"x"</c:formatCode>
                <c:ptCount val="7"/>
                <c:pt idx="2">
                  <c:v>20</c:v>
                </c:pt>
                <c:pt idx="5">
                  <c:v>50</c:v>
                </c:pt>
                <c:pt idx="6">
                  <c:v>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FY2027e</c:v>
                </c:pt>
                <c:pt idx="1">
                  <c:v>FY2028e</c:v>
                </c:pt>
                <c:pt idx="2">
                  <c:v>FY2029e</c:v>
                </c:pt>
                <c:pt idx="3">
                  <c:v>FY2030e</c:v>
                </c:pt>
                <c:pt idx="4">
                  <c:v>FY2031e</c:v>
                </c:pt>
                <c:pt idx="5">
                  <c:v>FY2032e</c:v>
                </c:pt>
                <c:pt idx="6">
                  <c:v>FY2033e</c:v>
                </c:pt>
                <c:pt idx="7">
                  <c:v>FY2034e</c:v>
                </c:pt>
                <c:pt idx="8">
                  <c:v>FY2035e</c:v>
                </c:pt>
                <c:pt idx="9">
                  <c:v>FY2036e</c:v>
                </c:pt>
              </c:strCache>
            </c:strRef>
          </c:cat>
          <c:val>
            <c:numRef>
              <c:f>Hoja1!$B$2:$B$11</c:f>
              <c:numCache>
                <c:formatCode>#,##0</c:formatCode>
                <c:ptCount val="10"/>
                <c:pt idx="0">
                  <c:v>2052</c:v>
                </c:pt>
                <c:pt idx="1">
                  <c:v>2501</c:v>
                </c:pt>
                <c:pt idx="2">
                  <c:v>2917</c:v>
                </c:pt>
                <c:pt idx="3">
                  <c:v>3129</c:v>
                </c:pt>
                <c:pt idx="4">
                  <c:v>3431</c:v>
                </c:pt>
                <c:pt idx="5">
                  <c:v>3696</c:v>
                </c:pt>
                <c:pt idx="6">
                  <c:v>3911</c:v>
                </c:pt>
                <c:pt idx="7">
                  <c:v>4076</c:v>
                </c:pt>
                <c:pt idx="8">
                  <c:v>4368</c:v>
                </c:pt>
                <c:pt idx="9">
                  <c:v>4480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20170</c:v>
                </c:pt>
                <c:pt idx="1">
                  <c:v>22505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231,14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112.91</c:v>
                </c:pt>
                <c:pt idx="1">
                  <c:v>191.55</c:v>
                </c:pt>
                <c:pt idx="2">
                  <c:v>235.02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231,14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(185,50 – 320,00)</c:v>
                </c:pt>
                <c:pt idx="1">
                  <c:v>Comparables: EV/EBITDA NTM (178,35 – 249,45)</c:v>
                </c:pt>
                <c:pt idx="2">
                  <c:v>Comparables: PER NTM (232,54 – 274,35)</c:v>
                </c:pt>
                <c:pt idx="3">
                  <c:v>Transacciones precedentes (EV/EBITDA) (276,44 – 445,35)</c:v>
                </c:pt>
                <c:pt idx="4">
                  <c:v>DCF (WACC y g ± 0,5) (173,31 – 214,90)</c:v>
                </c:pt>
                <c:pt idx="5">
                  <c:v>Escenarios (bajista – alcista) (112,91 – 235,02)</c:v>
                </c:pt>
                <c:pt idx="6">
                  <c:v>DCF con la prima implícita del mercado (4,2 %)</c:v>
                </c:pt>
                <c:pt idx="7">
                  <c:v>Precio actual (231,14)</c:v>
                </c:pt>
              </c:strCache>
            </c:strRef>
          </c:cat>
          <c:val>
            <c:numRef>
              <c:f>Hoja1!$B$2:$B$9</c:f>
              <c:numCache>
                <c:formatCode>#,##0</c:formatCode>
                <c:ptCount val="8"/>
                <c:pt idx="0">
                  <c:v>185.5</c:v>
                </c:pt>
                <c:pt idx="1">
                  <c:v>178.35</c:v>
                </c:pt>
                <c:pt idx="2">
                  <c:v>232.54</c:v>
                </c:pt>
                <c:pt idx="3">
                  <c:v>276.44</c:v>
                </c:pt>
                <c:pt idx="4">
                  <c:v>173.31</c:v>
                </c:pt>
                <c:pt idx="5">
                  <c:v>112.91</c:v>
                </c:pt>
                <c:pt idx="6">
                  <c:v>217.04</c:v>
                </c:pt>
                <c:pt idx="7">
                  <c:v>229.98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(185,50 – 320,00)</c:v>
                </c:pt>
                <c:pt idx="1">
                  <c:v>Comparables: EV/EBITDA NTM (178,35 – 249,45)</c:v>
                </c:pt>
                <c:pt idx="2">
                  <c:v>Comparables: PER NTM (232,54 – 274,35)</c:v>
                </c:pt>
                <c:pt idx="3">
                  <c:v>Transacciones precedentes (EV/EBITDA) (276,44 – 445,35)</c:v>
                </c:pt>
                <c:pt idx="4">
                  <c:v>DCF (WACC y g ± 0,5) (173,31 – 214,90)</c:v>
                </c:pt>
                <c:pt idx="5">
                  <c:v>Escenarios (bajista – alcista) (112,91 – 235,02)</c:v>
                </c:pt>
                <c:pt idx="6">
                  <c:v>DCF con la prima implícita del mercado (4,2 %)</c:v>
                </c:pt>
                <c:pt idx="7">
                  <c:v>Precio actual (231,14)</c:v>
                </c:pt>
              </c:strCache>
            </c:strRef>
          </c:cat>
          <c:val>
            <c:numRef>
              <c:f>Hoja1!$C$2:$C$9</c:f>
              <c:numCache>
                <c:formatCode>#,##0</c:formatCode>
                <c:ptCount val="8"/>
                <c:pt idx="0">
                  <c:v>134.5</c:v>
                </c:pt>
                <c:pt idx="1">
                  <c:v>71.1</c:v>
                </c:pt>
                <c:pt idx="2">
                  <c:v>41.81000000000003</c:v>
                </c:pt>
                <c:pt idx="3">
                  <c:v>168.91000000000003</c:v>
                </c:pt>
                <c:pt idx="4">
                  <c:v>41.59</c:v>
                </c:pt>
                <c:pt idx="5">
                  <c:v>122.11000000000001</c:v>
                </c:pt>
                <c:pt idx="6">
                  <c:v>38.95000000000002</c:v>
                </c:pt>
                <c:pt idx="7">
                  <c:v>2.3200000000000216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