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Sika AG</w:t>
      </w:r>
    </w:p>
    <w:p>
      <w:pPr>
        <w:spacing w:after="60"/>
        <w:rPr>
          <w:color w:val="52514E"/>
          <w:sz w:val="22"/>
          <w:szCs w:val="22"/>
        </w:rPr>
      </w:pPr>
      <w:r>
        <w:rPr>
          <w:color w:val="52514E"/>
          <w:sz w:val="22"/>
          <w:szCs w:val="22"/>
        </w:rPr>
        <w:t xml:space="preserve">SIKA · SIX Swiss Exchange · ISIN CH0418792922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180,20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218,25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+23,2 %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126,53 CHF · mercado 160,98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28.918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SIKA / CH0418792922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de especialidad (química de la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 (Zug) · 1910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www.sika.com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180,20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120,35 – 197,60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28.918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34.987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71,5 M CHF/día (3 meses; 388.000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218,25 CHF</w:t>
      </w:r>
      <w:r>
        <w:t xml:space="preserve"> frente a 180,20 · Rentabilidad a 12 meses </w:t>
      </w:r>
      <w:r>
        <w:rPr>
          <w:b/>
          <w:bCs/>
        </w:rPr>
        <w:t xml:space="preserve">+23,2 % (base +21,2 %)</w:t>
      </w:r>
      <w:r>
        <w:t xml:space="preserve"> · Valor intrínseco 126,53 CHF · con la prima implícita del mercado: 160,98 (-10,7 %) · Alcista / bajista -14,9 % / -47,7 %</w:t>
      </w:r>
    </w:p>
    <w:p>
      <w:pPr>
        <w:spacing w:after="100"/>
      </w:pPr>
      <w:r>
        <w:rPr>
          <w:b/>
        </w:rPr>
        <w:t xml:space="preserve">La recomendación y por qué.</w:t>
      </w:r>
      <w:r>
        <w:t xml:space="preserve"> Mantener, con convicción media. El objetivo a 12 meses es 218,25 CHF (base 214,76), un 23,2 % de rentabilidad ponderada con dividendo (21,2 % en el base) sobre el cierre de 180,20 CHF del 23-oct; el objetivo medio de los analistas, 207,95 CHF, queda dentro de nuestro rango [40]. No es Comprar porque el valor intrínseco (126,53 CHF) está un 29,8 % por debajo del precio: la rentabilidad a un año sale de que el PER vuelva a mitad de camino hacia su historia, no de que Sika valga más de lo que cuesta. La convicción es media porque las dos reglas del valor intrínseco coinciden y estamos lejos de los umbrales; subiría si la guía de 2027 (19-feb) llevara el margen EBITDA al 20 % con crecimiento del 4 % en moneda local, y bajaría con un margen por debajo del 19 %.</w:t>
      </w:r>
    </w:p>
    <w:p>
      <w:pPr>
        <w:spacing w:after="100"/>
      </w:pPr>
      <w:r>
        <w:rPr>
          <w:b/>
        </w:rPr>
        <w:t xml:space="preserve">Qué ha cambiado desde el informe del 14-oct.</w:t>
      </w:r>
      <w:r>
        <w:t xml:space="preserve"> Los nueve meses fueron buenos: +4,8 % en moneda local, 4,6 % orgánico en el 3T y EBITDA de 1.676 M CHF (19,2 %) por encima del consenso, con la guía reiterada [6, 21]. Nuestro BPA de 2026 sube de 7,03 a 7,27 CHF; el de 2028 apenas cambia (8,73). La señal sigue en Mantener (23,2 % frente a 25,8 %, por un PER actual más bajo). El DCF baja de 176,88 a 129,36 CHF por correcciones de método, no por los resultados: circulante a su nivel real del 18,5 % (−6,6 CHF), beta reapalancada con la deuda propia e impuestos del 23,5 % (WACC del 7,02 % frente al 6,63 %: −11,6 CHF), crecimiento en francos con un punto de divisa y sin compras futuras (−10,4 CHF), terminal del 0,8 % (−3,5 CHF) y pensiones y Akkim en el puente (−3,8 CHF).</w:t>
      </w:r>
    </w:p>
    <w:p>
      <w:pPr>
        <w:spacing w:after="100"/>
      </w:pPr>
      <w:r>
        <w:rPr>
          <w:b/>
        </w:rPr>
        <w:t xml:space="preserve">El negocio.</w:t>
      </w:r>
      <w:r>
        <w:t xml:space="preserve"> Líder mundial de la química de la construcción, con ≈11 % de un mercado de 100.000 M CHF, margen de materiales del 55 % y margen EBITDA del 19 % [6, 26]. El ROIC cayó del 16,6 % de 2022 al 10,4 % por el fondo de comercio de MBCC: crea valor (WACC del 7,0 %), pero solo 3,4 puntos por encima. La calidad sí sostiene el crecimiento que proyectamos (veredicto «Sí»): un 2,6 % anual en francos, por debajo del 4,9 % histórico, financiable con la reinversión actual y con la cuota casi constante (del 11,2 % al 11,6 %).</w:t>
      </w:r>
    </w:p>
    <w:p>
      <w:pPr>
        <w:spacing w:after="100"/>
      </w:pPr>
      <w:r>
        <w:rPr>
          <w:b/>
        </w:rPr>
        <w:t xml:space="preserve">Equipo y gobierno.</w:t>
      </w:r>
      <w:r>
        <w:t xml:space="preserve"> Suma: consejo independiente, una acción un voto, retribución ligada al ROCE relativo y cinco compras de directivos sin ventas [1, 33]. Resta la guía: margen de 2025 fallado y objetivo de crecimiento rebajado en noviembre de 2025 [28].</w:t>
      </w:r>
    </w:p>
    <w:p>
      <w:pPr>
        <w:spacing w:after="100"/>
      </w:pPr>
      <w:r>
        <w:rPr>
          <w:b/>
        </w:rPr>
        <w:t xml:space="preserve">Valoración.</w:t>
      </w:r>
      <w:r>
        <w:t xml:space="preserve"> DCF 129,36 CHF, comparables ≈111-119 y transacciones ≈123: todos por debajo del precio. El DCF inverso dice que 180 CHF exige un 7,4 % de crecimiento anual en 2027-2035 o un margen del 26 % (2,7 % y 21 % en nuestro base): quien compra espera ≈5,6 % al año. Con la prima implícita del mercado (4,2 %), 160,98 CHF. El PER de 2027 (22 veces) es el mínimo de cinco años pero supera a los comparables (14,6).</w:t>
      </w:r>
    </w:p>
    <w:p>
      <w:pPr>
        <w:spacing w:after="100"/>
      </w:pPr>
      <w:r>
        <w:rPr>
          <w:b/>
        </w:rPr>
        <w:t xml:space="preserve">Riesgos y catalizadores.</w:t>
      </w:r>
      <w:r>
        <w:t xml:space="preserve"> Los dos riesgos que más pesan son una compresión del múltiplo si el crecimiento no llega (−18 % con 18 veces) y una recaída de la construcción europea (escenario bajista: −27 % frente al base). Catalizadores: resultados y guía de 2027 el 19-feb-2027 y día del mercado de capitales el 11-mar-2027.</w:t>
      </w:r>
    </w:p>
    <w:p>
      <w:pPr>
        <w:spacing w:after="100"/>
      </w:pPr>
      <w:r>
        <w:rPr>
          <w:b/>
        </w:rPr>
        <w:t xml:space="preserve">Qué cambiaría la decisión.</w:t>
      </w:r>
      <w:r>
        <w:t xml:space="preserve"> Comprar por debajo de 126,53 CHF (el valor intrínseco), donde se cumplen las dos condiciones; vender por encima de 246,61 CHF. Pasaríamos a Comprar con un ROCE camino del 15 % o un margen guiado del 20 % que suba nuestro DCF por encima del precio; a Vender, con un crecimiento orgánico negativo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218,25 CHF</w:t>
      </w:r>
      <w:r>
        <w:t xml:space="preserve"> (rentabilidad +23,2 % (base +21,2 %)) · Valor intrínseco: 126,53 CHF (-29,8 % sobre 180,20) · con la prima implícita del mercado: 160,98 (-10,7 %)</w:t>
      </w:r>
    </w:p>
    <w:p>
      <w:pPr>
        <w:spacing w:after="100"/>
      </w:pPr>
      <w:r>
        <w:t xml:space="preserve">Sika es el mayor fabricante mundial de química de la construcción: 11.201 M CHF de ventas en 2025, ≈11 % de un mercado fragmentado de 100.000 M CHF, presencia en más de cien países y un margen de materiales del 55 % que demuestra poder de precios [1, 26]. Su ventaja está en la especificación técnica y en la red local; su debilidad, en el capital: el ROIC ha caído al 10,4 % tras pagar 5.500 M CHF por MBCC [16].</w:t>
      </w:r>
    </w:p>
    <w:p>
      <w:pPr>
        <w:spacing w:after="100"/>
      </w:pPr>
      <w:r>
        <w:t xml:space="preserve">El precio (180,20 CHF, 22 veces el beneficio de 2027 y 16 veces el EBITDA) descuenta mucho: con un WACC del 7,0 %, exige un crecimiento del 7,4 % anual durante nueve años o un margen EBITDA del 26 %, cuando Sika crece un 3,5-4 % orgánico en moneda local, pierde un punto al año por el franco y no ha pasado del 19,3 % de margen en 2021-2025 [1, 6]. Frente a su historia, sin embargo, está barata: su PER adelantado fue de 30-35 veces en 2022-2024.</w:t>
      </w:r>
    </w:p>
    <w:p>
      <w:pPr>
        <w:spacing w:after="100"/>
      </w:pPr>
      <w:r>
        <w:t xml:space="preserve">El mercado acierta en que es un negocio de calidad que merece prima, y se equivoca si espera que vuelva a los múltiplos de 2022-2024 sin que el ROIC suba. Para invertir hay que creer que Fast Forward lleva el margen al 21 % y el ROCE hacia el 20 % de la Estrategia 2028, o aceptar una rentabilidad del 5-6 % anual en francos.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218,25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 × 7,53 = 148,34 · 24,6x × 8,73 = 214,76 · 31,1x × 9,49 = 295,14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207,95 (nuestro base +3,3 %)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 / -47,7 %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7,0 % y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160,98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126,53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126,53 y 246,61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246,61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126,53 CHF (valor intrínseco), pasaríamos a Comprar.</w:t>
      </w:r>
    </w:p>
    <w:p>
      <w:pPr>
        <w:pStyle w:val="ListParagraph"/>
        <w:numPr>
          <w:ilvl w:val="0"/>
          <w:numId w:val="2"/>
        </w:numPr>
        <w:spacing w:after="60"/>
      </w:pPr>
      <w:r>
        <w:t xml:space="preserve">Si la guía de 2027 lleva el margen EBITDA al 20 % o más con orgánico ≥ 4 %, revisaríamos el DCF al alza.</w:t>
      </w:r>
    </w:p>
    <w:p>
      <w:pPr>
        <w:pStyle w:val="ListParagraph"/>
        <w:numPr>
          <w:ilvl w:val="0"/>
          <w:numId w:val="2"/>
        </w:numPr>
        <w:spacing w:after="60"/>
      </w:pPr>
      <w:r>
        <w:t xml:space="preserve">Si el crecimiento orgánico es negativo dos trimestres seguidos, pasaríamos a Vender.</w:t>
      </w:r>
    </w:p>
    <w:p>
      <w:pPr>
        <w:pStyle w:val="ListParagraph"/>
        <w:numPr>
          <w:ilvl w:val="0"/>
          <w:numId w:val="2"/>
        </w:numPr>
        <w:spacing w:after="60"/>
      </w:pPr>
      <w:r>
        <w:t xml:space="preserve">Si el precio supera 246,61 CHF, pasaríamos a Vender.</w:t>
      </w:r>
    </w:p>
    <w:p>
      <w:pPr>
        <w:pStyle w:val="ListParagraph"/>
        <w:numPr>
          <w:ilvl w:val="0"/>
          <w:numId w:val="2"/>
        </w:numPr>
        <w:spacing w:after="60"/>
      </w:pPr>
      <w:r>
        <w:t xml:space="preserve">Si Sika anuncia una compra de más de 1.000 M CHF a más de 13 veces el EBITDA, 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El mercado paga 22 veces el beneficio de 2027 por un líder de calidad que vuelve a crecer (4,6 % orgánico en el 3T26) y cuyo ahorro de Fast Forward subirá el margen al 20 % en 2027-2028. Los analistas (12 de 19 recomiendan comprar) ven un objetivo de 208 CHF y estiman un BPA de 9,33 CHF en 2028, con crecimiento del 5-6 % anual en francos [35, 40].</w:t>
      </w:r>
    </w:p>
    <w:p>
      <w:pPr>
        <w:keepNext/>
        <w:spacing w:after="100"/>
      </w:pPr>
      <w:r>
        <w:rPr>
          <w:b/>
          <w:bCs/>
        </w:rPr>
        <w:t xml:space="preserve">Lo que creemos nosotros.</w:t>
      </w:r>
    </w:p>
    <w:p>
      <w:pPr>
        <w:spacing w:after="100"/>
      </w:pPr>
      <w:r>
        <w:t xml:space="preserve">Compartimos la recuperación del volumen y del margen, pero en francos crecemos menos (2,6 % anual en la proyección, un punto de divisa al año y sin compras futuras) y nuestro BPA de 2028 es 8,73 CHF, un 6 % menos. Con un coste de capital del 7 %, el valor intrínseco es 126,53 CHF.</w:t>
      </w:r>
    </w:p>
    <w:p>
      <w:pPr>
        <w:keepNext/>
        <w:spacing w:after="100"/>
      </w:pPr>
      <w:r>
        <w:rPr>
          <w:b/>
          <w:bCs/>
        </w:rPr>
        <w:t xml:space="preserve">Por qué podemos tener razón.</w:t>
      </w:r>
    </w:p>
    <w:p>
      <w:pPr>
        <w:spacing w:after="100"/>
      </w:pPr>
      <w:r>
        <w:t xml:space="preserve">El franco ha restado entre 3 y 5,5 puntos de crecimiento en 2025-2026 y la diferencia de inflación con el euro y el dólar no ha desaparecido [1, 6]. Las compras crecen ventas pero no valor si se pagan a 11-13 veces el EBITDA y rinden un ROIC incremental del 2,6 %. Podemos equivocarnos si el mercado acepta para Sika un coste de capital del 5,5-6 %, como el de otras compañías suizas de calidad.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8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Vuelve a crecer</w:t>
      </w:r>
      <w:r>
        <w:t xml:space="preserve">: orgánico del 4,6 % en el 3T26 y del 6,2 % sin China en 9M26 [6].</w:t>
      </w:r>
    </w:p>
    <w:p>
      <w:pPr>
        <w:pStyle w:val="ListParagraph"/>
        <w:numPr>
          <w:ilvl w:val="0"/>
          <w:numId w:val="2"/>
        </w:numPr>
        <w:spacing w:after="60"/>
      </w:pPr>
      <w:r>
        <w:rPr>
          <w:b/>
        </w:rPr>
        <w:t xml:space="preserve">Poder de precios</w:t>
      </w:r>
      <w:r>
        <w:t xml:space="preserve">: margen de materiales del 55,4 % en 9M26, 0,4 puntos más, pese al petróleo [6].</w:t>
      </w:r>
    </w:p>
    <w:p>
      <w:pPr>
        <w:pStyle w:val="ListParagraph"/>
        <w:numPr>
          <w:ilvl w:val="0"/>
          <w:numId w:val="2"/>
        </w:numPr>
        <w:spacing w:after="60"/>
      </w:pPr>
      <w:r>
        <w:rPr>
          <w:b/>
        </w:rPr>
        <w:t xml:space="preserve">Ahorro con fecha</w:t>
      </w:r>
      <w:r>
        <w:t xml:space="preserve">: Fast Forward aporta 80 M CHF en 2026 y 150-200 M desde 2028 [11].</w:t>
      </w:r>
    </w:p>
    <w:p>
      <w:pPr>
        <w:pStyle w:val="ListParagraph"/>
        <w:numPr>
          <w:ilvl w:val="0"/>
          <w:numId w:val="2"/>
        </w:numPr>
        <w:spacing w:after="60"/>
      </w:pPr>
      <w:r>
        <w:rPr>
          <w:b/>
        </w:rPr>
        <w:t xml:space="preserve">PER en mínimos</w:t>
      </w:r>
      <w:r>
        <w:t xml:space="preserve">: 22 veces el beneficio de 2027, frente a 30-35 veces en 2022-2024 [34].</w:t>
      </w:r>
    </w:p>
    <w:p>
      <w:pPr>
        <w:pStyle w:val="ListParagraph"/>
        <w:numPr>
          <w:ilvl w:val="0"/>
          <w:numId w:val="2"/>
        </w:numPr>
        <w:spacing w:after="60"/>
      </w:pPr>
      <w:r>
        <w:rPr>
          <w:b/>
        </w:rPr>
        <w:t xml:space="preserve">Directivos que compran</w:t>
      </w:r>
      <w:r>
        <w:t xml:space="preserve">: cinco compras y ninguna venta en doce meses [33].</w:t>
      </w:r>
    </w:p>
    <w:p>
      <w:pPr>
        <w:pStyle w:val="Heading2"/>
      </w:pPr>
      <w:r>
        <w:t xml:space="preserve">En contra</w:t>
      </w:r>
    </w:p>
    <w:p>
      <w:pPr>
        <w:pStyle w:val="ListParagraph"/>
        <w:numPr>
          <w:ilvl w:val="0"/>
          <w:numId w:val="2"/>
        </w:numPr>
        <w:spacing w:after="60"/>
      </w:pPr>
      <w:r>
        <w:rPr>
          <w:b/>
        </w:rPr>
        <w:t xml:space="preserve">Cara frente a su valor</w:t>
      </w:r>
      <w:r>
        <w:t xml:space="preserve">: valor intrínseco de 126,53 CHF, un 29,8 % por debajo del precio.</w:t>
      </w:r>
    </w:p>
    <w:p>
      <w:pPr>
        <w:pStyle w:val="ListParagraph"/>
        <w:numPr>
          <w:ilvl w:val="0"/>
          <w:numId w:val="2"/>
        </w:numPr>
        <w:spacing w:after="60"/>
      </w:pPr>
      <w:r>
        <w:rPr>
          <w:b/>
        </w:rPr>
        <w:t xml:space="preserve">ROIC a la baja</w:t>
      </w:r>
      <w:r>
        <w:t xml:space="preserve">: 10,4 % en 2025 frente al 16,6 % de 2022, solo 3,4 puntos sobre el WACC.</w:t>
      </w:r>
    </w:p>
    <w:p>
      <w:pPr>
        <w:pStyle w:val="ListParagraph"/>
        <w:numPr>
          <w:ilvl w:val="0"/>
          <w:numId w:val="2"/>
        </w:numPr>
        <w:spacing w:after="60"/>
      </w:pPr>
      <w:r>
        <w:rPr>
          <w:b/>
        </w:rPr>
        <w:t xml:space="preserve">El franco resta</w:t>
      </w:r>
      <w:r>
        <w:t xml:space="preserve">: −5,4 puntos de crecimiento en 2025 y −3,2 en 9M26 [1, 6].</w:t>
      </w:r>
    </w:p>
    <w:p>
      <w:pPr>
        <w:pStyle w:val="ListParagraph"/>
        <w:numPr>
          <w:ilvl w:val="0"/>
          <w:numId w:val="2"/>
        </w:numPr>
        <w:spacing w:after="60"/>
      </w:pPr>
      <w:r>
        <w:rPr>
          <w:b/>
        </w:rPr>
        <w:t xml:space="preserve">Guía poco fiable</w:t>
      </w:r>
      <w:r>
        <w:t xml:space="preserve">: margen de 2025 fallado y objetivo de crecimiento rebajado en noviembre de 2025 [28].</w:t>
      </w:r>
    </w:p>
    <w:p>
      <w:pPr>
        <w:pStyle w:val="ListParagraph"/>
        <w:numPr>
          <w:ilvl w:val="0"/>
          <w:numId w:val="2"/>
        </w:numPr>
        <w:spacing w:after="60"/>
      </w:pPr>
      <w:r>
        <w:rPr>
          <w:b/>
        </w:rPr>
        <w:t xml:space="preserve">Prima sobre comparables</w:t>
      </w:r>
      <w:r>
        <w:t xml:space="preserve">: 16 veces el EBITDA frente a una mediana de 10,9 [45].</w:t>
      </w:r>
    </w:p>
    <w:p>
      <w:pPr>
        <w:pStyle w:val="Heading2"/>
      </w:pPr>
      <w:r>
        <w:t xml:space="preserve">Qué tiene que pasar para que la tesis funcione</w:t>
      </w:r>
    </w:p>
    <w:p>
      <w:pPr>
        <w:spacing w:after="100"/>
      </w:pPr>
      <w:r>
        <w:t xml:space="preserve">La tesis depende de que el margen EBITDA suba del 19,2 % al 20 % en 2027 con crecimiento orgánico del 3-4 %: es lo que sostiene el BPA de 8,73 CHF en 2028 y el PER por encima de 20 veces. La señal de que no se cumple sería una guía de 2027 (19-feb) con margen por debajo del 19,5 % o un orgánico del 4T26 por debajo del 2 %, que pondría a Sika en el escenario bajista (BPA de 7,53 CHF).</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19,0 %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 Forward debe subirlo al 20 %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materiales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 frente al petróleo.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puntos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−4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un punto al año; más resta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ROCE al alza no hay vuelta al PER histórico.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 / 14,7x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 / 22,0x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Kaspar Winkler funda Sika en Zúrich en 1910 con Sika-1, un aditivo impermeabilizante para mortero que se usó en el túnel del Gotardo [27]. La empresa se internacionaliza pronto (Europa, Sudamérica y Asia antes de 1935), pasa por una crisis grave a finales de los sesenta y abre la automoción en los ochenta con Sikaflex [27]. Desde 2000 crece con compras pequeñas (36 entre 2000 y 2008) y desde 2019 con grandes: Parex (2019) y MBCC, la antigua química de la construcción de BASF (cerrada en 2023, valor de empresa de 5.500 M CHF) [16, 27]. Entre 2014 y 2018 resistió la venta del control de la familia Burkard a Saint-Gobain; el acuerdo de mayo de 2018 acabó con las acciones de doble voto [27]. Thomas Hasler es consejero delegado desde 2021; en 2025 lanzó el plan de eficiencia Fast Forward y en 2026 fijó la Estrategia 2028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Kaspar Winkler funda la empresa con Sika-1, impermeabilizante usado en el túnel del Gotardo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1926-1935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Filiales en Inglaterra, Italia y Francia; presencia en Europa, Sudamérica y Asia en 1935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Años 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Sikaflex abre la automoción y la industria como segundo negocio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sus cinco competencias (pegar, sellar, amortiguar, reforzar, proteger) y compra 36 empresas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índice SMI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la familia Burkard y Saint-Gobain que cierra la disputa por el control: una acción, un voto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Parex (morteros, Francia), la mayor de su historia hasta entonces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MBCC Group (antigua BASF Construction Chemicals): 5.500 M CHF de valor de empresa, 11,5 veces el EBITDA de 2022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Fast Forward: 108 M CHF de costes únicos y ahorro de 150-200 M CHF a partir de 2028 tras un año sin crecimiento orgánico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Akkim (Turquía, cerrada el 3-sep), Azpects (Reino Unido), Duproof (EAU) y acuerdo por los adhesivos de Resonac (Asia); día del inversor con la Estrategia 2028 [7,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Sika fabrica química para construir, reparar y proteger edificios e infraestructuras, y adhesivos para la industria: aditivos para hormigón y cemento, impermeabilización (sótanos, túneles, presas), cubiertas, morteros y acabados, suelos, selladores y adhesivos de construcción, refuerzo estructural y adhesivos para automoción y fabricación [26]. Lo organiza en cinco tecnologías y ocho mercados objetivo, y lo vende en más de cien países con fábricas locales, porque el producto pesa y se formula para cada mercado [1]. El 30 % de las ventas va a infraestructura, el 35 % a obra comercial, el 20 % a vivienda y el 15 % a automoción e industria [26]. En 2025 vendió 11.201 M CHF: EMEA 44,9 %, Américas 34,6 % y Asia/Pacífico 20,5 %, con China en torno al 8-9 % [1]. Desde 2023 incluye MBCC, la antigua química de la construcción de BASF.</w:t>
      </w:r>
    </w:p>
    <w:p>
      <w:pPr>
        <w:pStyle w:val="Heading2"/>
      </w:pPr>
      <w:r>
        <w:t xml:space="preserve">Cómo gana dinero</w:t>
      </w:r>
    </w:p>
    <w:p>
      <w:pPr>
        <w:spacing w:after="100"/>
      </w:pPr>
      <w:r>
        <w:t xml:space="preserve">El producto de Sika pesa poco en el coste de una obra y mucho en su riesgo (una filtración o una fisura cuestan mucho más), así que el cliente paga por la especificación, la asistencia técnica y la marca. De ahí un margen de materiales estable del 54-55 % (55,4 % en 9M26) y un margen EBITDA del 18-20 % [1, 6]. El margen depende del coste de las materias primas derivadas del petróleo, que se traslada con un retraso de 10-12 semanas, del volumen (apalancamiento operativo moderado) y de la mezcla [19]. Casi todo es venta recurrente de consumibles, ligada a la actividad de construcción y renovación. La divisa resta cada año: el franco fuerte quitó 5,4 puntos de crecimiento en 2025 y 3,2 en 9M26 [1, 6]. El segundo y tercer trimestre son los más fuertes por la estacionalidad de la obra.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muy atomizada: contratistas, aplicadores, fabricantes de hormigón y prefabricados, distribuidores de material y fabricantes de automóviles e industria; la empresa no tiene clientes de peso relevante en las ventas [1]. Los costes de cambio vienen de la especificación en el proyecto y de la formulación ajustada a cada planta de hormigón. Poder de precios demostrado: el margen de materiales se mantuvo en la inflación de 2022 y en 2026 subió precios ≈5 % en el mundo y un 10-20 % en Oriente Medio tras el alza del petróleo, con el margen de materiales 0,4 puntos por encima del año anterior [6, 24]. En 2026 el precio aporta ≈1,5 puntos y el volumen 1-1,5 puntos del crecimiento orgánico [20].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moneda local (9M)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6,1 %; sin la construcción china, 6,2 %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(9M)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4,6 %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materiales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encima del coste de las materias primas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(9M25)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(9M26)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Logística (+16 M) y divisa compensan Fast Forward [6,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Ahorros de Fast Forward (ritmo mensual)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M CHF al mes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80 M en 2026 y 80-110 M en 2027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Estrategia 2028: 20-25 % [1,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química de la construcción y la industria: aditivos de hormigón, impermeabilización, cubiertas, morteros y acabados, suelos, sellado y pegado, refuerzo y adhesivos industriales, en todo el mundo. Sika lo cifra en 100.000 M CHF (día del inversor de octubre de 2026) y en más de 110.000 M CHF en el informe anual 2025, con industria incluida [1, 26]. ResearchAndMarkets da 82.548 M USD en 2025 (≈68.100 M CHF) para la química de la construcción en sentido estricto, sin adhesivos industriales [25]. Se usa la cifra de Sika (100.000 M CHF), porque es el perímetro de sus ventas y de su cuota del 12 %; la de ResearchAndMarkets da el crecimiento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≈100.000 M CHF en 2026 según Sika [26] (más de 110.000 M CHF con industria en el informe anual 2025 [1]); 82.548 M USD en 2025 para la química de la construcción según ResearchAndMarkets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ResearchAndMarkets, a 0,8244 CHF/USD del BCE del 23-oct-2026))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e infraestructura (volumen)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vende 30 % a infraestructura, 35 % a obra comercial y 20 % a vivienda; la construcción china le restó crecimiento en 2024-2026 (sin ella, +6,2 % en moneda local en 9M26 frente a +4,8 % total) [7,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la química por tonelada de hormigón y por obra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crece de media 2,4 puntos al año más que sus competidores en orgánico (2023-9M25) gracias a más producto por obra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del cemento y del hormigón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aditivos permiten menos clínker por metro cúbico; la demanda de soluciones bajas en carbono refuerza la cuota de Sika según su análisis de riesgos climáticos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edificios e infraestructura envejecida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Refuerzo y reparación (Engineered Refurbishment) es uno de sus ocho mercados; la renovación pesa más que la obra nueva en los países ricos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y megaproyectos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son ≈4 % de las ventas y crecen a doble dígito en 2026 [7,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las materias primas derivadas del petróleo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conflicto de Oriente Medio subió el petróleo en marzo de 2026 y obligó a subir precios ≈5 % en el mundo; el margen de materiales se sostuvo en 55,4 % en 9M26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diez primeros ≈40 % según Sika [1]) con dos grandes que consolidan (Sika y Saint-Gobain) y muchos locales; la competencia es por servicio técnico y especificación más que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(constructoras, aplicadores, hormigoneras, distribuidores, fabricantes de automóviles); el producto pesa poco en el coste de la obra y mucho en su calidad. Excepción: automoción, ≈15 % con industria, más concentrada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químicas y derivadas del petróleo; la empresa traslada el coste con retraso de uno o dos trimestres (margen de materiales 54,9 % en 2025 y 55,4 % en 9M26) [1,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técnica y comercial en cada país, homologaciones y referencias en obras; Sika tiene producción en más de 100 países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Pocas alternativas a la química para impermeabilizar, sellar o reducir cemento; la sustitución es entre tecnologías químicas (membranas líquidas o láminas), donde Sika está en casi todas [26].</w:t>
            </w:r>
          </w:p>
        </w:tc>
      </w:tr>
    </w:tbl>
    <w:p>
      <w:pPr>
        <w:spacing w:after="160" w:before="0"/>
      </w:pPr>
    </w:p>
    <w:p>
      <w:pPr>
        <w:pStyle w:val="Heading2"/>
      </w:pPr>
      <w:r>
        <w:t xml:space="preserve">Ciclo</w:t>
      </w:r>
    </w:p>
    <w:p>
      <w:pPr>
        <w:spacing w:after="100"/>
      </w:pPr>
      <w:r>
        <w:t xml:space="preserve">El crecimiento orgánico de Sika pasó de −0,4 % en 2025 a 3,5 % en 9M26 y a 4,6 % en el tercer trimestre; Europa crece (+8,3 % en moneda local con compras) y China sigue cayendo [7]. La construcción mundial sale de dos años flojos por tipos altos. En 2020 y en 2022 Sika siguió creciendo en moneda local (con compras y, en 2022, con subidas de precio de dos dígitos); el golpe de 2008-09 no se ha comprobado en sus cuentas. El ciclo pesa en el volumen, pero la química aguanta mejor que el cemento porque una parte es renovación.</w:t>
      </w:r>
    </w:p>
    <w:p>
      <w:pPr>
        <w:pStyle w:val="Heading2"/>
      </w:pPr>
      <w:r>
        <w:t xml:space="preserve">Regulación</w:t>
      </w:r>
    </w:p>
    <w:p>
      <w:pPr>
        <w:spacing w:after="100"/>
      </w:pPr>
      <w:r>
        <w:t xml:space="preserve">Normas de eficiencia energética de los edificios en la UE (refundición de la directiva de 2024, edificios de cero emisiones desde 2030), mecanismo de ajuste en frontera por carbono (CBAM) para el cemento desde 2026 y precios del CO₂ que favorecen el hormigón con menos clínker; normas de sustancias químicas (REACH, restricciones de isocianatos y de PFAS en tramitación) que afectan a formulaciones de selladores y espumas [1]. En competencia, Sika sigue en dos investigaciones abiertas por posibles prácticas contrarias a la competencia; el Reino Unido, Turquía y EE. UU. cerraron en 2025 las suyas sobre aditivos de hormigón y cemento [1].</w:t>
      </w:r>
    </w:p>
    <w:p>
      <w:pPr>
        <w:pStyle w:val="Heading2"/>
      </w:pPr>
      <w:r>
        <w:t xml:space="preserve">Tendencias y disrupción</w:t>
      </w:r>
    </w:p>
    <w:p>
      <w:pPr>
        <w:spacing w:after="100"/>
      </w:pPr>
      <w:r>
        <w:t xml:space="preserve">Tres tendencias: la descarbonización del hormigón (más aditivos y cementos con menos clínker, a favor de Sika), la industrialización y digitalización de la obra (prefabricados, impresión 3D, comercio electrónico, donde Sika invierte con Fast Forward) y la consolidación de un mercado fragmentado, en la que compiten Sika, Saint-Gobain (Chryso, GCP, Fosroc), Holcim y fondos [1, 25, 26]. Sika gana con las tres mientras no pague de más por las compras.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química de la construcción y la industria: 11.201 M CHF de ventas en 2025 sobre un mercado de ≈100.000 M CHF (11,2 %; Sika dice 12 %) [1, 26]. Saint-Gobain es el n.º 2 tras comprar Chryso, GCP y Fosroc.</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 (Construction Chemicals)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42.656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entero (la química es una parte); n.º 2 tras Chryso (2021), GCP (2022) y Fosroc (2025)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Henkel (Adhesive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rival en adhesivos industriales y morteros (Ceresit)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Tremco, Euclid y Carboline: selladores, impermeabilización y aditivos, sobre todo en Norteamérica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Arkema (Bostik)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entero; Bostik compite en adhesivos y selladores de construcción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Carlisle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Membranas y sistemas de cubierta en EE. UU.; rival directo en cubiertas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H.B. Fuller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Adhesivos industriales y de construcción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Mapei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y no cotiza; fuerte en adhesivos cerámicos, morteros y aditivos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Holcim (Building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Cubiertas e impermeabilización tras separar Amrize (Norteamérica)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la red de técnicos y especificadores crea preferencia, no un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especificados en el proyecto y homologados; cambiar de aditivo exige nuevas pruebas de hormigón. Margen de materiales estable entre 53 % y 55 % con la inflación de 2022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Sika y Sikaflex reconocidas por aplicadores; más de 20 centros tecnológicos; I+D ≈1 % de ventas pero con crecimiento por encima del mercado 2,4 puntos al año en 2023-2025 [3,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de materias primas y fábricas locales; margen EBITDA 19,2 % frente a 15-17 % de Henkel, RPM y H.B. Fuller [5,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más de 100 países con producto pesado de transportar; el líder tiene ≈11-12 % de un mercado fragmentado [2, 3].</w:t>
            </w:r>
          </w:p>
        </w:tc>
      </w:tr>
    </w:tbl>
    <w:p>
      <w:pPr>
        <w:spacing w:after="160" w:before="0"/>
      </w:pPr>
    </w:p>
    <w:p>
      <w:pPr>
        <w:pStyle w:val="Heading2"/>
      </w:pPr>
      <w:r>
        <w:t xml:space="preserve">Amenazas</w:t>
      </w:r>
    </w:p>
    <w:p>
      <w:pPr>
        <w:spacing w:after="100"/>
      </w:pPr>
      <w:r>
        <w:t xml:space="preserve">Lo que más puede erosionarlo es el ciclo y la disciplina de capital: un frenazo de la construcción europea o una China que no toca fondo frenan el volumen (probabilidad media), y compras caras en un mercado donde Saint-Gobain, Holcim y fondos pujan por los mismos activos rebajan el ROIC, que ya cayó al 12 % tras MBCC (probabilidad media) [1, 29]. Las investigaciones de competencia en curso son un riesgo menor de multa y de reputación (baja) [1]. La sustitución tecnológica es poco probable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4,9 %</w:t>
      </w:r>
      <w:r>
        <w:t xml:space="preserve">, EBITDA </w:t>
      </w:r>
      <w:r>
        <w:rPr>
          <w:b/>
          <w:bCs/>
        </w:rPr>
        <w:t xml:space="preserve">5,2 %</w:t>
      </w:r>
      <w:r>
        <w:t xml:space="preserve">, BPA </w:t>
      </w:r>
      <w:r>
        <w:rPr>
          <w:b/>
          <w:bCs/>
        </w:rPr>
        <w:t xml:space="preserve">-0,4 %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9.252 M CHF en 2021 a 11.201 M en 2025 (TCAC del 4,9 % en francos), casi todo por la compra de MBCC en mayo de 2023; el crecimiento orgánico fue débil en 2024-2025 (−0,4 % en 2025) por la construcción china y el franco fuerte restó 5,4 puntos en 2025 [1, 11]. El margen de materiales subió de 49,4 % en 2022 a 54,9 % en 2025 (precios y bajada de materias primas), pero personal y otros gastos crecieron más deprisa: el margen EBITDA publicado bajó de 19,0 % a 18,4 % (19,2 % sin los 86,2 M de costes de Fast Forward) [1, 11]. En 9M26 las ventas en moneda local crecen un 4,8 % (orgánico 3,5 %, compras 1,3 %, divisa −3,2 %) y el EBITDA un 1,9 % hasta 1.676 M (19,2 %); el beneficio neto, 887,8 M (+1,9 %) [6]. El tercer trimestre acelera a +6,1 % en moneda local (4,6 % orgánico) [7].</w:t>
      </w:r>
    </w:p>
    <w:p>
      <w:pPr>
        <w:pStyle w:val="Heading2"/>
      </w:pPr>
      <w:r>
        <w:t xml:space="preserve">Ajustes y partidas no recurrentes</w:t>
      </w:r>
    </w:p>
    <w:p>
      <w:pPr>
        <w:spacing w:after="100"/>
      </w:pPr>
      <w:r>
        <w:t xml:space="preserve">Cifras publicadas (NIIF). No recurrentes dentro del EBITDA: 2022, plusvalía de 166,5 M por la venta de recubrimientos industriales menos 78,3 M de costes de la compra de MBCC (neto −88,2 M, ingreso) [4]; 2023, 109,3 M de costes de MBCC en otros gastos [3]; 2025, 86,2 M de costes únicos de Fast Forward en el EBITDA más 29,8 M de deterioros por debajo [1, 11]. No se repiten: el programa Fast Forward se cierra con 108 M de costes únicos en 2025 [7]. El BPA ajustado (estimación propia, no recurrentes netos al 20 % de impuestos) es 6,60 (2021), 6,85 (2022), 7,19 (2023), 7,76 (2024) y 7,08 (2025) CHF. El LTM a sep-26 lleva los 86,2 M de Fast Forward del 4T25.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semestre (28-jul) la dirección subió la guía de ventas de 2026 del 1-4 % al 3-6 % en moneda local y bajó la de margen EBITDA del 19,5-20,0 % al 19,0-19,5 % por la logística y las materias primas ligadas al petróleo tras el conflicto de Oriente Medio; el director financiero situó el precio en ≈1,5 puntos y el volumen en 1-1,5 puntos del crecimiento del semestre y reconoció poca visibilidad del cuarto trimestre [18, 20]. En los nueve meses (23-oct) el discurso cambió de defensa a aceleración: +6,1 % en moneda local en el 3T (4,6 % orgánico), 6,2 % sin la construcción china, guía reiterada y ahorros de Fast Forward a un ritmo de 8 M al mes [6, 7, 19]. Los analistas preguntaron por la desaceleración del 4T (la dirección la atribuye a la base de comparación y a la estacionalidad), por los precios en 2027 (traslado de costes en 10-12 semanas, país a país), por el coste del transporte (≈16 M de más en nueve meses) y por China (la dirección reorienta el negocio a renovación y no espera recuperación rápida) [19]. No dio cifra para 2027 (la dará el 19-feb-2027) ni el reparto entre precio y volumen del trimestre, y la caja operativa quedó por debajo del año anterior por inventario de seguridad [19]. Frente al consenso AWP de 12 analistas, las ventas de 9M (8.712 M frente a 8.658) y el EBITDA (1.676 frente a 1.661) fueron superiores y el beneficio neto quedó en línea (887,8 frente a 891)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MBCC Group (antigua BASF Construction Chemicals; ≈2.900 M CHF de ventas en 2021) consolidada desde mayo de 2023: el balance de 2023 la lleva entera y la cuenta solo ocho meses [3, 16].; 2022: Venta del negocio europeo de recubrimientos industriales (plusvalía de 166,5 M antes de impuestos)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(sin arrendamientos) pasó de 1.720 M en 2022 a 4.825 M en 2023 por MBCC (5.500 M CHF de precio) y se ha reducido a 4.302 M a fin de 2025 [1, 16]. El circulante comercial es estable en el 18-20 % de las ventas (18,5 % en 2025) y estacional: sube ≈450 M en el primer semestre y se recupera en el segundo [1, 5]. A 30-jun-2026 la deuda financiera bruta sin arrendamientos era de 5.623 M (bonos 4.709 M y 885 M de la línea de crédito) y la caja de 625 M; después del cierre se cobró el híbrido y se pagó Akkim [5, 13,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4.988</w:t>
      </w:r>
      <w:r>
        <w:t xml:space="preserve">, conversión </w:t>
      </w:r>
      <w:r>
        <w:rPr>
          <w:b/>
          <w:bCs/>
        </w:rPr>
        <w:t xml:space="preserve">90 %</w:t>
      </w:r>
      <w:r>
        <w:t xml:space="preserve"> del beneficio neto; adquisiciones 4.157, dividendos 2.400, recompras 227.</w:t>
      </w:r>
    </w:p>
    <w:p>
      <w:pPr>
        <w:spacing w:after="100"/>
      </w:pPr>
      <w:r>
        <w:t xml:space="preserve">Desde 2024 Sika presenta los intereses pagados en financiación y los cobrados en inversión (en 2021-2023 iban en explotación): para que el FCF sea comparable se restan aparte los intereses netos pagados (143,4 − 24,4 = 119,0 M en 2024; 132,0 − 17,3 = 114,7 M en 2025) [1, 2]. El flujo operativo pasó de ≈1.100 M en 2021-2022 a ≈1.700 M en 2023-2025 con MBCC; la conversión es buena (flujo operativo libre de 1.356 M en 2025, 12,1 % de las ventas, por encima del objetivo del 10 %) [1, 23]. 2022 lleva el circulante inflado por la inflación de materias primas (−326 M) [4]. El capex es bajo (3,4 % de las ventas en 2025) frente a una amortización del 5,1 %, que incluye ≈190 M de amortización de intangibles comprados (estimación propia a partir de la nota 15) [1]; la dirección no separa mantenimiento y crecimiento. En el 1S26 el flujo operativo cayó a 328,5 M (357,9 M) por más inventario de seguridad [5, 19].</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cuestión clave de auditoría: fondo de comercio e intangibles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NIIF auditadas por KPMG desde 2022 (inscrita el 19-ago-2022; antes Ernst &amp; Young), sin salvedades [1]. La I+D (≈280 M al año) se lleva a gastos, no se capitaliza [1, 7]. El fondo de comercio (6.139 M, 41 % del activo) y los intangibles comprados (1.796 M) salen sobre todo de MBCC y Parex: el test de deterioro de 2025 no obligó a deteriorar el fondo de comercio (los 29,8 M de deterioro son activos de Fast Forward) [1]. Pagos en acciones pequeños (13,2 M en el 1S26, 0,2 % de las ventas) [5]. Hiperinflación contable en Argentina y Turquía (ajustes de 41,8 M en 2025 al patrimonio) [1]. El tipo efectivo es estable (20,5-22,9 %) [1]. Los no recurrentes se concentran en los años de grandes compras (2022-2023) y en Fast Forward (2025), y están identificados en las notas [1, 3,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1,2 veces 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6.139 M de fondo de comercio y 1.796 M de intangibles frente a 6.656 M de patrimonio (2025): un deterioro de MBCC golpearía el patrimonio, no la caja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únicos repetidos (MBCC 2022-2023, Fast Forward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 los últimos cuatro ejercicios llevan no recurrentes; están detallados en las notas y no se repiten en 2026 según la empresa [1,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operativa del 1S26 por debajo del año anterior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328,5 M frente a 357,9 M por inventario de seguridad; estacional y explicado [5, 19].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6.139 M en 2025 (el 54 % del capital invertido medio); ha subido más de un 5 % en 2 de 4 años: compra única grande. ROIC publicado 10,4 %; sin fondo de comercio, 22,6 %.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2,6 % · </w:t>
      </w:r>
      <w:r>
        <w:rPr>
          <w:b/>
          <w:bCs/>
        </w:rPr>
        <w:t xml:space="preserve">WACC</w:t>
      </w:r>
      <w:r>
        <w:t xml:space="preserve">: 7,0 %.</w:t>
      </w:r>
    </w:p>
    <w:p>
      <w:pPr>
        <w:spacing w:after="100"/>
      </w:pPr>
      <w:r>
        <w:t xml:space="preserve">Sika crea valor, pero cada vez con menos margen: el ROIC (con fondo de comercio) bajó del 16,6 % en 2022 al 10,4 % en 2025, frente a un WACC del 7,0 %, porque la compra de MBCC (5.500 M CHF) añadió capital y la rentabilidad de lo comprado aún no ha subido lo bastante. Sin fondo de comercio el ROIC es del 22,6 %: el negocio operativo es muy rentable y lo que pesa es el precio pagado por las compras. El ROIC incremental de 2021-2025 es solo del 2,6 %: el capital añadido (sobre todo MBCC) apenas rindió en esos años, en parte por la caída de China y del franco. La Estrategia 2028 pide un ROCE del 20-25 % frente al 12,3 % de 2025 [11, 26]. Frente a los comparables, el ROIC de Sika está por debajo de Carlisle (20,7 %) y Sherwin-Williams (16,4 %) y por encima de Henkel (9,1 %) y Saint-Gobain (10,0 %) [45].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6.059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625 M CHF a 30-jun-2026 y 1.315 M sin disponer de dos líneas de crédito de 1.100 M cada una (vencen en dic-2028 y ago-2029; 885 M dispuestos en junio); en agosto, híbrido de 1.000 M EUR (≈923 M CHF) para compras y para refinanciar el bono de 1.000 M EUR que vence el 3-nov-2026 [5,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(perspectiva estable desde el 17-ago-2026, antes negativa)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déficit neto de los planes de prestación definida de 86,6 M CHF a fin de 2025 (planes suizos con superávit según la BVG) más 128,9 M de otros compromisos con empleados (premios de antigüedad) [1]. Provisiones de 187 M a 30-jun-2026 (garantías, litigios con probabilidad &gt; 50 % y contingencias de compras) [5]. El híbrido de agosto (dos tramos de 500 M EUR al 4,375 % y 4,875 %, primeras amortizaciones en 2032 y 2035) tiene un 50 % de tratamiento de capital en S&amp;P, pero es deuda subordinada a 30 años: aquí cuenta como deuda [13]. No se publican covenants financieros; la política es deuda neta/EBITDA de 1,3-2,3 veces (2,3 a fin de 2025, 2,2 sin Fast Forward) [11]. El precio de Akkim (cerrada el 3-sep-2026) no se ha publicado [14, 15].</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el negocio (capex y compras complementarias), dividendo creciente y balance de grado de inversión (deuda neta/EBITDA de 1,3-2,3 veces); recompras solo oportunistas [11]. El pago de 3,70 CHF por 2025 (+2,8 %) se reparte entre dividendo (1,85) y devolución de reservas de aportaciones de capital libre de retención (1,85); es el séptimo año seguido de subida [1, 5, 19]. No hay recompra en curso. Las compras complementarias deben aportar 1-2 puntos de crecimiento al año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(antigua BASF Construction Chemicals)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y préstamos (deuda neta de 2.052 a 5.220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 MBCC de ≈15 % a ≈20 %; integración casi terminada; sin deterioro del fondo de comercio, pero el ROCE del grupo bajó del 21,6 % (2022) al 12,3 % (2025) [1, 16,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Parex (morteros,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parte del fondo de comercio de 6.139 M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Akkim (adhesivos y sellantes, Turquía; ≈220 M CHF de ventas)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 híbrido de 1.000 M 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3-sep-2026; objetivo de doblar las ventas en cinco años; precio no publicado [7, 13, 14,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Finja (morteros, Suecia)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 M de ventas desde febrero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Elmich, Cromar, HPS y Gulf Additive Factory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definitivos; 63,3 M de fondo de comercio [5].</w:t>
            </w:r>
          </w:p>
        </w:tc>
      </w:tr>
    </w:tbl>
    <w:p>
      <w:pPr>
        <w:spacing w:after="160" w:before="0"/>
      </w:pPr>
    </w:p>
    <w:p>
      <w:pPr>
        <w:spacing w:after="100"/>
      </w:pPr>
      <w:r>
        <w:t xml:space="preserve">Sika es un comprador en serie: 4.157 M en compras netas en 2021-2025, el 76 % en MBCC [1]. El efecto en la rentabilidad es claro: el ROCE publicado cayó del 21,6 % al 12,3 % y el capital empleado se multiplicó por 1,6 mientras el beneficio operativo apenas creció (1.580 M en 2022, 1.493 M en 2025) [1]. La dirección defiende que MBCC ha pasado del 15 % al 20 % de margen EBITDA y que el objetivo de ROCE del 20-25 % llegará «una vez materializadas las sinergias» [1, 23]; con un ROCE del 12 % en el 1S26 está lejos [5]. La dilución es nula desde la conversión del bono convertible en 2023 (160,5 M de acciones diluidas desde 2021) [1]. El dividendo absorbe ≈40 % del flujo operativo libre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Hasler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Químico, 37 años en Sika (adhesivos para automoción, director técnico, jefe de Industria). Como CEO integró MBCC (sinergias por encima de lo prometido en 2024) pero el crecimiento orgánico se paró en 2025 (−0,4 %) y lanzó Fast Forward; en 2026 vuelve al 3-5 % orgánico [1, 5]. 43.138 acciones a fin de 2025.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Widmer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años en Sika; CFO desde 2014. Financió Parex y MBCC manteniendo la calificación A− de S&amp;P y bajó la deuda neta (con arrendamientos) de 5.224 M CHF en 2023 a 4.740 M en 2025 [1]. 36.552 acciones.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F. J. Vanlancker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AkzoNobel (2017-2022) y directivo de Chemours y DuPont; preside Sika desde 2019 y también dirige Aliaxis [1]. 6.268 acciones.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 Ganz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regional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años en Sika (Francia, EE. UU., distribución); EMEA, la región más grande, crece 8,3 % en moneda local en 9M26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Campion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regional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años en Sika en EE. UU. y Asia; antes dirigió Asia/Pacífico; Américas crece 4,1 % en moneda local en 9M26 [1,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Philippe Jost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regional Asia/Pacífico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años en Sika; Asia/Pacífico cae −2,3 % en moneda local en 9M26 por la construcción china [1,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+6-9 % en moneda local; EBITDA crece más que las ventas (Plan de 1S24)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11.763 M CHF (+4,6 % en CHF, ≈+9 % en moneda local con MBCC hasta mayo); EBITDA +11 % y margen 19,3 %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modesta de ventas en moneda local; margen EBITDA 19,5-19,8 % (julio de 2025), rebajado en octubre a ≈19 % tras costes únicos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+0,6 % en moneda local (orgánico −0,4 %); margen EBITDA 18,4 % contable y 19,2 % sin los 86 M de costes de Fast Forward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Febrero: +1-4 % en moneda local y margen 19,5-20,0 %; julio: +3-6 % y margen 19,0-19,5 % [1,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+4,8 % en moneda local y margen EBITDA 19,2 %; guía reiterada el 23-oct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2028 (plan)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2028 original (2023): ventas +6-9 % al año en moneda local, margen EBITDA 20-23 % desde 2024, flujo libre operativo &gt;10 % de ventas, ROCE &gt;25 %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Noviembre de 2025: el crecimiento se rebaja a 3-6 % sin el mercado y el margen del 20 % se aplaza; ROCE 12,3 % en 2025 [1,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muy estable y de la casa: el CEO lleva 37 años en Sika, el CFO 19 y los tres directores regionales cerca de 30; la sucesión sale de dentro, como pasó con Schuler y Hasler en 2021. La credibilidad es media: cumplió con creces en 2024 (MBCC y sinergias), pero falló el margen de 2025, tuvo que rebajar el objetivo de crecimiento a medio plazo en noviembre de 2025 y en 2026 subió la guía de ventas y bajó la de margen a la vez. Los directivos compran acciones (cinco compras y ninguna venta en doce meses) y tienen participaciones relevantes para su sueldo: la del CEO vale ≈7,8 M CHF, casi dos años de remuneración. El director financiero, catorce años en el cargo, es la pieza que da continuidad a la disciplina de balance.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Thierry F. J. Vanlancker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como invitado a las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Aebischer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Viktor W. Balli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Lucrèce Foufopoulos-De Ridder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Justin M. Howell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Gordana Landén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Kwok Wang (Frankie) 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Frei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publicados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Lukas Gähwiler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cuestión clave de auditoría: fondo de comercio e intangibles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Notificada a 31-dic-2025; sin cambios de umbral conocidos en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Notificada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Notificada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y alta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 dirección de 131.589 a 142.092 acciones en 2025; consejo 113.619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del 0,1 %; sin programa de recompra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[33]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[33]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[33]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alta dirección [33]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 la alta dirección [33]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(100 % del fijo en objetivo, máximo 200 %) depende en un 60 % del resultado relativo frente a un grupo de comparables (mejora del EBITDA 40 % y crecimiento de ventas 20 %), en un 30 % de objetivos absolutos del grupo y de seguridad (10 %), y en un 10 % de objetivos individuales [1]. El incentivo a largo plazo (144 % del fijo para el CEO) son acciones por resultados a tres años: ROCE relativo 40 %, rentabilidad total para el accionista relativa 40 % y objetivos ambientales 20 %, con tope del 200 % (subido desde el 150 %) [1]. Hay cláusulas de recuperación y de reducción (clawback y malus), preaviso de un año y ninguna indemnización pactada por despido o cambio de control [1]. El ROCE relativo protege frente al crecimiento a cualquier precio, aunque al ser relativo premia batir a unos comparables que también han bajado. Los votos sobre retribución nunca bajaron del 91 % a favor en tres juntas [23].</w:t>
      </w:r>
    </w:p>
    <w:p>
      <w:pPr>
        <w:pStyle w:val="Heading2"/>
      </w:pPr>
      <w:r>
        <w:t xml:space="preserve">Operaciones vinculadas, estructura de control y defensas</w:t>
      </w:r>
    </w:p>
    <w:p>
      <w:pPr>
        <w:spacing w:after="100"/>
      </w:pPr>
      <w:r>
        <w:t xml:space="preserve">No hay accionista de control: desde el acuerdo de 2018 con la familia Burkard y Saint-Gobain hay una sola clase de acciones, cada acción un voto y ningún límite de voto para quien declara que compra por cuenta propia; a los nominees sin esa declaración se les limita el registro con voto [1, 5]. Los mayores accionistas son gestoras (BlackRock 7,7 %, UBS 5,6 %, Norges 3,4 %). El consejo es 100 % independiente según el código suizo, el presidente no es ejecutivo y todos los consejeros se eligen cada año. No hay operaciones vinculadas en 2025, ni pactos, ni cláusulas de cambio de control en los contratos de la dirección [1]. Cambiar las reglas de transmisión de acciones exige dos tercios de los votos.</w:t>
      </w:r>
    </w:p>
    <w:p>
      <w:pPr>
        <w:pStyle w:val="Heading2"/>
      </w:pPr>
      <w:r>
        <w:t xml:space="preserve">Señales de alerta</w:t>
      </w:r>
    </w:p>
    <w:p>
      <w:pPr>
        <w:pStyle w:val="ListParagraph"/>
        <w:numPr>
          <w:ilvl w:val="0"/>
          <w:numId w:val="2"/>
        </w:numPr>
        <w:spacing w:after="60"/>
      </w:pPr>
      <w:r>
        <w:t xml:space="preserve">El CEO es consejero de Gebr. Knauf KG desde enero de 2025, grupo alemán de materiales de construcción con negocios que se cruzan con los de Sika (morteros); el informe anual no lo trata como conflicto [1].</w:t>
      </w:r>
    </w:p>
    <w:p>
      <w:pPr>
        <w:pStyle w:val="ListParagraph"/>
        <w:numPr>
          <w:ilvl w:val="0"/>
          <w:numId w:val="2"/>
        </w:numPr>
        <w:spacing w:after="60"/>
      </w:pPr>
      <w:r>
        <w:t xml:space="preserve">Sika sigue en dos investigaciones de competencia abiertas; Reino Unido, Turquía y EE. UU. cerraron las suyas sobre aditivos de hormigón en 2025 [1].</w:t>
      </w:r>
    </w:p>
    <w:p>
      <w:pPr>
        <w:pStyle w:val="ListParagraph"/>
        <w:numPr>
          <w:ilvl w:val="0"/>
          <w:numId w:val="2"/>
        </w:numPr>
        <w:spacing w:after="60"/>
      </w:pPr>
      <w:r>
        <w:t xml:space="preserve">Relevo del jefe de comunicación y relaciones con inversores (anunciado el 12-oct): Dominik Slappnig se jubila tras 16 años y Till Leisner (DKSH) entra el 1-nov-2026 [32].</w:t>
      </w:r>
    </w:p>
    <w:p>
      <w:pPr>
        <w:pStyle w:val="ListParagraph"/>
        <w:numPr>
          <w:ilvl w:val="0"/>
          <w:numId w:val="2"/>
        </w:numPr>
        <w:spacing w:after="60"/>
      </w:pPr>
      <w:r>
        <w:t xml:space="preserve">No se publicó el precio de Akkim (≈220 M CHF de ventas), la mayor compra de 2026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2026 (reiterada el 23-oct): ventas +3-6 % en moneda local y margen EBITDA 19,0-19,5 %; la empresa se siente cómoda con el EBITDA del consenso en francos (≈2.160 M CHF) [6, 34]. La guía se cambió dos veces: en febrero era +1-4 % y 19,5-20,0 %; el 24-mar la dirección habló de la parte media o baja por el conflicto de Oriente Medio y el 28-jul subió ventas y bajó margen [18, 24]. A medio plazo (Estrategia 2028, confirmada en el día del inversor del 1-oct-2026): +3-6 % al año en moneda local además del mercado, margen EBITDA 20-23 %, flujo libre operativo &gt;10 % de ventas y ROCE 20-25 %; Fast Forward aporta 80 M CHF en 2026 y 150-200 M a partir de 2028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18 analistas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207,95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240,00</w:t>
            </w:r>
          </w:p>
        </w:tc>
      </w:tr>
    </w:tbl>
    <w:p>
      <w:pPr>
        <w:spacing w:after="160" w:before="0"/>
      </w:pPr>
    </w:p>
    <w:p>
      <w:pPr>
        <w:pStyle w:val="Heading2"/>
      </w:pPr>
      <w:r>
        <w:t xml:space="preserve">Revisiones de estimaciones</w:t>
      </w:r>
    </w:p>
    <w:p>
      <w:pPr>
        <w:spacing w:after="100"/>
      </w:pPr>
      <w:r>
        <w:t xml:space="preserve">Las estimaciones de las dos fuentes gratuitas son anteriores a los resultados: MarketScreener da 7,39 CHF de BPA en 2026 y Stock Analysis 7,28 (ajustado, actualizado el 9-oct) con 8,36 en 2027 en ambas [35, 39]. El consenso AWP para 9M26 (ventas 8.658 M, EBITDA 1.661 M, beneficio 891 M) se batió en EBITDA y se igualó en beneficio [21]. Los precios objetivo suben desde abril: media AWP de ≈187 CHF en abril, 196 en julio, 206 el 6-oct y 207,95 tras los resultados (19 analistas: 12 comprar, 7 mantener) [36, 38, 40]. Berenberg subió a 240 y Jefferies a 215 tras el día del inversor [36]. MarketScreener da 204,83 de media (159-240) [35]. Tras el semestre, JPMorgan subió a sobreponderar (215) y de doce cambios de objetivo solo uno fue a la baja [48].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Sika ha sido una de las peores acciones del SMI desde su máximo de finales de 2021 (380 CHF): −65 % hasta marzo de 2026, por la compresión del múltiplo (de 55 veces a ≈22 veces el beneficio del año siguiente), el estancamiento de las ventas en 2024-2025 con China a la baja y el franco fuerte, y la rebaja del objetivo de crecimiento a medio plazo en noviembre de 2025 [26, 34]. En 2026 rebota: +40 % desde el mínimo de marzo con la vuelta al crecimiento orgánico (2,9 % en 1S26, 4,6 % en 3T26), aunque sigue por debajo del SMI a tres y cinco años. Es una acción de beta alta (1,56 frente al SMI en cinco años) para ser química de especialidades, porque el mercado la trata como cíclica de construcción [34].</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 / -1,5 % / +22,4 % / -0,1 %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 +39,8 %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dos días (−4,3 % el 27-oct y −5,9 % el 28-oct) tras las ventas de 9M25 del viernes 24-oct: Bank of America reanuda cobertura con «infraponderar», Barclays baja el objetivo a 170 CHF y la empresa rebaja el margen de 2025 a ≈19 % tras costes únicos [31,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2025 por debajo del consenso (11.200 M CHF frente a 11.290 M), crecimiento orgánico negativo (−0,4 %) y franco fuerte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sector por el conflicto de Oriente Medio y el petróleo (el índice europeo de construcción −4,0 % ese día); el 24-mar la dirección situó la guía en la parte media o baja [24,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malo del sector (índice europeo de construcción −3,5 %, Holcim −4,0 %) sin noticia propia encontrada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1S26 del 28-jul (+9,8 % ese día): vuelta al crecimiento orgánico (5,7 % en el 2T), resultados por encima del consenso AWP y guía de ventas subida a 3-6 %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 de beneficios sin noticia, tras un día del inversor sin novedades positivas; la mayor caída diaria en 17 semanas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Duproof (impermeabilización, Emiratos), sin precio publicado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9M26: ventas 8.712 M CHF (+4,8 % en moneda local, orgánico 3,5 %; 3T 4,6 %), EBITDA 1.676 M (19,2 %), guía reiterada; la acción cae −2,3 % por prudencia sobre el 4T, China y el transporte [6,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del jefe de comunicación y relaciones con inversores: Till Leisner (DKSH) desde el 1-nov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Azpects (Reino Unido)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Berenberg sube el objetivo de 233 a 240 CHF (comprar) y Jefferies de 213 a 215 (comprar) tras el día del inversor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confirma la Estrategia 2028 (margen EBITDA 20-23 %, ROCE 20-25 %) y Fast Forward; cambia la cúpula de algunas áreas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semestre, JPMorgan sube a sobreponderar (objetivo de 165 a 215 CHF) y Octavian a 230; cuatro mejoras y cinco rebajas de recomendación, y once de doce cambios de objetivo al alza [48].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Akkim (Turquía, ≈220 M CHF de ventas), sin precio publicado; acuerdo para comprar los adhesivos de Resonac en Asia (cierre a mediados de 2027) [14,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 un híbrido de 1.000 M EUR (cupones 4,375 % y 4,875 %), que refinancia el bono de 1.000 M EUR que vence el 3-nov-2026; no diluye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1.000 acciones (149.000 CHF) por un miembro de la alta dirección; cinco compras y ninguna venta en doce meses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sigue en dos investigaciones de competencia abiertas (informe anual 2025); Reino Unido, Turquía y EE. UU. cerraron las suyas en 2025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(año 2026); día del mercado de capitales el 11-mar-2027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40 % desde el mínimo de marzo y está un 9,6 % por encima de su media de 200 sesiones (tendencia alcista), pero lleva dos meses consolidando por debajo del máximo de agosto. Los resultados del 23-oct batieron en EBITDA y la caída del día (−2,3 %) refleja prudencia sobre el cuarto trimestre, no un cambio de tesis. No hay colocaciones, ampliaciones ni ventas de directivos pendientes (al contrario, cinco compras), ni resultados en los próximos 15 días (19-feb-2027).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PER de los próximos 12 meses es el cierre del año entre el BPA ajustado (sin no recurrentes) del año siguiente: real en 2021-2024 y el consenso de 2026 (7,39) en 2025 [34, 35]. 2021 se excluye: 55 veces en plena burbuja de tipos cero. El múltiplo bajó de 31-35 veces en 2022-2024 a 22 en 2025 por tres cosas: el crecimiento a medio plazo se rebajó (de 6-9 % a 3-6 % sin mercado), el ROIC cayó al 12 % tras pagar MBCC con fondo de comercio, y los tipos suizos dejaron de ser negativos. Hoy cotiza a ≈24 veces el BPA de 2026 y ≈21,5 veces el de 2027.</w:t>
      </w:r>
    </w:p>
    <w:p>
      <w:pPr>
        <w:pStyle w:val="Heading1"/>
      </w:pPr>
      <w:r>
        <w:t xml:space="preserve">18. Comparables cotizados</w:t>
      </w:r>
    </w:p>
    <w:p>
      <w:pPr>
        <w:pStyle w:val="Confianza"/>
        <w:spacing w:after="100"/>
      </w:pPr>
      <w:r>
        <w:t xml:space="preserve">Confianza: Media</w:t>
      </w:r>
    </w:p>
    <w:p>
      <w:pPr>
        <w:spacing w:after="100"/>
      </w:pPr>
      <w:r>
        <w:t xml:space="preserve">Química de la construcción y adhesivos (RPM, H.B. Fuller, Henkel, Arkema por Bostik), cubiertas y materiales técnicos (Carlisle, Geberit), pinturas y recubrimientos de alto margen (Sherwin-Williams) y el rival directo con química de la construcción (Saint-Gobain). Mapei no cotiza; Holcim se queda fuera porque es sobre todo cemento. Todos de Stock Analysis a 13-26 de octubre de 2026, convertidos al cambio del BCE del 23-oct [45, 46]. Stock Analysis no da EV/EBITDA de los próximos 12 meses ni crecimiento a 12 meses: el crecimiento es su previsión anual a tres años.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Sika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H.B. Fuller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Carlisle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Sherwin-Williams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Arkema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Henkel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Saint-Gobain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 / 10,9x / 14,9x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14,6x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Sika cotiza con prima sobre casi todos: 16,0 veces el EBITDA de los últimos 12 meses y 22,0 veces el beneficio de los próximos, frente a una mediana de 10,9 veces y 14,6 veces. Solo Sherwin-Williams (20,4 y 26,3) y Geberit (20,5 y 27,4), con ROIC de 16-27 %, cotizan más caro. La prima no la justifica la rentabilidad (ROIC del 10,4 %, por debajo de la mediana del grupo, del 11,6 %) ni el crecimiento previsto (≈4-5 % en casi todos), sino la calidad percibida del negocio, la estabilidad del margen y el peso del franco y de la SIX, donde las compañías de calidad cotizan caras. Los múltiplos de los comparables dan entre 111 y 119 CHF por acción en la mediana: es la referencia más baja del informe y pesa un 20 %. El múltiplo razonable para Sika está entre la mediana del grupo y el de Geberit; usamos el DCF como ancla y los comparables como suelo.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MBCC Group (antigua BASF Construction Chemicals)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≈2.900 M CHF; 11,5 veces el EBITDA pro forma de 2022 y 8,5 con 160-180 M de sinergias; cerrada en mayo de 2023 [16].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Chryso (aditivos de hormigón)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1.020 M EUR; ventas ≈400 M y EBITDA ≈85 M EUR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GCP Applied Technologies (química de la construcción,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USD; 13,2 veces el EBITDA ajustado de 2022, 8,8 con sinergias; OPA sobre cotizada [43].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FOSROC, Cemix y otras compras de química de la construcción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Saint-Gobain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1.876 M EUR por ventas de 862 M y EBITDA de 160 M en año completo [44].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Akkim (adhesivos y selladores, Turquía)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≈220 M CHF de ventas en 2025; precio no publicado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(11,6x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120,61 – 129,45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química de la construcción se pagaron a 11,5-13,2 veces el EBITDA (8,5-8,8 veces con sinergias): MBCC por Sika, Chryso, GCP y FOSROC por Saint-Gobain [16, 42, 43, 44]. Aplicadas a Sika dan ≈123 CHF por acción, por debajo del precio, porque Sika ya cotiza a 16 veces su EBITDA: el mercado le da una prima de control sin operación. Sika es más comprador que objetivo: con 29.000 M CHF de capitalización, accionariado disperso y sin accionista de control, una oferta es posible en teoría, pero ningún rival (Saint-Gobain es el n.º 2) tiene el tamaño para hacerla sin problemas de competencia. Las transacciones no pesan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2,4 % en 2026 (en francos; +4,8 % en moneda local en 9M26 y un 4T26 ≈5 % por encima del de 2025) [6, 12]. Después, 4,0 % en 2027 (orgánico 3,5 %, Akkim todo el año +1,3 puntos, divisa −1 punto) y 3,5 % en 2028-2029, bajando al 1,0 % en 2035. El orgánico del 3,5-4 % en moneda local está dentro de la guía de 3-6 % (que incluye compras) y por encima del 2,9 % de 1S26 [18]. Restamos un punto al año de divisa porque el franco se ha apreciado de media frente al euro y al dólar por el diferencial de inflación (−5,4 puntos en 2025 y −3,2 en 9M26) [1, 6]. No proyectamos compras futuras: su precio no está en el puente. El consenso crece más (+5,8 % en 2027) porque no resta divisa y suma compras [35].</w:t>
      </w:r>
    </w:p>
    <w:p>
      <w:pPr>
        <w:keepNext/>
        <w:spacing w:after="100"/>
      </w:pPr>
      <w:r>
        <w:rPr>
          <w:b/>
          <w:bCs/>
        </w:rPr>
        <w:t xml:space="preserve">Márgenes.</w:t>
      </w:r>
    </w:p>
    <w:p>
      <w:pPr>
        <w:spacing w:after="100"/>
      </w:pPr>
      <w:r>
        <w:t xml:space="preserve">El margen EBITDA pasa del 19,2 % de 2026 (guía 19,0-19,5 %, 9M26 19,2 %) al 19,8 % en 2027 y al 21,0 % en 2031 [6]. La subida sale de Fast Forward: 80 M CHF de ahorro en 2026 y 150-200 M a partir de 2028 (≈1,5 puntos de margen) [11, 26]. La Estrategia 2028 pide un 20-23 %; nos quedamos en la parte baja porque en 2026 el ahorro se compensó con logística y materias primas (margen igual que en 9M25) y porque el máximo de 2021-2025 es el 19,3 % de 2024 [1]. El consenso da 20,0 % en 2027 y 20,6 % en 2028 [35].</w:t>
      </w:r>
    </w:p>
    <w:p>
      <w:pPr>
        <w:keepNext/>
        <w:spacing w:after="100"/>
      </w:pPr>
      <w:r>
        <w:rPr>
          <w:b/>
          <w:bCs/>
        </w:rPr>
        <w:t xml:space="preserve">Inversión y circulante.</w:t>
      </w:r>
    </w:p>
    <w:p>
      <w:pPr>
        <w:spacing w:after="100"/>
      </w:pPr>
      <w:r>
        <w:t xml:space="preserve">El capex incluye las altas de arrendamientos (NIIF 16): 375 M de inversión y ≈140 M de arrendamientos en 2025 dan un 4,6 % de las ventas, nivel que se mantiene hasta 2029 y baja al 4,1 % al final [1]. La amortización baja del 4,8 % al 4,0 % porque la de los intangibles comprados con MBCC se agota; en el último año el capex supera a la amortización. El circulante comercial se queda en el 18,5 % de las ventas, su nivel real de 2025 (existencias 1.238 + clientes 2.012 − proveedores 1.176 M) [1]: cada franco de crecimiento consume 18,5 céntimos de caja. El tipo impositivo es el 23,5 % (20,2 % en 2024, 22,9 % en 2025 y 24,3 % en 9M26) [6].</w:t>
      </w:r>
    </w:p>
    <w:p>
      <w:pPr>
        <w:keepNext/>
        <w:spacing w:after="100"/>
      </w:pPr>
      <w:r>
        <w:rPr>
          <w:b/>
          <w:bCs/>
        </w:rPr>
        <w:t xml:space="preserve">Coste del capital.</w:t>
      </w:r>
    </w:p>
    <w:p>
      <w:pPr>
        <w:spacing w:after="100"/>
      </w:pPr>
      <w:r>
        <w:t xml:space="preserve">Tasa libre: bono de la Confederación a 10 años, 0,59 % el 30-sep-2026 (último publicado por el BNS) [50]. Beta: la desapalancada y corregida por caja de Damodaran para química de especialidades en Europa (1,01) [51], reapalancada con la deuda propia de Sika a valor de mercado (deuda 5.622 M, arrendamientos 455 M y pensiones 166 M sobre 28.919 M de capitalización: D/E 0,22) y el 23,5 % de impuestos: 1,18. La regresión mensual a cinco años frente al SMI da 1,56 (ajustada 1,38) [34]. Prima de mercado del 5,5 % y 1 punto adicional por las ventas en emergentes (Oriente Medio, Turquía, Latinoamérica, China; ≈30 %, estimación propia). Coste de la deuda 2,8 % antes de impuestos (bonos en CHF y EUR e híbrido) [1]; peso de la deuda 17,8 %. WACC: 7,0 %.</w:t>
      </w:r>
    </w:p>
    <w:p>
      <w:pPr>
        <w:keepNext/>
        <w:spacing w:after="100"/>
      </w:pPr>
      <w:r>
        <w:rPr>
          <w:b/>
          <w:bCs/>
        </w:rPr>
        <w:t xml:space="preserve">Valor terminal.</w:t>
      </w:r>
    </w:p>
    <w:p>
      <w:pPr>
        <w:spacing w:after="100"/>
      </w:pPr>
      <w:r>
        <w:t xml:space="preserve">Gordon con un crecimiento del 0,8 %, la inflación que prevé el BNS para Suiza en 2027-2028 [53]. La regla del método pide un terminal entre la inflación esperada y la tasa libre menos medio punto; con el bono suizo al 0,59 %, por debajo de la inflación, usamos la inflación y lo decimos. Los flujos están en francos y el crecimiento real de Sika fuera de Suiza se compensa en parte con la apreciación del franco. El múltiplo de salida de contraste es 13 veces el EBITDA, entre la mediana de los comparables (10,9) y el múltiplo actual (16,0).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-0,2 %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172,96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(reinvierte el 39 %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(histórico: 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frente al 2,6 %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(hoy: 11,2 %)</w:t>
            </w:r>
          </w:p>
        </w:tc>
      </w:tr>
    </w:tbl>
    <w:p>
      <w:pPr>
        <w:spacing w:after="160" w:before="0"/>
      </w:pPr>
    </w:p>
    <w:p>
      <w:pPr>
        <w:spacing w:after="100"/>
      </w:pPr>
      <w:r>
        <w:t xml:space="preserve">La proyección apenas necesita inversión neta de la amortización (reinversión acumulada de 652 M, el 4 % del NOPAT, con un capex bruto medio del 4,4 % de las ventas). En un negocio de activos ligeros, el crecimiento medio del 2,6 % tiene que salir de subir precios y de ganar volumen sin capital nuevo, y la prueba es el poder de precios y la cuota (11,6 % del mercado en 2030e, frente al 11,2 %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y precio ≈2 puntos (orgánico 3,5 % en 9M26), compras +1,5 (Akkim desde septiembre) y divisa −2,6 puntos [6,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3,5 % (volumen 2 y precio 1,5, en línea con la guía y el 3T26), Akkim todo el año (+1,3) y divisa −1 punto [6,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4,5 % con la recuperación de la construcción y China estabilizada; divisa −1 punto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 mercado +4,3 % según ResearchAndMarkets, Sika gana cuota y la divisa resta un punto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puntos, precio 2 y divisa −1 punto: el crecimiento empieza a converger al terminal [25].</w:t>
            </w:r>
          </w:p>
        </w:tc>
      </w:tr>
    </w:tbl>
    <w:p>
      <w:pPr>
        <w:spacing w:after="160" w:before="0"/>
      </w:pPr>
    </w:p>
    <w:p>
      <w:pPr>
        <w:spacing w:after="100"/>
      </w:pPr>
      <w:r>
        <w:t xml:space="preserve">Sí. Proyectamos un 2,6 % anual en francos, por debajo del 4,9 % de 2021-2025 (con MBCC) y del 3-6 % que la empresa promete en moneda local [26]. Las pruebas del motor pasan: la reinversión bruta (capex más circulante, 39 % del NOPAT) financia un 4,0 % al ROIC actual, y la cuota de mercado solo sube del 11,2 % al 11,6 % en 2030. El crecimiento sale de precio y volumen sin compras, que es lo que Sika ha demostrado: margen de materiales estable con inflación y ganancia de cuota de 2,4 puntos al año frente a sus rivales en 2023-2025 [28]. La señal de cautela es el ROIC incremental del 2,6 %: el crecimiento comprado de los últimos años rindió poco, y por eso no proyectamos compras.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2,7 %)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 (base: 21,0 %)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7,0 %)</w:t>
            </w:r>
          </w:p>
        </w:tc>
      </w:tr>
    </w:tbl>
    <w:p>
      <w:pPr>
        <w:spacing w:after="160" w:before="0"/>
      </w:pPr>
    </w:p>
    <w:p>
      <w:pPr>
        <w:spacing w:after="100"/>
      </w:pPr>
      <w:r>
        <w:t xml:space="preserve">El DCF da 129,36 CHF por acción, un 28,2 % por debajo del precio, con el 60 % del valor en el terminal. El DCF inverso dice que, con nuestro WACC del 7,0 %, el precio de 180,20 CHF exige un crecimiento del 7,4 % anual en 2027-2035 (frente al 2,7 % de nuestro caso base) o un margen EBITDA del 26 % (frente al 21 %); dicho de otra forma, quien compra hoy espera una rentabilidad del 5,6 % anual. Es una exigencia alta: Sika no ha crecido al 7 % en francos sin compras grandes, y su mejor margen EBITDA de 2021-2025 es el 19,3 % de 2024 [1]. Con la prima implícita del mercado (4,2 %, WACC del 5,8 %) el DCF sube a 172,86 CHF, todavía un 4 % por debajo del precio. El mercado valora a Sika como un activo seguro en francos con una rentabilidad algo menor que su coste de capital teórico. Frente al informe del 14-oct (176,88 CHF por el DCF), la bajada no viene de los resultados, que fueron buenos, sino de corregir supuestos: circulante al 18,5 % (−6,6 CHF), beta reapalancada con la deuda propia e impuestos al 23,5 % (WACC 7,02 % frente a 6,63 %: −11,6 CHF), crecimiento en francos con divisa y sin compras (−10,4 CHF), terminal del 0,8 % (−3,5 CHF) y puente con pensiones y Akkim (−3,8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2025: la construcción europea vuelve a frenarse, China no toca fondo y el franco sigue fuerte; el crecimiento en francos se queda en torno al 0-1 % y el margen se estanca en el 18-19 % porque Fast Forward solo compensa la inflación de costes. Ya pasó en 2024-2025 (orgánico −0,4 % en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3,5-4 % en moneda local, un punto menos por el franco, sin compras nuevas; Fast Forward sube el margen al 21 % en 2031, en la parte baja del objetivo de la Estrategia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construcción se recupera en 2027-2028, China se estabiliza y los centros de datos y la infraestructura tiran del volumen; Sika crece un 5-5,5 % en francos y llega a un margen del 21,8 %, dentro del 20-23 % de su objetivo.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HF) · precio actual 18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126,58 CHF (-29,8 %).</w:t>
      </w:r>
    </w:p>
    <w:p>
      <w:pPr>
        <w:spacing w:after="100"/>
      </w:pPr>
      <w:r>
        <w:t xml:space="preserve">Los tres escenarios del DCF quedan por debajo del precio: 94,33 CHF el bajista (−47,7 %), 129,36 el base (−28,2 %) y 153,28 el alcista (−14,9 %). Con nuestro coste de capital, el precio de hoy no lo justifica ni el caso alcista: la asimetría es negativa (−0,31). La lectura no es que Sika vaya a caer a 129 CHF en un año, sino que el precio descuenta un crecimiento o un margen que no ha demostrado, o un coste de capital más bajo (con el 5,8 % del mercado, el base da 172,86). A 12 meses manda el múltiplo, no el DCF.</w:t>
      </w:r>
    </w:p>
    <w:p>
      <w:pPr>
        <w:pStyle w:val="Heading1"/>
      </w:pPr>
      <w:r>
        <w:t xml:space="preserve">22. Suma de partes</w:t>
      </w:r>
    </w:p>
    <w:p>
      <w:pPr>
        <w:pStyle w:val="Confianza"/>
        <w:spacing w:after="100"/>
      </w:pPr>
      <w:r>
        <w:t xml:space="preserve">Confianza: Media</w:t>
      </w:r>
    </w:p>
    <w:p>
      <w:pPr>
        <w:spacing w:after="100"/>
      </w:pPr>
      <w:r>
        <w:t xml:space="preserve">No aplica: Sika es un solo negocio de química de la construcción e industria, con los mismos clientes, tecnologías y márgenes en sus tres regiones; los segmentos son geográficos.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HF) · precio actual 18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126,53 CHF (-29,8 % sobre 180,20).</w:t>
      </w:r>
    </w:p>
    <w:p>
      <w:pPr>
        <w:spacing w:after="100"/>
      </w:pPr>
      <w:r>
        <w:t xml:space="preserve">Pesos: DCF 50 %, escenarios 30 % y comparables 20 %; transacciones y suma de partes, cero. El DCF es el método más fiable para un negocio estable y de márgenes predecibles, y los escenarios recogen la incertidumbre del ciclo. Los comparables pesan menos porque Sika cotiza siempre con prima frente a ellos y su mediana (≈111-119 CHF) mide otros negocios (pinturas, adhesivos, Saint-Gobain). Las transacciones (≈123 CHF) llevan prima de control y no hay operación en el horizonte. Todos los métodos quedan entre 111 y 153 CHF, por debajo del precio: la dispersión es pequeña y apunta a lo mismo. El valor objetivo es 126,53 CHF. Con la prima implícita del mercado (4,2 %), 160,98 CHF (−10,7 %).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(22.4x) × 1.1 (tope: la mediana de 5 años, 30.7x,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+65,8 %</w:t>
            </w:r>
          </w:p>
        </w:tc>
      </w:tr>
    </w:tbl>
    <w:p>
      <w:pPr>
        <w:spacing w:after="160" w:before="0"/>
      </w:pPr>
    </w:p>
    <w:p>
      <w:pPr>
        <w:spacing w:after="100"/>
      </w:pPr>
      <w:r>
        <w:rPr>
          <w:b/>
          <w:bCs/>
        </w:rPr>
        <w:t xml:space="preserve">Objetivo a 12 meses (ponderado):</w:t>
      </w:r>
      <w:r>
        <w:t xml:space="preserve"> 218,25 CHF · rentabilidad +23,2 % (base +21,2 %) · señal Mantener.</w:t>
      </w:r>
    </w:p>
    <w:p>
      <w:pPr>
        <w:spacing w:after="100"/>
      </w:pPr>
      <w:r>
        <w:t xml:space="preserve">Para comparar, con la regla v2 (historia al cierre, mismo precio): 19,0x / 22,4x / 29,1x, 14,5 % Mantener; con el tope anterior del base (×1,3, 14-oct mediodía): 28,4 %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2028 (8,73 CHF) es un 6 % inferior al del consenso (9,33) por las ventas: restamos un punto al año de divisa y no sumamos compras, y el consenso crece un 5,6 % en 2027-2028; el margen es parecido (20,3 % frente a 20,6 %) [35]. En 2026-2027 casi coincidimos (7,27 y 8,03 frente a 7,39 y 8,36). Nuestro precio base (214,76 CHF) queda un 3,3 % por encima del objetivo medio de los analistas (207,95) porque aplicamos un PER de 24,6 veces, por encima del 22 actual. Revisamos la divisa y las compras y los mantenemos.</w:t>
      </w:r>
    </w:p>
    <w:p>
      <w:pPr>
        <w:keepNext/>
        <w:spacing w:after="100"/>
      </w:pPr>
      <w:r>
        <w:rPr>
          <w:b/>
          <w:bCs/>
        </w:rPr>
        <w:t xml:space="preserve">Del valor intrínseco al objetivo a 12 meses.</w:t>
      </w:r>
    </w:p>
    <w:p>
      <w:pPr>
        <w:spacing w:after="100"/>
      </w:pPr>
      <w:r>
        <w:t xml:space="preserve">El objetivo a 12 meses (218,25 CHF ponderado; 214,76 el base) queda un 72 % por encima del valor intrínseco (126,53). La distancia sale del múltiplo: el mercado paga 22 veces el beneficio del año que viene por Sika y la regla común supone que el PER vuelve a mitad de camino hacia su mediana de cinco años (30,7 veces). El DCF, con un coste de capital del 7 %, dice que ese múltiplo ya es exigente. Para cerrar la distancia hace falta que Sika demuestre crecimiento con margen (la guía de 2027 del 19-feb y el día del mercado de capitales del 11-mar-2027) o que el mercado acepte un coste de capital más bajo. La tesis de valor no se cumple en un año: es una acción de calidad cara.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bono de 1.000 M EUR al 3,75 %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 con el híbrido de agosto; el coste de la deuda sube algo (cupones del 4,4-4,9 %) pero sin riesgo de refinanciación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2027: si el crecimiento en moneda local y el margen apuntan al 20 %, el mercado confirmaría la recuperación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mercado de capitales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Concreción de la Estrategia 2028 y del ahorro de Fast Forward (150-200 M desde 2028) [6,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esperado ≈3,84 CHF (3,70 en 2025): rentabilidad del 2,1 %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los adhesivos de Resonac en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adhesivos industriales en Japón, China y Taiwán; precio no publicado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Estabilización de la construcción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restó ≈127 M CHF de ventas en 9M26; dejar de caer sumaría ≈1 punto de crecimiento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exigente que se comprime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(PER de 22 a 18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ya está en el mínimo de cinco años (22 veces)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20 veces sin cambio de beneficios.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construcción europea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EMEA crece un 8,3 % en moneda local en 9M26; la renovación pesa mucho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EMEA por debajo del 2 %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crecimiento perdido al año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locales en cada país: el margen no cambia, el beneficio en francos sí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puntos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toca fondo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(un punto menos de crecimiento del grupo durante dos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solo ≈8 % de las ventas y Sika la reorienta a renovación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con crecimiento negativo en moneda local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que no llega al 20 %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(1 punto menos de margen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Fast Forward ya ahorra 8 M al mes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de 2027 por debajo del 19,5 %.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rating (A− estable) y deuda neta/EBITDA de 1,3-2,3 veces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1.000 M CHF a más de 13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y transporte (petróleo)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(0,75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al precio en 10-12 semanas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materiales por debajo del 54 %.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Investigaciones de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 Turquía y EE. UU. cerraron las suyas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Pliego de cargos en alguna de las dos abiertas.</w:t>
            </w:r>
          </w:p>
        </w:tc>
      </w:tr>
    </w:tbl>
    <w:p>
      <w:pPr>
        <w:spacing w:after="160" w:before="0"/>
      </w:pPr>
    </w:p>
    <w:p>
      <w:pPr>
        <w:pStyle w:val="Heading2"/>
      </w:pPr>
      <w:r>
        <w:t xml:space="preserve">Pre-mortem</w:t>
      </w:r>
    </w:p>
    <w:p>
      <w:pPr>
        <w:spacing w:after="100"/>
      </w:pPr>
      <w:r>
        <w:t xml:space="preserve">Es octubre de 2029 y Sika ha perdido un 40 %, de 180 a 108 CHF. La historia más probable empieza en 2027: la construcción europea se frena otra vez con tipos largos al alza, China no toca fondo y el franco sigue apreciándose. Sika crece un 1-2 % en francos, por debajo de la guía, y el ahorro de Fast Forward se va en logística y precios para defender volumen, de modo que el margen se queda en el 19 % en vez de subir al 20-21 %. El BPA de 2028 se queda en 7,5 CHF en lugar de 8,7. El mercado, que pagaba 22 veces el beneficio por su calidad, deja de pagar la prima porque el ROIC sigue en el 10 % y el crecimiento no llega: el PER cae a 15-16 veces, cerca de la mediana de sus comparables. 7,5 × 15 = 112 CHF. Por el camino, Sika compra otra empresa grande para volver a crecer y el ROIC cae aún más. Lo habría anticipado la guía de 2027 del 19-feb: un crecimiento en moneda local por debajo del 3 % o un margen por debajo del 19,5 %, y un ROCE que no se mueve del 12 %.</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w:t>
      </w:r>
    </w:p>
    <w:p>
      <w:pPr>
        <w:spacing w:after="100"/>
      </w:pPr>
      <w:r>
        <w:t xml:space="preserve">La IA no sustituye el producto de Sika (química física para hormigón, cubiertas y adhesivos) ni el trabajo de obra. Toca a Sika por dos lados. Como oportunidad de demanda, los centros de datos (≈4 % de las ventas, con producto en más de 4.000) crecen y piden aditivos, suelos, impermeabilización y protección contra el fuego [11, 24]. Como herramienta interna, Fast Forward usa datos y digitalización en precios, compras y formulación (precios país a país con analítica de datos) [19]. La amenaza es menor: herramientas de IA que ayuden a especificar productos de rivales o genéricos podrían reducir la ventaja de la red técnica. Señal: ventas a centros de datos por encima del 5 % y margen de materiales al alza.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 / C / C</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Calificaciones de la página de Sika [30]. Tres asuntos pesan en las cifras. Clima: las emisiones de alcance 1 y 2 son ≈1 % del total y bajaron 6,1 % en 2025; el objetivo validado por SBTi es −50,4 % en 2032 frente a 2022, y el 10 % del incentivo a largo plazo depende de esas emisiones [1]. El 99 % está en el alcance 3 (materias primas), por eso las materias primas renovables y la reformulación son la palanca. Producto: los aditivos que reducen clínker y las cubiertas reflectantes son la oportunidad comercial de la descarbonización [1]. Seguridad: 3,0 accidentes con baja por 1.000 empleados en 2025 (−14,1 %) y ningún fallecido [1].</w:t>
      </w:r>
    </w:p>
    <w:p>
      <w:pPr>
        <w:pStyle w:val="Heading2"/>
      </w:pPr>
      <w:r>
        <w:t xml:space="preserve">Controversias</w:t>
      </w:r>
    </w:p>
    <w:p>
      <w:pPr>
        <w:spacing w:after="100"/>
      </w:pPr>
      <w:r>
        <w:t xml:space="preserve">Sika declara dos investigaciones de competencia abiertas por posibles prácticas contrarias a la competencia; las del Reino Unido, Turquía y EE. UU. sobre aditivos de hormigón y cemento se cerraron en 2025 sin sanción publicada [1]. En EE. UU. hubo dos casos de seguridad laboral en 2025 (una inspección de OSHA en Fernley y un incidente en Canton) [1]. No hay multas relevantes publicadas en los tres últimos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del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pasa el ROCE del 12 % al 20-25 % de la Estrategia 2028 si la mayor parte del capital es fondo de comercio de MBCC?</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de 2021-2025 es del 2,6 % y el múltiplo depende de que el ROIC suba.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margen de 9M26 (19,2 %) es igual que el de 9M25 si Fast Forward ya ahorra 80 M en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base (21 %) y el bajista (19,5 %).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pagó por Akkim y por los adhesivos de Resonac, y a qué múltiplo?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lleva una estimación de 440 M CHF por Akkim; el precio real cambia la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en francos y cuánto resta la divisa al margen y al BPA?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un punto de crecimiento al año por el franco y el consenso 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libera el inventario de seguridad de 2026 y cuál es el objetivo de circulante sobre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9M26 quedó por debajo del de 2025 y el circulante consume el 18,5 % de cada franco de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tendrá el negocio chino tras la reorientación a renovación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restó ≈127 M de ventas en 9M26.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autoridades llevan las dos investigaciones de competencia abiertas y qué productos afectan?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informe anual no da detalles ni provisiones.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tesis alcistas en 2026: «Finding the appeal below 150 CHF» (mayo) y «A content-per-project compounder hidden inside a construction cycle» (agosto), que ven más química por obra como motor estructural tapado por el ciclo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económica suiza, con sección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semestre, «¿se ha logrado el cambio de tendencia?» (+15 % en una semana), con dudas de Barclays hasta ver el 3T; en octubre, toma de beneficios sin noticia y subidas de objetivo antes de los resultados [36,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Investing.com (resumen de la conferencia de 9M26)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cae −2,4 % pese a mantener la guía: el mercado quería un catalizador y teme el 4T (estacional), China (−127 M CHF de ventas) y el transporte (+16 M de costes) [19].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 Webull (artículo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semestre por encima de lo esperado; el consenso subió el objetivo a ≈196 CHF y sigue pidiendo crecimiento por volumen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crecimiento orgánico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orgánico 2,9 % en 1S26 y 4,6 % en el 3T26; sin China, 6,2 % en 9M26. El 4T se espera más lento por comparación y estacionalidad.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franco fuerte y transporte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el tipo de cambio restó 3,2 puntos en 9M26 y Asia/Pacífico cae −2,3 % en moneda local; pesa en el BPA en francos, no en la tesis de cuota.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 2022-2025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los próximos doce meses (≈23 veces) está lejos de la mediana de 2022-2025 (≈31 veces), pero el ROIC del 12 % y el crecimiento rebajado justifican parte del descuento.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y Fast Forward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margen bajó a 19,0-19,5 % en julio pese a los 80 M de ahorro; el margen de 9M26 (19,2 %) iguala el de 9M25: el ahorro se reinvierte o se lo comen los costes.</w:t>
            </w:r>
          </w:p>
        </w:tc>
      </w:tr>
    </w:tbl>
    <w:p>
      <w:pPr>
        <w:spacing w:after="160" w:before="0"/>
      </w:pPr>
    </w:p>
    <w:p>
      <w:pPr>
        <w:spacing w:after="100"/>
      </w:pPr>
      <w:r>
        <w:t xml:space="preserve">El sentimiento ha pasado de la capitulación (mínimo de marzo, la «preocupación del SMI») a un optimismo moderado tras el semestre, en línea con los analistas (12 comprar, 7 mantener, ninguno vender). No hay euforia: la reacción a los 9M26 fue fría y la acción sigue un 10 % por debajo del máximo de agosto. Lo que el mercado vigila es el volumen del 4T y la marcha de China; lo que apenas comenta es el capital invertido alto (ROIC del 12 %), que es lo que limita el múltiplo en este análisis. No contradice al consenso ni anticipa un riesgo nuevo.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53 (30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11,6 % en 2030e frente al 11,2 %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18,5 % real: genera una variación de circulante de 49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fuentes (30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 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y BPA de los semestres de 2023-2024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1S24 y 1S25 (solo dan crecimiento en moneda local con MBCC); 2) informes financieros 2023-2024 (cifras anuales); 3) comunicados de resultados semestrales en la web de Sika (lista dinámica, no se bajaron los de 2023-2024)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19 del informe anual 2025; 2) semestral 2026 (lista de bonos sin vida media); 3) cálculo con la lista de bonos (el híbrido y la línea de crédito lo distorsionan)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Akkim y de Parex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Sika del anuncio (13-feb) y del cierre (3-sep) de Akkim; 2) semestral 2026 (Akkim aún sin consolidar); 3) prensa (Boursorama):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precio de Akkim se estima en el puente (estimación propia)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los cinco primeros (CR5)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da los diez primeros ≈40 %); 2) ResearchAndMarkets (resumen sin cuotas); 3) presentaciones de Fast Forward y del día del inversor (sin serie histórica)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la química de la construcción de Saint-Gobain, Mapei y Holcim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Saint-Gobain del repositorio (no desglosa la química); 2) Mapei no publica cuentas consolidadas en inglés; 3) Holcim (sin segmento comparable tras separar Amrize)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Barbara Frei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prensa de la junta de 2026; 2) acta de la junta; 3) semestral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Nombre de cada directivo en las operaciones de la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SIX (solo da «miembro ejecutivo»); 2) informe anual (participaciones a fin de año); 3) semestral (sin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(Suiza no publica posiciones cortas netas); 2) registro de la FCA británica (no cubre acciones suizas); 3) proveedores gratuitos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últimos 12 meses); 2) MarketScreener (estimaciones solo de pago para varios); 3) Yahoo (sin EBITDA estimado)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posteriores a los resultados del 23-oct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(anteriores a los resultados); 2) Stock Analysis (9-oct); 3) cash.ch (solo objetivo medio y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(getquin, Reddit, Stocktwits, foros de cash.ch)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getquin (página «no encontrado»); 2) Reddit (403) y Stocktwits (404); 3) comentarios de lectores de cash.ch e Investing.com (no visibles o cero)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pagado por Akkim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anuncio (13-feb-2026); 2) comunicado del cierre (3-sep-2026); 3) semestral 2026 y prensa (AWP, Reuters)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notas y revisión de cinco años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https://www.sika.com/dam/dms/corporate/media/glo-ar-25-annual-report.pdf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https://www.sika.com/dam/dms/corporate/media/glo-ar-24-financial-report.pdf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2023 (incluye revisión de cinco años 2019-2023)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https://www.sika.com/dam/dms/corporate/media/glo-ar-2023-financial-report.pdf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https://www.sika.com/dam/dms/corporate/media/glo-ar-2022-financial-report.pdf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(estados intermedios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https://www.sika.com/dam/dms/corporate/media/glo-hyr-26-half-year-report.pdf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Stakeholder Letter Nine Months 2026 (cuenta de 9M26 y ventas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https://www.sika.com/dam/dms/corporate/m/glo-en-stakeholder-letter-nine-months-2026.pdf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Nine-Month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https://www.sika.com/dam/dms/corporate/media/glo-sika-nine-months-presentation-2026.pdf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Half-Year Results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https://www.sika.com/dam/dms/corporate/media/glo-sika-half-year-presentation-2026.pdf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Half-Year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https://www.sika.com/dam/dms/corporate/media/glo-sika-half-year-presentation-2025.pdf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Half-Year Results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https://www.sika.com/dam/dms/corporate/media/glo-hy-2024-sika-company-presentation_30072024.pdf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presentation (Fast Forward, deuda neta/EBITDA, política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https://www.sika.com/dam/dms/corporate/media/glo-ar-2025-presentation-full-year-results_1.pdf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delivers strong nine-month results… (comunicado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https://www.sika.com/en/media/media-releases/2026/nine-month-results-2026.html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successfully places EUR 1 billion hybrid capital bond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https://www.sika.com/en/media/media-releases/2026/sika-successfully-places-bond.html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closes acquisition of Akkim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https://www.sika.com/en/media/media-releases/2026/sika-closes-acquisition-of-akkim.html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übernimmt Akkim (comunicado del anuncio)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https://www.sika.com/dam/dms/corporate/media/glo-medienmitteilung-DE-akkim-13022026.pdf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to acquire MBCC Group (precio y múltiplo)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https://gbr.sika.com/en/media/news/2021/sika-to-acquire-mbcc-group.html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Q1 2026 sales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https://www.sika.com/en/media/media-releases/2026/sika-reports-q1-2026-sales.html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(comunicado: guía 3-6 % y margen 19,0-19,5 %)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https://www.sika.com/en/media/media-releases/2026/half-year-report-2026.html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9M 2026: resumen de la conferencia con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https://de.investing.com/news/transcripts/sika-behauptet-wachstumskurs-in-den-ersten-neun-monaten-2026--aktie-gerat-dennoch-unter-druck-93CH-3721087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H1 2026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https://www.gurufocus.com/news/8983968/sika-ag-skfof-h1-2026-earnings-call-highlights-navigating-challenges-with-strategic-growth-and-efficiency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Sika: Weiteres Wachstum im dritten Quartal erwartet (consenso AWP de 9M26)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https://www.cash.ch/news/ausblick-sika-weiteres-wachstum-im-dritten-quartal-erwartet-978865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Just Beat Earnings Expectations (1S26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https://www.webull.com/news/15320948605740032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Protokoll der Generalversammlung 2026 (discurso del presidente: objetivos, MBCC)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https://www.sika.com/dam/dms/corporate/media/glo-gv-protokoll-sika-24032026.pdf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Wegen Nahost-Konflikt dämpft Bauchemiekonzern Sika Ausblick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https://www.cash.ch/news/top-news/wegen-nahost-konflikt-dampft-bauchemiekonzern-sika-ausblick-921726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Construction Chemicals Market Forecast Report 2025 (ResearchAndMarkets)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https://www.globenewswire.com/news-release/2025/08/19/3135462/0/en/Construction-Chemicals-Market-Forecast-Report-2025-BASF-SE-and-Sika-AG-Lead-Innovation-in-Sustainable-Construction-Chemicals.html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2026: Strategy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https://www.sika.com/dam/dms/corporate/media/web-sika-investor-day-01102026.pdf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history (1910-2019)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https://aus.sika.com/en/about-us/history.html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Forward: Investor and Media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https://www.sika.com/dam/dms/corporate/media/glo_Sika_Investor_and_Media_Conference_Fast_Forward_27112025.pdf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Saint-Gobain, Henkel, Arkema, RPM, Carlisle y H.B. Fuller (ingresos y margen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https://stockanalysis.com/stocks/rpm/statistics/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https://www.sika.com/en/investors/shares/esg-ratings.html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2025 and Nine Months 2025 presentations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https://www.sika.com/dam/dms/corporate/media/glo-presentation-nine-months-2025.pdf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Head Corporate Communications and Investor Relations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https://www.sika.com/en/media/media-releases/2026/changes-head-corporate-communications-and-investor-relations.html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(Sika AG,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SIKA.SW, ^SSMI, EXV8.DE y HOLN.SW (herramientas bolsa y movimiento)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https://finance.yahoo.com/quote/SIKA.SW/history/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consenso de estimaciones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https://www.marketscreener.com/quote/stock/SIKA-AG-44231526/finances/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Nach der Kurskonsolidierung: Analysten erhöhen vor Quartalszahlen die Kursziele für Sika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https://www.cash.ch/news/top-news/nach-der-kurskonsolidierung-analysten-erhohen-vor-quartalszahlen-die-kursziele-fur-sika-974433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wächst wieder aus eigener Kraft – Erwartungen leicht übertroffen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https://www.cash.ch/news/top-news/sika-wachst-wieder-aus-eigener-kraft-erwartungen-leicht-ubertroffen-956401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suffers from strong franc and weakness in China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bluewin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https://www.bluewin.ch/en/news/sika-suffers-from-strong-franc-and-weakness-in-china-3048121.html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(SWX:SIKA)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https://stockanalysis.com/quote/swx/SIKA/forecast/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N: ficha con consenso AWP (precio objetivo y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https://www.cash.ch/aktien/sika-n-41879292/swx/chf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Comunicados de compras de 2026 (Resonac, Azpects, Duproof)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https://www.sika.com/en/media/media-releases/2026/sika-acquiring-waterproofing-company-in-the-uae.html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Document d'enregistrement universel 2021 (Chryso)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https://filings.xbrl.org/NFONVGN05Z0FMN5PEC35/2021-12-31/ESEF/FR/0/NFONVGN05Z0FMN5PEC35-2021-12-31AR/reports/NFONVGN05Z0FMN5PEC35-2021-12-31AR.xhtml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Document d'enregistrement universel 2023 (GCP)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https://filings.xbrl.org/NFONVGN05Z0FMN5PEC35/2023-12-31/ESEF/FR/0/com-2023-12-31-fr/reports/com-2023-12-31-fr.xhtml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Saint-Gobain: Document d'enregistrement universel 2025 (FOSROC y otras)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de Saint-Gobain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https://filings.xbrl.org/NFONVGN05Z0FMN5PEC35/2025-12-31/ESEF/FR/0/com-2025-12-31-fr/reports/com-2025-12-31-fr.xhtml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RPM, H.B. Fuller, Carlisle, Sherwin-Williams, Arkema, Henkel, Saint-Gobain y Geberit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https://stockanalysis.com/stocks/csl/statistics/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falls after Bank of America resumes coverage with underperform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https://vn.tradingview.com/news/reuters.com%2C2025%3Anewsml_L8N3W80OX%3A0-sika-falls-after-bank-of-america-resumes-coverage-with-underperform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 der Woche: Ist die Trendumkehr bei diesem Baustoff-Titel geschafft?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https://www.cash.ch/news/top-news/aktie-der-woche-ist-die-trendumkehr-bei-diesem-baustoff-titel-geschafft-957694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Sika AG (SXYAY): artículos y transcripciones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https://seekingalpha.com/article/4939558-sika-a-content-per-project-compounder-hidden-inside-a-construction-cycle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de los bonos de la Confederación (cubo rendeiduebd, 10 años,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https://data.snb.ch/en/topics/ziredev/cube/rendeiduebd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por sector, Europa (desapalancadas y corregidas por caja),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Monetary policy assessment of 24 September 2026 (previsión condicional de inflación)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https://www.snb.ch/en/publications/communication/press-releases-restricted/pre_20260924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91,9 %</w:t>
      </w:r>
      <w:r>
        <w:t xml:space="preserve"> · Secciones con menos del 60 % de campos cubiertos: </w:t>
      </w:r>
      <w:r>
        <w:rPr>
          <w:b/>
          <w:bCs/>
        </w:rPr>
        <w:t xml:space="preserve">ninguna</w:t>
      </w:r>
      <w:r>
        <w:t xml:space="preserve"> · Generado el 26 oct 2026.</w:t>
      </w:r>
    </w:p>
    <w:p>
      <w:pPr>
        <w:pStyle w:val="Nota"/>
        <w:spacing w:after="100"/>
      </w:pPr>
      <w:r>
        <w:t xml:space="preserve">Suiza no tiene XBRL: la cuenta, el balance y los flujos de 2021-2025 se copiaron de los informes anuales en PDF (informe anual 2025 e informes financieros 2022-2024), el balance de 30-jun-2026 del semestral y la cuenta de nueve meses de la carta a los accionistas del 23-oct-2026. Cotiza solo en la SIX, en CHF; cuentas NIIF, ejercicio natural, cuenta por naturaleza. Precio: cierre del 23-oct-2026 (180,20 CHF; la sesión del 26-oct no había cerrado al escribir). Acciones: 160,48 M en circulación (sin autocartera relevante). El BPA ajustado (sin no recurrentes, al 20 % de impuestos) es una estimación propia; la historia del PER y los escenarios usan esa misma base. El precio de Akkim no se publicó: el puente lleva una estimación propia de 440 M CHF. El consenso de estimaciones (MarketScreener y Stock Analysis) es anterior a los resultados del 23-oct; el objetivo medio de cash.ch (AWP) es posterior. Los comparables vienen de Stock Analysis (13-26 de octubre) convertidos al cambio del BCE del 23-oct, sin EV/EBITDA de los próximos 12 meses. No hay foros de particulares legibles desde la nube (getquin, Reddit, Stocktwits).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Sika AG (SIKA)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(120,35 – 197,60)</c:v>
                </c:pt>
                <c:pt idx="1">
                  <c:v>Precio objetivo de los analistas (175,00 – 240,00)</c:v>
                </c:pt>
                <c:pt idx="2">
                  <c:v>Comparables: PER NTM (90,30 – 153,85)</c:v>
                </c:pt>
                <c:pt idx="3">
                  <c:v>Transacciones precedentes (EV/EBITDA) (120,61 – 129,45)</c:v>
                </c:pt>
                <c:pt idx="4">
                  <c:v>DCF (WACC y g ± 0,5) (110,12 – 155,79)</c:v>
                </c:pt>
                <c:pt idx="5">
                  <c:v>Escenarios (bajista – alcista) (94,33 – 153,28)</c:v>
                </c:pt>
                <c:pt idx="6">
                  <c:v>DCF con la prima implícita del mercado (4,2 %)</c:v>
                </c:pt>
                <c:pt idx="7">
                  <c:v>Precio actual (180,20)</c:v>
                </c:pt>
              </c:strCache>
            </c:strRef>
          </c:cat>
          <c:val>
            <c:numRef>
              <c:f>Hoja1!$B$2:$B$9</c:f>
              <c:numCache>
                <c:formatCode>#,##0</c:formatCode>
                <c:ptCount val="8"/>
                <c:pt idx="0">
                  <c:v>120.35</c:v>
                </c:pt>
                <c:pt idx="1">
                  <c:v>175</c:v>
                </c:pt>
                <c:pt idx="2">
                  <c:v>90.3</c:v>
                </c:pt>
                <c:pt idx="3">
                  <c:v>120.61</c:v>
                </c:pt>
                <c:pt idx="4">
                  <c:v>110.12</c:v>
                </c:pt>
                <c:pt idx="5">
                  <c:v>94.33</c:v>
                </c:pt>
                <c:pt idx="6">
                  <c:v>153.19</c:v>
                </c:pt>
                <c:pt idx="7">
                  <c:v>179.3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(120,35 – 197,60)</c:v>
                </c:pt>
                <c:pt idx="1">
                  <c:v>Precio objetivo de los analistas (175,00 – 240,00)</c:v>
                </c:pt>
                <c:pt idx="2">
                  <c:v>Comparables: PER NTM (90,30 – 153,85)</c:v>
                </c:pt>
                <c:pt idx="3">
                  <c:v>Transacciones precedentes (EV/EBITDA) (120,61 – 129,45)</c:v>
                </c:pt>
                <c:pt idx="4">
                  <c:v>DCF (WACC y g ± 0,5) (110,12 – 155,79)</c:v>
                </c:pt>
                <c:pt idx="5">
                  <c:v>Escenarios (bajista – alcista) (94,33 – 153,28)</c:v>
                </c:pt>
                <c:pt idx="6">
                  <c:v>DCF con la prima implícita del mercado (4,2 %)</c:v>
                </c:pt>
                <c:pt idx="7">
                  <c:v>Precio actual (180,20)</c:v>
                </c:pt>
              </c:strCache>
            </c:strRef>
          </c:cat>
          <c:val>
            <c:numRef>
              <c:f>Hoja1!$C$2:$C$9</c:f>
              <c:numCache>
                <c:formatCode>#,##0</c:formatCode>
                <c:ptCount val="8"/>
                <c:pt idx="0">
                  <c:v>77.25</c:v>
                </c:pt>
                <c:pt idx="1">
                  <c:v>65</c:v>
                </c:pt>
                <c:pt idx="2">
                  <c:v>63.55</c:v>
                </c:pt>
                <c:pt idx="3">
                  <c:v>8.83999999999999</c:v>
                </c:pt>
                <c:pt idx="4">
                  <c:v>45.66999999999999</c:v>
                </c:pt>
                <c:pt idx="5">
                  <c:v>58.95</c:v>
                </c:pt>
                <c:pt idx="6">
                  <c:v>43.80000000000001</c:v>
                </c:pt>
                <c:pt idx="7">
                  <c:v>1.799999999999983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4397</c:v>
                </c:pt>
                <c:pt idx="1">
                  <c:v>4509</c:v>
                </c:pt>
                <c:pt idx="2">
                  <c:v>4880</c:v>
                </c:pt>
                <c:pt idx="3">
                  <c:v>5095</c:v>
                </c:pt>
                <c:pt idx="4">
                  <c:v>5029</c:v>
                </c:pt>
              </c:numCache>
            </c:numRef>
          </c:val>
        </c:ser>
        <c:ser>
          <c:idx val="1"/>
          <c:order val="1"/>
          <c:tx>
            <c:strRef>
              <c:f>Hoja1!$C$1</c:f>
              <c:strCache>
                <c:ptCount val="1"/>
                <c:pt idx="0">
                  <c:v>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2646</c:v>
                </c:pt>
                <c:pt idx="1">
                  <c:v>3477</c:v>
                </c:pt>
                <c:pt idx="2">
                  <c:v>3736</c:v>
                </c:pt>
                <c:pt idx="3">
                  <c:v>4097</c:v>
                </c:pt>
                <c:pt idx="4">
                  <c:v>3879</c:v>
                </c:pt>
              </c:numCache>
            </c:numRef>
          </c:val>
        </c:ser>
        <c:ser>
          <c:idx val="2"/>
          <c:order val="2"/>
          <c:tx>
            <c:strRef>
              <c:f>Hoja1!$D$1</c:f>
              <c:strCache>
                <c:ptCount val="1"/>
                <c:pt idx="0">
                  <c:v>Asia/Pacífico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2209</c:v>
                </c:pt>
                <c:pt idx="1">
                  <c:v>2507</c:v>
                </c:pt>
                <c:pt idx="2">
                  <c:v>2623</c:v>
                </c:pt>
                <c:pt idx="3">
                  <c:v>2571</c:v>
                </c:pt>
                <c:pt idx="4">
                  <c:v>2293</c:v>
                </c:pt>
              </c:numCache>
            </c:numRef>
          </c:val>
        </c:ser>
        <c:ser>
          <c:idx val="3"/>
          <c:order val="3"/>
          <c:tx>
            <c:strRef>
              <c:f>Hoja1!$E$1</c:f>
              <c:strCache>
                <c:ptCount val="1"/>
                <c:pt idx="0">
                  <c:v>Servicios centrales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EMEA</c:v>
                </c:pt>
                <c:pt idx="1">
                  <c:v>América</c:v>
                </c:pt>
                <c:pt idx="2">
                  <c:v>Asia/Pacífico</c:v>
                </c:pt>
                <c:pt idx="3">
                  <c:v>Servicios centrales</c:v>
                </c:pt>
              </c:strCache>
            </c:strRef>
          </c:cat>
          <c:val>
            <c:numRef>
              <c:f>Hoja1!$B$2:$B$5</c:f>
              <c:numCache>
                <c:formatCode>General</c:formatCode>
                <c:ptCount val="4"/>
                <c:pt idx="0">
                  <c:v>44.9</c:v>
                </c:pt>
                <c:pt idx="1">
                  <c:v>34.6</c:v>
                </c:pt>
                <c:pt idx="2">
                  <c:v>20.5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c:v>
                </c:pt>
                <c:pt idx="2">
                  <c:v>Asia/Pacífico</c:v>
                </c:pt>
              </c:strCache>
            </c:strRef>
          </c:cat>
          <c:val>
            <c:numRef>
              <c:f>Hoja1!$B$2:$B$4</c:f>
              <c:numCache>
                <c:formatCode>0"%"</c:formatCode>
                <c:ptCount val="3"/>
                <c:pt idx="0">
                  <c:v>44.9</c:v>
                </c:pt>
                <c:pt idx="1">
                  <c:v>34.6</c:v>
                </c:pt>
                <c:pt idx="2">
                  <c:v>20.5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(ResearchAndMarkets, a 0,8244 CHF/USD del BCE del 23-oct-2026))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68053</c:v>
                </c:pt>
                <c:pt idx="1">
                  <c:v>70979</c:v>
                </c:pt>
                <c:pt idx="2">
                  <c:v>74031</c:v>
                </c:pt>
                <c:pt idx="3">
                  <c:v>77214</c:v>
                </c:pt>
                <c:pt idx="4">
                  <c:v>80534</c:v>
                </c:pt>
                <c:pt idx="5">
                  <c:v>83997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Sika</c:v>
                </c:pt>
                <c:pt idx="1">
                  <c:v>Saint-Gobain (Construction Chemicals)</c:v>
                </c:pt>
                <c:pt idx="2">
                  <c:v>Henkel (Adhesive Technologies)</c:v>
                </c:pt>
                <c:pt idx="3">
                  <c:v>RPM International</c:v>
                </c:pt>
                <c:pt idx="4">
                  <c:v>Arkema (Bostik)</c:v>
                </c:pt>
                <c:pt idx="5">
                  <c:v>Carlisle Companies</c:v>
                </c:pt>
                <c:pt idx="6">
                  <c:v>H.B. Fuller</c:v>
                </c:pt>
                <c:pt idx="7">
                  <c:v>Mapei</c:v>
                </c:pt>
                <c:pt idx="8">
                  <c:v>Holcim (Building Solutions)</c:v>
                </c:pt>
              </c:strCache>
            </c:strRef>
          </c:cat>
          <c:val>
            <c:numRef>
              <c:f>Hoja1!$B$2:$B$10</c:f>
              <c:numCache>
                <c:formatCode>0.0"%"</c:formatCode>
                <c:ptCount val="9"/>
                <c:pt idx="0">
                  <c:v>14.1</c:v>
                </c:pt>
                <c:pt idx="1">
                  <c:v>10.8</c:v>
                </c:pt>
                <c:pt idx="2">
                  <c:v>13.9</c:v>
                </c:pt>
                <c:pt idx="3">
                  <c:v>12.8</c:v>
                </c:pt>
                <c:pt idx="4">
                  <c:v>4.3</c:v>
                </c:pt>
                <c:pt idx="5">
                  <c:v>20</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9252.3</c:v>
                </c:pt>
                <c:pt idx="1">
                  <c:v>10491.8</c:v>
                </c:pt>
                <c:pt idx="2">
                  <c:v>11238.6</c:v>
                </c:pt>
                <c:pt idx="3">
                  <c:v>11763.1</c:v>
                </c:pt>
                <c:pt idx="4">
                  <c:v>11201.3</c:v>
                </c:pt>
                <c:pt idx="5">
                  <c:v>11470</c:v>
                </c:pt>
                <c:pt idx="6">
                  <c:v>11929</c:v>
                </c:pt>
                <c:pt idx="7">
                  <c:v>12346</c:v>
                </c:pt>
                <c:pt idx="8">
                  <c:v>12779</c:v>
                </c:pt>
                <c:pt idx="9">
                  <c:v>13162</c:v>
                </c:pt>
                <c:pt idx="10">
                  <c:v>13557</c:v>
                </c:pt>
                <c:pt idx="11">
                  <c:v>13896</c:v>
                </c:pt>
                <c:pt idx="12">
                  <c:v>14174</c:v>
                </c:pt>
                <c:pt idx="13">
                  <c:v>14386</c:v>
                </c:pt>
                <c:pt idx="14">
                  <c:v>14530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1758</c:v>
                </c:pt>
                <c:pt idx="1">
                  <c:v>1876</c:v>
                </c:pt>
                <c:pt idx="2">
                  <c:v>2154</c:v>
                </c:pt>
                <c:pt idx="3">
                  <c:v>2269.5</c:v>
                </c:pt>
                <c:pt idx="4">
                  <c:v>2150.8999999999996</c:v>
                </c:pt>
                <c:pt idx="5">
                  <c:v>2202</c:v>
                </c:pt>
                <c:pt idx="6">
                  <c:v>2362</c:v>
                </c:pt>
                <c:pt idx="7">
                  <c:v>2506</c:v>
                </c:pt>
                <c:pt idx="8">
                  <c:v>2632</c:v>
                </c:pt>
                <c:pt idx="9">
                  <c:v>2738</c:v>
                </c:pt>
                <c:pt idx="10">
                  <c:v>2847</c:v>
                </c:pt>
                <c:pt idx="11">
                  <c:v>2918</c:v>
                </c:pt>
                <c:pt idx="12">
                  <c:v>2976</c:v>
                </c:pt>
                <c:pt idx="13">
                  <c:v>3021</c:v>
                </c:pt>
                <c:pt idx="14">
                  <c:v>3051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51.8</c:v>
                </c:pt>
                <c:pt idx="1">
                  <c:v>49.4</c:v>
                </c:pt>
                <c:pt idx="2">
                  <c:v>53.6</c:v>
                </c:pt>
                <c:pt idx="3">
                  <c:v>54.5</c:v>
                </c:pt>
                <c:pt idx="4">
                  <c:v>54.9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c:v>
                </c:pt>
                <c:pt idx="1">
                  <c:v>17.9</c:v>
                </c:pt>
                <c:pt idx="2">
                  <c:v>19.2</c:v>
                </c:pt>
                <c:pt idx="3">
                  <c:v>19.3</c:v>
                </c:pt>
                <c:pt idx="4">
                  <c:v>19.2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c:v>
                </c:pt>
                <c:pt idx="1">
                  <c:v>14.2</c:v>
                </c:pt>
                <c:pt idx="2">
                  <c:v>14.8</c:v>
                </c:pt>
                <c:pt idx="3">
                  <c:v>14.6</c:v>
                </c:pt>
                <c:pt idx="4">
                  <c:v>14.1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11.3</c:v>
                </c:pt>
                <c:pt idx="1">
                  <c:v>11.1</c:v>
                </c:pt>
                <c:pt idx="2">
                  <c:v>9.4</c:v>
                </c:pt>
                <c:pt idx="3">
                  <c:v>10.6</c:v>
                </c:pt>
                <c:pt idx="4">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3T26</c:v>
                </c:pt>
              </c:strCache>
            </c:strRef>
          </c:cat>
          <c:val>
            <c:numRef>
              <c:f>Hoja1!$B$2:$B$9</c:f>
              <c:numCache>
                <c:formatCode>0.0"%"</c:formatCode>
                <c:ptCount val="8"/>
                <c:pt idx="2">
                  <c:v>9.2</c:v>
                </c:pt>
                <c:pt idx="3">
                  <c:v>0.6</c:v>
                </c:pt>
                <c:pt idx="4">
                  <c:v>-2.7</c:v>
                </c:pt>
                <c:pt idx="5">
                  <c:v>-6.8</c:v>
                </c:pt>
                <c:pt idx="6">
                  <c:v>-1.5</c:v>
                </c:pt>
                <c:pt idx="7">
                  <c:v>7.6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1S23</c:v>
                </c:pt>
                <c:pt idx="1">
                  <c:v>2S23</c:v>
                </c:pt>
                <c:pt idx="2">
                  <c:v>1S24</c:v>
                </c:pt>
                <c:pt idx="3">
                  <c:v>2S24</c:v>
                </c:pt>
                <c:pt idx="4">
                  <c:v>1S25</c:v>
                </c:pt>
                <c:pt idx="5">
                  <c:v>2S25</c:v>
                </c:pt>
                <c:pt idx="6">
                  <c:v>1S26</c:v>
                </c:pt>
                <c:pt idx="7">
                  <c:v>3T26</c:v>
                </c:pt>
              </c:strCache>
            </c:strRef>
          </c:cat>
          <c:val>
            <c:numRef>
              <c:f>Hoja1!$C$2:$C$9</c:f>
              <c:numCache>
                <c:formatCode>0.0"%"</c:formatCode>
                <c:ptCount val="8"/>
                <c:pt idx="4">
                  <c:v>0.6</c:v>
                </c:pt>
                <c:pt idx="5">
                  <c:v>-1.5</c:v>
                </c:pt>
                <c:pt idx="6">
                  <c:v>2.9</c:v>
                </c:pt>
                <c:pt idx="7">
                  <c:v>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60</c:v>
                </c:pt>
                <c:pt idx="2">
                  <c:v>65</c:v>
                </c:pt>
                <c:pt idx="3">
                  <c:v>67</c:v>
                </c:pt>
                <c:pt idx="4">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51</c:v>
                </c:pt>
                <c:pt idx="2">
                  <c:v>50</c:v>
                </c:pt>
                <c:pt idx="3">
                  <c:v>52</c:v>
                </c:pt>
                <c:pt idx="4">
                  <c:v>50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50</c:v>
                </c:pt>
                <c:pt idx="1">
                  <c:v>43</c:v>
                </c:pt>
                <c:pt idx="2">
                  <c:v>45</c:v>
                </c:pt>
                <c:pt idx="3">
                  <c:v>47</c:v>
                </c:pt>
                <c:pt idx="4">
                  <c:v>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795.7999999999998</c:v>
                </c:pt>
                <c:pt idx="1">
                  <c:v>738.3</c:v>
                </c:pt>
                <c:pt idx="2">
                  <c:v>1247.5</c:v>
                </c:pt>
                <c:pt idx="3">
                  <c:v>1130.3</c:v>
                </c:pt>
                <c:pt idx="4">
                  <c:v>1076.2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1047.9</c:v>
                </c:pt>
                <c:pt idx="1">
                  <c:v>1162.5</c:v>
                </c:pt>
                <c:pt idx="2">
                  <c:v>1062</c:v>
                </c:pt>
                <c:pt idx="3">
                  <c:v>1245.5</c:v>
                </c:pt>
                <c:pt idx="4">
                  <c:v>1044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15.7</c:v>
                </c:pt>
                <c:pt idx="1">
                  <c:v>16.6</c:v>
                </c:pt>
                <c:pt idx="2">
                  <c:v>14.5</c:v>
                </c:pt>
                <c:pt idx="3">
                  <c:v>11.8</c:v>
                </c:pt>
                <c:pt idx="4">
                  <c:v>10.4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c:v>
                </c:pt>
                <c:pt idx="1">
                  <c:v>7</c:v>
                </c:pt>
                <c:pt idx="2">
                  <c:v>7</c:v>
                </c:pt>
                <c:pt idx="3">
                  <c:v>7</c:v>
                </c:pt>
                <c:pt idx="4">
                  <c:v>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23.8</c:v>
                </c:pt>
                <c:pt idx="1">
                  <c:v>24.8</c:v>
                </c:pt>
                <c:pt idx="2">
                  <c:v>19.5</c:v>
                </c:pt>
                <c:pt idx="3">
                  <c:v>19.2</c:v>
                </c:pt>
                <c:pt idx="4">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1.45</c:v>
                </c:pt>
                <c:pt idx="1">
                  <c:v>1.1</c:v>
                </c:pt>
                <c:pt idx="2">
                  <c:v>2.43</c:v>
                </c:pt>
                <c:pt idx="3">
                  <c:v>2.22</c:v>
                </c:pt>
                <c:pt idx="4">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922</c:v>
                </c:pt>
                <c:pt idx="1">
                  <c:v>711</c:v>
                </c:pt>
                <c:pt idx="2">
                  <c:v>1315</c:v>
                </c:pt>
                <c:pt idx="3">
                  <c:v>450</c:v>
                </c:pt>
                <c:pt idx="4">
                  <c:v>938</c:v>
                </c:pt>
                <c:pt idx="5">
                  <c:v>610</c:v>
                </c:pt>
                <c:pt idx="6">
                  <c:v>1573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312.2</c:v>
                </c:pt>
                <c:pt idx="1">
                  <c:v>142.7</c:v>
                </c:pt>
                <c:pt idx="2">
                  <c:v>3245.8</c:v>
                </c:pt>
                <c:pt idx="3">
                  <c:v>256.9</c:v>
                </c:pt>
                <c:pt idx="4">
                  <c:v>199.6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354.5</c:v>
                </c:pt>
                <c:pt idx="1">
                  <c:v>445.8</c:v>
                </c:pt>
                <c:pt idx="2">
                  <c:v>492.3</c:v>
                </c:pt>
                <c:pt idx="3">
                  <c:v>529.4</c:v>
                </c:pt>
                <c:pt idx="4">
                  <c:v>577.6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65.2</c:v>
                </c:pt>
                <c:pt idx="1">
                  <c:v>67</c:v>
                </c:pt>
                <c:pt idx="2">
                  <c:v>44.9</c:v>
                </c:pt>
                <c:pt idx="3">
                  <c:v>41.4</c:v>
                </c:pt>
                <c:pt idx="4">
                  <c:v>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 Inc.</c:v>
                </c:pt>
                <c:pt idx="1">
                  <c:v>UBS Fund Management (Switzerland) AG</c:v>
                </c:pt>
                <c:pt idx="2">
                  <c:v>Norges Bank</c:v>
                </c:pt>
                <c:pt idx="3">
                  <c:v>Consejo y alta dirección</c:v>
                </c:pt>
                <c:pt idx="4">
                  <c:v>Autocartera</c:v>
                </c:pt>
              </c:strCache>
            </c:strRef>
          </c:cat>
          <c:val>
            <c:numRef>
              <c:f>Hoja1!$B$2:$B$6</c:f>
              <c:numCache>
                <c:formatCode>0.0"%"</c:formatCode>
                <c:ptCount val="5"/>
                <c:pt idx="0">
                  <c:v>7.7</c:v>
                </c:pt>
                <c:pt idx="1">
                  <c:v>5.65</c:v>
                </c:pt>
                <c:pt idx="2">
                  <c:v>3.39</c:v>
                </c:pt>
                <c:pt idx="3">
                  <c:v>0.16</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-3.4</c:v>
                </c:pt>
                <c:pt idx="1">
                  <c:v>45.9</c:v>
                </c:pt>
                <c:pt idx="2">
                  <c:v>33</c:v>
                </c:pt>
                <c:pt idx="3">
                  <c:v>57.2</c:v>
                </c:pt>
                <c:pt idx="4">
                  <c:v>-41.7</c:v>
                </c:pt>
                <c:pt idx="5">
                  <c:v>23.5</c:v>
                </c:pt>
                <c:pt idx="6">
                  <c:v>-21.2</c:v>
                </c:pt>
                <c:pt idx="7">
                  <c:v>-24.7</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-10.2</c:v>
                </c:pt>
                <c:pt idx="1">
                  <c:v>26</c:v>
                </c:pt>
                <c:pt idx="2">
                  <c:v>0.8</c:v>
                </c:pt>
                <c:pt idx="3">
                  <c:v>20.3</c:v>
                </c:pt>
                <c:pt idx="4">
                  <c:v>-16.7</c:v>
                </c:pt>
                <c:pt idx="5">
                  <c:v>3.8</c:v>
                </c:pt>
                <c:pt idx="6">
                  <c:v>4.2</c:v>
                </c:pt>
                <c:pt idx="7">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36.1</c:v>
                </c:pt>
                <c:pt idx="1">
                  <c:v>20.1</c:v>
                </c:pt>
                <c:pt idx="2">
                  <c:v>22.8</c:v>
                </c:pt>
                <c:pt idx="3">
                  <c:v>17.5</c:v>
                </c:pt>
                <c:pt idx="4">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18.8</c:v>
                </c:pt>
                <c:pt idx="1">
                  <c:v>18.8</c:v>
                </c:pt>
                <c:pt idx="2">
                  <c:v>18.8</c:v>
                </c:pt>
                <c:pt idx="3">
                  <c:v>18.8</c:v>
                </c:pt>
                <c:pt idx="4">
                  <c:v>18.8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Sika</c:v>
                </c:pt>
                <c:pt idx="1">
                  <c:v>RPM International</c:v>
                </c:pt>
                <c:pt idx="2">
                  <c:v>H.B. Fuller</c:v>
                </c:pt>
                <c:pt idx="3">
                  <c:v>Carlisle Companies</c:v>
                </c:pt>
                <c:pt idx="4">
                  <c:v>Sherwin-Williams</c:v>
                </c:pt>
                <c:pt idx="5">
                  <c:v>Arkema</c:v>
                </c:pt>
                <c:pt idx="6">
                  <c:v>Henkel</c:v>
                </c:pt>
                <c:pt idx="7">
                  <c:v>Saint-Gobain</c:v>
                </c:pt>
                <c:pt idx="8">
                  <c:v>Geberit</c:v>
                </c:pt>
              </c:strCache>
            </c:strRef>
          </c:cat>
          <c:val>
            <c:numRef>
              <c:f>Hoja1!$B$2:$B$10</c:f>
              <c:numCache>
                <c:formatCode>0.0"x"</c:formatCode>
                <c:ptCount val="9"/>
                <c:pt idx="0">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MBCC Group (antigua BASF Construction Chemicals)</c:v>
                </c:pt>
                <c:pt idx="1">
                  <c:v>Chryso (aditivos de hormigón)</c:v>
                </c:pt>
                <c:pt idx="2">
                  <c:v>GCP Applied Technologies (química de la construcción, EE. UU.)</c:v>
                </c:pt>
                <c:pt idx="3">
                  <c:v>FOSROC, Cemix y otras compras de química de la construcción</c:v>
                </c:pt>
                <c:pt idx="4">
                  <c:v>Akkim (adhesivos y selladores, Turquía)</c:v>
                </c:pt>
              </c:strCache>
            </c:strRef>
          </c:cat>
          <c:val>
            <c:numRef>
              <c:f>Hoja1!$B$2:$B$6</c:f>
              <c:numCache>
                <c:formatCode>0.0"x"</c:formatCode>
                <c:ptCount val="5"/>
                <c:pt idx="0">
                  <c:v>11.5</c:v>
                </c:pt>
                <c:pt idx="1">
                  <c:v>12</c:v>
                </c:pt>
                <c:pt idx="2">
                  <c:v>13.2</c:v>
                </c:pt>
                <c:pt idx="3">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1249</c:v>
                </c:pt>
                <c:pt idx="1">
                  <c:v>1305</c:v>
                </c:pt>
                <c:pt idx="2">
                  <c:v>1406</c:v>
                </c:pt>
                <c:pt idx="3">
                  <c:v>1494</c:v>
                </c:pt>
                <c:pt idx="4">
                  <c:v>1567</c:v>
                </c:pt>
                <c:pt idx="5">
                  <c:v>1645</c:v>
                </c:pt>
                <c:pt idx="6">
                  <c:v>1709</c:v>
                </c:pt>
                <c:pt idx="7">
                  <c:v>1767</c:v>
                </c:pt>
                <c:pt idx="8">
                  <c:v>1817</c:v>
                </c:pt>
                <c:pt idx="9">
                  <c:v>1848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10772</c:v>
                </c:pt>
                <c:pt idx="1">
                  <c:v>16057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180,20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94.33</c:v>
                </c:pt>
                <c:pt idx="1">
                  <c:v>129.36</c:v>
                </c:pt>
                <c:pt idx="2">
                  <c:v>153.28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180,20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(120,35 – 197,60)</c:v>
                </c:pt>
                <c:pt idx="1">
                  <c:v>Precio objetivo de los analistas (175,00 – 240,00)</c:v>
                </c:pt>
                <c:pt idx="2">
                  <c:v>Comparables: PER NTM (90,30 – 153,85)</c:v>
                </c:pt>
                <c:pt idx="3">
                  <c:v>Transacciones precedentes (EV/EBITDA) (120,61 – 129,45)</c:v>
                </c:pt>
                <c:pt idx="4">
                  <c:v>DCF (WACC y g ± 0,5) (110,12 – 155,79)</c:v>
                </c:pt>
                <c:pt idx="5">
                  <c:v>Escenarios (bajista – alcista) (94,33 – 153,28)</c:v>
                </c:pt>
                <c:pt idx="6">
                  <c:v>DCF con la prima implícita del mercado (4,2 %)</c:v>
                </c:pt>
                <c:pt idx="7">
                  <c:v>Precio actual (180,20)</c:v>
                </c:pt>
              </c:strCache>
            </c:strRef>
          </c:cat>
          <c:val>
            <c:numRef>
              <c:f>Hoja1!$B$2:$B$9</c:f>
              <c:numCache>
                <c:formatCode>#,##0</c:formatCode>
                <c:ptCount val="8"/>
                <c:pt idx="0">
                  <c:v>120.35</c:v>
                </c:pt>
                <c:pt idx="1">
                  <c:v>175</c:v>
                </c:pt>
                <c:pt idx="2">
                  <c:v>90.3</c:v>
                </c:pt>
                <c:pt idx="3">
                  <c:v>120.61</c:v>
                </c:pt>
                <c:pt idx="4">
                  <c:v>110.12</c:v>
                </c:pt>
                <c:pt idx="5">
                  <c:v>94.33</c:v>
                </c:pt>
                <c:pt idx="6">
                  <c:v>153.19</c:v>
                </c:pt>
                <c:pt idx="7">
                  <c:v>179.3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(120,35 – 197,60)</c:v>
                </c:pt>
                <c:pt idx="1">
                  <c:v>Precio objetivo de los analistas (175,00 – 240,00)</c:v>
                </c:pt>
                <c:pt idx="2">
                  <c:v>Comparables: PER NTM (90,30 – 153,85)</c:v>
                </c:pt>
                <c:pt idx="3">
                  <c:v>Transacciones precedentes (EV/EBITDA) (120,61 – 129,45)</c:v>
                </c:pt>
                <c:pt idx="4">
                  <c:v>DCF (WACC y g ± 0,5) (110,12 – 155,79)</c:v>
                </c:pt>
                <c:pt idx="5">
                  <c:v>Escenarios (bajista – alcista) (94,33 – 153,28)</c:v>
                </c:pt>
                <c:pt idx="6">
                  <c:v>DCF con la prima implícita del mercado (4,2 %)</c:v>
                </c:pt>
                <c:pt idx="7">
                  <c:v>Precio actual (180,20)</c:v>
                </c:pt>
              </c:strCache>
            </c:strRef>
          </c:cat>
          <c:val>
            <c:numRef>
              <c:f>Hoja1!$C$2:$C$9</c:f>
              <c:numCache>
                <c:formatCode>#,##0</c:formatCode>
                <c:ptCount val="8"/>
                <c:pt idx="0">
                  <c:v>77.25</c:v>
                </c:pt>
                <c:pt idx="1">
                  <c:v>65</c:v>
                </c:pt>
                <c:pt idx="2">
                  <c:v>63.55</c:v>
                </c:pt>
                <c:pt idx="3">
                  <c:v>8.83999999999999</c:v>
                </c:pt>
                <c:pt idx="4">
                  <c:v>45.66999999999999</c:v>
                </c:pt>
                <c:pt idx="5">
                  <c:v>58.95</c:v>
                </c:pt>
                <c:pt idx="6">
                  <c:v>43.80000000000001</c:v>
                </c:pt>
                <c:pt idx="7">
                  <c:v>1.799999999999983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