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30,82 EUR</w:t>
      </w:r>
      <w:r>
        <w:t xml:space="preserve"> frente a 31,40 · Rentabilidad total esperada a 12 meses </w:t>
      </w:r>
      <w:r>
        <w:rPr>
          <w:b/>
          <w:bCs/>
        </w:rPr>
        <w:t xml:space="preserve">+0,2 %</w:t>
      </w:r>
      <w:r>
        <w:t xml:space="preserve"> · Alcista / bajista +10,2 % / -42,6 %</w:t>
      </w:r>
    </w:p>
    <w:p>
      <w:pPr>
        <w:spacing w:after="100"/>
      </w:pPr>
      <w:r>
        <w:rPr>
          <w:b/>
        </w:rPr>
        <w:t xml:space="preserve">La recomendación y por qué.</w:t>
      </w:r>
      <w:r>
        <w:t xml:space="preserve"> Mantener, con convicción media. El valor objetivo de 30,82 EUR deja una rentabilidad total esperada casi nula, y la asimetría es mala: el escenario alcista gana un 10 % y el bajista pierde un 40 %.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27,61 EUR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27,29 EUR o si la cartera de redes acelera por encima del 10 %; venderíamos por encima de 35,05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-42,6 %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 frente a 8,5 %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27,29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27,29 y 35,05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35,05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26,61 EUR (-15,3 %).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97,5 %</w:t>
      </w:r>
      <w:r>
        <w:t xml:space="preserve"> · Secciones con menos del 60 % de campos cubiertos: </w:t>
      </w:r>
      <w:r>
        <w:rPr>
          <w:b/>
          <w:bCs/>
        </w:rPr>
        <w:t xml:space="preserve">ninguna</w:t>
      </w:r>
      <w:r>
        <w:t xml:space="preserve"> · Generado el 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Hoja1!$B$2:$B$10</c:f>
              <c:numCache>
                <c:formatCode>#,##0.0</c:formatCode>
                <c:ptCount val="9"/>
                <c:pt idx="0">
                  <c:v>24.1</c:v>
                </c:pt>
                <c:pt idx="1">
                  <c:v>27</c:v>
                </c:pt>
                <c:pt idx="2">
                  <c:v>29.06</c:v>
                </c:pt>
                <c:pt idx="3">
                  <c:v>29.92</c:v>
                </c:pt>
                <c:pt idx="4">
                  <c:v>24.24</c:v>
                </c:pt>
                <c:pt idx="5">
                  <c:v>23.88</c:v>
                </c:pt>
                <c:pt idx="6">
                  <c:v>18.02</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Hoja1!$C$2:$C$10</c:f>
              <c:numCache>
                <c:formatCode>#,##0.0</c:formatCode>
                <c:ptCount val="9"/>
                <c:pt idx="0">
                  <c:v>9.799999999999997</c:v>
                </c:pt>
                <c:pt idx="1">
                  <c:v>13</c:v>
                </c:pt>
                <c:pt idx="2">
                  <c:v>9.2</c:v>
                </c:pt>
                <c:pt idx="3">
                  <c:v>8.850000000000001</c:v>
                </c:pt>
                <c:pt idx="4">
                  <c:v>11.02</c:v>
                </c:pt>
                <c:pt idx="5">
                  <c:v>8.820000000000004</c:v>
                </c:pt>
                <c:pt idx="6">
                  <c:v>16.580000000000002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18.02</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Hoja1!$B$2:$B$10</c:f>
              <c:numCache>
                <c:formatCode>#,##0.0</c:formatCode>
                <c:ptCount val="9"/>
                <c:pt idx="0">
                  <c:v>24.1</c:v>
                </c:pt>
                <c:pt idx="1">
                  <c:v>27</c:v>
                </c:pt>
                <c:pt idx="2">
                  <c:v>29.06</c:v>
                </c:pt>
                <c:pt idx="3">
                  <c:v>29.92</c:v>
                </c:pt>
                <c:pt idx="4">
                  <c:v>24.24</c:v>
                </c:pt>
                <c:pt idx="5">
                  <c:v>23.88</c:v>
                </c:pt>
                <c:pt idx="6">
                  <c:v>18.02</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Hoja1!$C$2:$C$10</c:f>
              <c:numCache>
                <c:formatCode>#,##0.0</c:formatCode>
                <c:ptCount val="9"/>
                <c:pt idx="0">
                  <c:v>9.799999999999997</c:v>
                </c:pt>
                <c:pt idx="1">
                  <c:v>13</c:v>
                </c:pt>
                <c:pt idx="2">
                  <c:v>9.2</c:v>
                </c:pt>
                <c:pt idx="3">
                  <c:v>8.850000000000001</c:v>
                </c:pt>
                <c:pt idx="4">
                  <c:v>11.02</c:v>
                </c:pt>
                <c:pt idx="5">
                  <c:v>8.820000000000004</c:v>
                </c:pt>
                <c:pt idx="6">
                  <c:v>16.580000000000002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2026-10-06T21:43:45.395Z</dcterms:created>
  <dcterms:modified xsi:type="dcterms:W3CDTF">2026-10-06T21:43:45.397Z</dcterms:modified>
</cp:coreProperties>
</file>

<file path=docProps/custom.xml><?xml version="1.0" encoding="utf-8"?>
<Properties xmlns="http://schemas.openxmlformats.org/officeDocument/2006/custom-properties" xmlns:vt="http://schemas.openxmlformats.org/officeDocument/2006/docPropsVTypes"/>
</file>