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EssilorLuxottica Société anonyme</w:t>
      </w:r>
    </w:p>
    <w:p>
      <w:pPr>
        <w:spacing w:after="60"/>
        <w:rPr>
          <w:color w:val="52514E"/>
          <w:sz w:val="22"/>
          <w:szCs w:val="22"/>
        </w:rPr>
      </w:pPr>
      <w:r>
        <w:rPr>
          <w:color w:val="52514E"/>
          <w:sz w:val="22"/>
          <w:szCs w:val="22"/>
        </w:rPr>
        <w:t xml:space="preserve">EL · Euronext París · ISIN FR0000121667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181,20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206,67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+16,3 % (base +20,2 %)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132,07 EUR · mercado 173,75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83.062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EssilorLuxottica Société anonyme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 / FR0000121667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 Euro Stoxx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(óptica)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Charenton-le-Pont (París) · 2018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www.essilorluxottica.com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181,20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138,30 – 323,80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83.062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98.787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127,3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Febrero de 2027 (fecha no publicada; los de 2025 se dieron el 11-feb-2026)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206,67 EUR</w:t>
      </w:r>
      <w:r>
        <w:t xml:space="preserve"> frente a 181,20 · Rentabilidad a 12 meses </w:t>
      </w:r>
      <w:r>
        <w:rPr>
          <w:b/>
          <w:bCs/>
        </w:rPr>
        <w:t xml:space="preserve">+16,3 % (base +20,2 %)</w:t>
      </w:r>
      <w:r>
        <w:t xml:space="preserve"> · Valor intrínseco 132,07 EUR · con la prima implícita del mercado: 173,75 (-4,1 %) · Alcista / bajista -11,7 % / -49,9 %</w:t>
      </w:r>
    </w:p>
    <w:p>
      <w:pPr>
        <w:spacing w:after="100"/>
      </w:pPr>
      <w:r>
        <w:rPr>
          <w:b/>
        </w:rPr>
        <w:t xml:space="preserve">La recomendación y por qué.</w:t>
      </w:r>
      <w:r>
        <w:t xml:space="preserve"> Mantener, con convicción media. Con nuestro BPA ajustado y la regla común de múltiplos, el objetivo a 12 meses es de 206,67 EUR frente a 181,20 EUR de cierre del 23 de octubre: +16,3 % con el dividendo, y +20,2 % en el caso base. Pasa los umbrales a 12 meses, pero no la tercera condición de compra: el valor intrínseco (132,07 EUR) está un 27,1 % por debajo del precio. El objetivo medio de los analistas (215,91 EUR) cae dentro de nuestro rango. La convicción es media, la que sugieren los criterios: las dos reglas del valor intrínseco coinciden y la del objetivo a 12 meses queda lejos de sus umbrales; bajaría si el 4T muestra caída de los wearables y subiría con un margen de 2026 que crezca más que las ventas.</w:t>
      </w:r>
    </w:p>
    <w:p>
      <w:pPr>
        <w:spacing w:after="100"/>
      </w:pPr>
      <w:r>
        <w:rPr>
          <w:b/>
        </w:rPr>
        <w:t xml:space="preserve">Qué ha cambiado desde el 19-oct.</w:t>
      </w:r>
      <w:r>
        <w:t xml:space="preserve"> Las ventas del 3T (20-oct) batieron el consenso: 7.486 M EUR, +7,2 % a tipo constante frente a +6,3 % esperado, con el negocio sin wearables al +6,5 % y los wearables al +20 % [12, 18]. La acción subió un 14,3 % el 21-oct y otro 3 % con la subida del rating de S&amp;P a A+ [13]: del 152,05 al 181,20 EUR (+19,2 %). Nuestro BPA apenas cambia (2028e de 8,51 a 8,55 EUR) y el DCF pasa de 133,19 a 135,49 EUR. La rentabilidad ponderada baja del 19,8 % al 16,3 %: el objetivo sube con el precio porque la regla ancla el múltiplo base al PER actual (22,7 veces, con tope de 25,0), pero menos que el precio. La recomendación no cambia.</w:t>
      </w:r>
    </w:p>
    <w:p>
      <w:pPr>
        <w:spacing w:after="100"/>
      </w:pPr>
      <w:r>
        <w:rPr>
          <w:b/>
        </w:rPr>
        <w:t xml:space="preserve">El negocio.</w:t>
      </w:r>
      <w:r>
        <w:t xml:space="preserve"> Primer grupo mundial de óptica (lentes, monturas, 15.695 tiendas propias y gafas con IA con Meta): 28.491 M EUR de ventas y 2.796 M de flujo libre en 2025 [1, 12]. El foso en lentes es amplio y la proyección es sostenible (veredicto: Sí): pedimos un 4,7 % anual, por debajo del 8,9 % a tipo constante de nueve meses de 2026. Pero el ROIC con el fondo de comercio (5,4 %) está 2,4 puntos por debajo del WACC (7,78 %): no pasa nuestro filtro de calidad.</w:t>
      </w:r>
    </w:p>
    <w:p>
      <w:pPr>
        <w:spacing w:after="100"/>
      </w:pPr>
      <w:r>
        <w:rPr>
          <w:b/>
        </w:rPr>
        <w:t xml:space="preserve">Finanzas.</w:t>
      </w:r>
      <w:r>
        <w:t xml:space="preserve"> Margen operativo ajustado del 18,6 % en el 1S26 (18,1 % un año antes) y deuda neta con arrendamientos de 2,0 veces el EBITDA [2]. La dirección avisó de un 4T exigente (wearables de 1.091 M en el 4T25) [14].</w:t>
      </w:r>
    </w:p>
    <w:p>
      <w:pPr>
        <w:spacing w:after="100"/>
      </w:pPr>
      <w:r>
        <w:rPr>
          <w:b/>
        </w:rPr>
        <w:t xml:space="preserve">Equipo y gobierno.</w:t>
      </w:r>
      <w:r>
        <w:t xml:space="preserve"> Resta. Delfin (32,4 %) controla la junta y vive una reorganización entre herederos; Milleri concentra presidencia y dirección y preside Delfin [21, 22]. Tras el 3T defendió la unidad del grupo y no hay ventas de directivos registradas desde el 30-sep [15, 40].</w:t>
      </w:r>
    </w:p>
    <w:p>
      <w:pPr>
        <w:spacing w:after="100"/>
      </w:pPr>
      <w:r>
        <w:rPr>
          <w:b/>
        </w:rPr>
        <w:t xml:space="preserve">Valoración.</w:t>
      </w:r>
      <w:r>
        <w:t xml:space="preserve"> A 181,20 EUR el DCF inverso descuenta un crecimiento del 8,6 % anual en 2027-2035 con nuestro margen, casi el doble de nuestro 4,6 %, o una rentabilidad del 6,7 %, igual a la que pide hoy el mercado y por debajo de nuestro WACC. Cotiza a 22,7 veces nuestro BPA ajustado de 2027e (mediana adelantada de cinco años: 28,5) y a 23,2 veces el de los próximos 12 meses, por encima de sus comparables (20,8).</w:t>
      </w:r>
    </w:p>
    <w:p>
      <w:pPr>
        <w:spacing w:after="100"/>
      </w:pPr>
      <w:r>
        <w:rPr>
          <w:b/>
        </w:rPr>
        <w:t xml:space="preserve">Riesgos y catalizadores.</w:t>
      </w:r>
      <w:r>
        <w:t xml:space="preserve"> El mayor riesgo es que las gafas con IA se estanquen frente a Google, que lanza este otoño (bajista del DCF −49,9 %); el segundo, que el rebote se haya adelantado al 4T (bajista a 12 meses −17,0 %). El foro francés está eufórico y apenas habla del 4T [62]. Catalizadores: conferencia del 17-nov y resultados de 2026 en febrero. El precio y las noticias no cambian la decisión (regla 13: no cambia).</w:t>
      </w:r>
    </w:p>
    <w:p>
      <w:pPr>
        <w:spacing w:after="100"/>
      </w:pPr>
      <w:r>
        <w:rPr>
          <w:b/>
        </w:rPr>
        <w:t xml:space="preserve">Qué cambiaría la decisión.</w:t>
      </w:r>
      <w:r>
        <w:t xml:space="preserve"> Compraríamos por debajo de 132,07 EUR (valor intrínseco), aunque seguiría sin pasar el filtro de calidad; venderíamos por encima de 234,08 EUR, o si una colocación de Delfin o la salida de Milleri cambian el gobierno sin sucesor claro.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206,67 EUR</w:t>
      </w:r>
      <w:r>
        <w:t xml:space="preserve"> (rentabilidad +16,3 % (base +20,2 %)) · Valor intrínseco: 132,07 EUR (-27,1 % sobre 181,20) · con la prima implícita del mercado: 173,75 (-4,1 %)</w:t>
      </w:r>
    </w:p>
    <w:p>
      <w:pPr>
        <w:spacing w:after="100"/>
      </w:pPr>
      <w:r>
        <w:t xml:space="preserve">EssilorLuxottica es el líder mundial de la óptica: fabrica las lentes de gama alta, posee las marcas de monturas más vendidas y controla el canal minorista en Norteamérica y Europa, con 28.491 M EUR de ventas y 2.796 M de flujo libre en 2025 [1]. En 2026 crece un 8,9 % a tipo constante en nueve meses, con el negocio sin gafas con IA al 6,3 % y el control de miopía al 24 % [12].</w:t>
      </w:r>
    </w:p>
    <w:p>
      <w:pPr>
        <w:spacing w:after="100"/>
      </w:pPr>
      <w:r>
        <w:t xml:space="preserve">El precio, 181,20 EUR tras subir un 31 % desde el mínimo de septiembre, equivale a 22,7 veces nuestro BPA ajustado de 2027e, aún por debajo de su mediana de cinco años (28,5), y a 14,5 veces el EBITDA. El DCF inverso pide un 8,6 % de crecimiento anual con nuestro margen.</w:t>
      </w:r>
    </w:p>
    <w:p>
      <w:pPr>
        <w:spacing w:after="100"/>
      </w:pPr>
      <w:r>
        <w:t xml:space="preserve">Para invertir hay que creer que el múltiplo sigue recuperándose y que el margen operativo ajustado sube; eso da un +16 % a 12 meses. Pero con un coste del capital del 7,8 % los flujos valen 132 EUR, y el capital invertido, cargado de fondo de comercio, rinde menos de lo que cuesta: el 3T confirma la calidad del núcleo, no cambia su valor.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 × 7,32 = 146,40 · 25,0x × 8,55 = 213,75 · 30,3x × 9,22 = 279,37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 / 20,2 %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215,91 (nuestro base -1,0 %)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 -49,9 %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frente a 7,8 %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132,07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132,07 y 234,08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234,08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132,07 EUR, el valor intrínseco dejaría de estar por debajo del precio (Comprar a 12 meses, sin pasar el filtro de calidad).</w:t>
      </w:r>
    </w:p>
    <w:p>
      <w:pPr>
        <w:pStyle w:val="ListParagraph"/>
        <w:numPr>
          <w:ilvl w:val="0"/>
          <w:numId w:val="2"/>
        </w:numPr>
        <w:spacing w:after="60"/>
      </w:pPr>
      <w:r>
        <w:t xml:space="preserve">Si el precio supera 234,08 EUR, Vender.</w:t>
      </w:r>
    </w:p>
    <w:p>
      <w:pPr>
        <w:pStyle w:val="ListParagraph"/>
        <w:numPr>
          <w:ilvl w:val="0"/>
          <w:numId w:val="2"/>
        </w:numPr>
        <w:spacing w:after="60"/>
      </w:pPr>
      <w:r>
        <w:t xml:space="preserve">Si las ventas del 4T26 crecen menos de un 5 % a tipo constante o el margen operativo ajustado de 2026 queda por debajo del 16 %, bajaríamos el base.</w:t>
      </w:r>
    </w:p>
    <w:p>
      <w:pPr>
        <w:pStyle w:val="ListParagraph"/>
        <w:numPr>
          <w:ilvl w:val="0"/>
          <w:numId w:val="2"/>
        </w:numPr>
        <w:spacing w:after="60"/>
      </w:pPr>
      <w:r>
        <w:t xml:space="preserve">Si Delfin anuncia ventas de acciones de EssilorLuxottica, retrasaríamos cualquier compra hasta la colocación.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el 3T, que lo peor de las gafas con IA ha pasado y que el grupo vuelve a crecer a ritmo alto: el precio pide un 8,6 % de crecimiento anual con nuestro margen.</w:t>
      </w:r>
    </w:p>
    <w:p>
      <w:pPr>
        <w:keepNext/>
        <w:spacing w:after="100"/>
      </w:pPr>
      <w:r>
        <w:rPr>
          <w:b/>
          <w:bCs/>
        </w:rPr>
        <w:t xml:space="preserve">Lo que creemos nosotros.</w:t>
      </w:r>
    </w:p>
    <w:p>
      <w:pPr>
        <w:spacing w:after="100"/>
      </w:pPr>
      <w:r>
        <w:t xml:space="preserve">El núcleo crece al 5-6 % y el margen se queda cerca del actual, como dice la guía; con eso el valor por flujos está muy por debajo del precio, aunque a 12 meses el múltiplo todavía bajo su historia deja algo de recorrido.</w:t>
      </w:r>
    </w:p>
    <w:p>
      <w:pPr>
        <w:keepNext/>
        <w:spacing w:after="100"/>
      </w:pPr>
      <w:r>
        <w:rPr>
          <w:b/>
          <w:bCs/>
        </w:rPr>
        <w:t xml:space="preserve">Por qué podemos tener razón.</w:t>
      </w:r>
    </w:p>
    <w:p>
      <w:pPr>
        <w:spacing w:after="100"/>
      </w:pPr>
      <w:r>
        <w:t xml:space="preserve">Nuestro BPA de 2027e coincide con el consenso, pero el DCF inverso pide casi el doble de crecimiento del que la empresa promete (beneficio operativo «alineado» con las ventas) [12, 42].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81,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Núcleo sólido</w:t>
      </w:r>
      <w:r>
        <w:t xml:space="preserve">: negocio sin wearables al +6,5 % en el 3T26 y control de miopía al +24 % [12].</w:t>
      </w:r>
    </w:p>
    <w:p>
      <w:pPr>
        <w:pStyle w:val="ListParagraph"/>
        <w:numPr>
          <w:ilvl w:val="0"/>
          <w:numId w:val="2"/>
        </w:numPr>
        <w:spacing w:after="60"/>
      </w:pPr>
      <w:r>
        <w:rPr>
          <w:b/>
        </w:rPr>
        <w:t xml:space="preserve">Múltiplo aún bajo su historia</w:t>
      </w:r>
      <w:r>
        <w:t xml:space="preserve">: 22,7 veces el BPA ajustado de 2027e frente a una mediana adelantada de 28,5 veces en 2021-2025.</w:t>
      </w:r>
    </w:p>
    <w:p>
      <w:pPr>
        <w:pStyle w:val="ListParagraph"/>
        <w:numPr>
          <w:ilvl w:val="0"/>
          <w:numId w:val="2"/>
        </w:numPr>
        <w:spacing w:after="60"/>
      </w:pPr>
      <w:r>
        <w:rPr>
          <w:b/>
        </w:rPr>
        <w:t xml:space="preserve">Caja y balance</w:t>
      </w:r>
      <w:r>
        <w:t xml:space="preserve">: 2.796 M EUR de flujo libre en 2025, recompras y rating A+ de S&amp;P desde el 23-oct [1, 13].</w:t>
      </w:r>
    </w:p>
    <w:p>
      <w:pPr>
        <w:pStyle w:val="ListParagraph"/>
        <w:numPr>
          <w:ilvl w:val="0"/>
          <w:numId w:val="2"/>
        </w:numPr>
        <w:spacing w:after="60"/>
      </w:pPr>
      <w:r>
        <w:rPr>
          <w:b/>
        </w:rPr>
        <w:t xml:space="preserve">Batió al consenso</w:t>
      </w:r>
      <w:r>
        <w:t xml:space="preserve">: 7.486 M de ventas en el 3T frente a 7.330 M esperados [18].</w:t>
      </w:r>
    </w:p>
    <w:p>
      <w:pPr>
        <w:pStyle w:val="Heading2"/>
      </w:pPr>
      <w:r>
        <w:t xml:space="preserve">En contra</w:t>
      </w:r>
    </w:p>
    <w:p>
      <w:pPr>
        <w:pStyle w:val="ListParagraph"/>
        <w:numPr>
          <w:ilvl w:val="0"/>
          <w:numId w:val="2"/>
        </w:numPr>
        <w:spacing w:after="60"/>
      </w:pPr>
      <w:r>
        <w:rPr>
          <w:b/>
        </w:rPr>
        <w:t xml:space="preserve">Valor por flujos muy bajo el precio</w:t>
      </w:r>
      <w:r>
        <w:t xml:space="preserve">: DCF de 135,49 EUR y valor intrínseco de 132,07 con un WACC del 7,78 %.</w:t>
      </w:r>
    </w:p>
    <w:p>
      <w:pPr>
        <w:pStyle w:val="ListParagraph"/>
        <w:numPr>
          <w:ilvl w:val="0"/>
          <w:numId w:val="2"/>
        </w:numPr>
        <w:spacing w:after="60"/>
      </w:pPr>
      <w:r>
        <w:rPr>
          <w:b/>
        </w:rPr>
        <w:t xml:space="preserve">ROIC del 5,4 %</w:t>
      </w:r>
      <w:r>
        <w:t xml:space="preserve">, bajo el WACC, por 40.766 M de fondo de comercio e intangibles [3].</w:t>
      </w:r>
    </w:p>
    <w:p>
      <w:pPr>
        <w:pStyle w:val="ListParagraph"/>
        <w:numPr>
          <w:ilvl w:val="0"/>
          <w:numId w:val="2"/>
        </w:numPr>
        <w:spacing w:after="60"/>
      </w:pPr>
      <w:r>
        <w:rPr>
          <w:b/>
        </w:rPr>
        <w:t xml:space="preserve">4T exigente</w:t>
      </w:r>
      <w:r>
        <w:t xml:space="preserve">: los wearables facturaron 1.091 M en el 4T25 y Google lanza sus gafas este otoño [12, 14].</w:t>
      </w:r>
    </w:p>
    <w:p>
      <w:pPr>
        <w:pStyle w:val="ListParagraph"/>
        <w:numPr>
          <w:ilvl w:val="0"/>
          <w:numId w:val="2"/>
        </w:numPr>
        <w:spacing w:after="60"/>
      </w:pPr>
      <w:r>
        <w:rPr>
          <w:b/>
        </w:rPr>
        <w:t xml:space="preserve">Gobierno en reorganización</w:t>
      </w:r>
      <w:r>
        <w:t xml:space="preserve">: disputa de herederos en Delfin y presidente investigado en Milán [21, 32].</w:t>
      </w:r>
    </w:p>
    <w:p>
      <w:pPr>
        <w:pStyle w:val="ListParagraph"/>
        <w:numPr>
          <w:ilvl w:val="0"/>
          <w:numId w:val="2"/>
        </w:numPr>
        <w:spacing w:after="60"/>
      </w:pPr>
      <w:r>
        <w:rPr>
          <w:b/>
        </w:rPr>
        <w:t xml:space="preserve">Rebote rápido</w:t>
      </w:r>
      <w:r>
        <w:t xml:space="preserve">: +19,2 % en una semana con el BPA casi igual (2028e de 8,51 a 8,55 EUR).</w:t>
      </w:r>
    </w:p>
    <w:p>
      <w:pPr>
        <w:pStyle w:val="Heading2"/>
      </w:pPr>
      <w:r>
        <w:t xml:space="preserve">Qué tiene que pasar para que la tesis funcione</w:t>
      </w:r>
    </w:p>
    <w:p>
      <w:pPr>
        <w:spacing w:after="100"/>
      </w:pPr>
      <w:r>
        <w:t xml:space="preserve">La tesis depende de que el margen operativo ajustado siga subiendo y de que el 4T no deshaga el rebote. La señal de que no se cumple sería un crecimiento a tipo constante por debajo del 5 % en el 4T26 con caída de los wearables, un margen de 2026 por debajo del 16 % o una venta de acciones ligada a la reorganización de Delfin.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(3T26); +8,9 %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caso central.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16 % en el año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palanca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Wearables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M (3T26, +20 %)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base y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o caída del EBITDA.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y pignoraciones de Delfin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 5 M de acciones pignoradas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Venta o nuevas pignoraciones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colocación.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 / 12,7x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33,9x / 23,2x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EssilorLuxottica nace el 1-oct-2018 de la fusión entre Essilor (lentes oftálmicas, Francia, fundada en 1849 como cooperativa de ópticos) y Luxottica (monturas y gafas de sol, Italia, fundada en 1961 por Leonardo Del Vecchio) [3]. Delfin, el holding luxemburgués de los ocho herederos de Del Vecchio, es el primer accionista con el 32,4 % del capital [3]. En 2021 compró GrandVision, la mayor cadena óptica europea [25]. Desde 2019 fabrica con Meta gafas inteligentes, y desde 2023 las Ray-Ban Meta con IA, la tercera palanca de crecimiento [3]. En 2024 compró Supreme y el 80 % de Heidelberg Engineering, y en 2026 Top Charoen (Tailandia) [2,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Essilor y Luxottica.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GrandVision a HAL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Leonardo Del Vecchio; Francesco Milleri, presidente y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Ray-Ban Meta con 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Supreme y del 80 % de Heidelberg Engineering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crecimiento de dos dígitos a tipo constante (11,2 %); máximo histórico de la acción (323,80 EUR, 13-nov)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cae más de un 50 % desde el máximo; Leonardo Maria Del Vecchio deja sus cargos (25-ago) y el consejo reafirma su confianza en Milleri (9-sep); las ventas del 3T baten el consenso (+7,2 %) y la acción sube un 14 % el 21-oct [12, 21, 22].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EssilorLuxottica diseña, fabrica y vende lentes graduadas (Varilux, Transitions, Stellest), monturas y gafas de sol (Ray-Ban, Oakley y licencias de lujo), equipos de diagnóstico y audífonos en gafas (Nuance Audio). Vende a ópticas y cadenas (Professional Solutions, 13.600 M EUR en 2025) y al público en 19.709 tiendas (15.695 propias a 30-sep-2026) y webs (Direct to Consumer, 14.891 M EUR: Sunglass Hut, LensCrafters, GrandVision, Supreme) [1, 2, 12]. Con Meta fabrica las gafas con inteligencia artificial (Ray-Ban Meta, Oakley Meta), más de 7 millones de unidades en 2025 [1]. Norteamérica es el 44,9 % de las ventas y EMEA el 37,8 % [1].</w:t>
      </w:r>
    </w:p>
    <w:p>
      <w:pPr>
        <w:pStyle w:val="Heading2"/>
      </w:pPr>
      <w:r>
        <w:t xml:space="preserve">Cómo gana dinero</w:t>
      </w:r>
    </w:p>
    <w:p>
      <w:pPr>
        <w:spacing w:after="100"/>
      </w:pPr>
      <w:r>
        <w:t xml:space="preserve">El beneficio sale sobre todo de las lentes graduadas, un producto sanitario de reposición con marca y tecnología propias, y de las marcas de monturas, que el grupo vende con margen de fabricante y, en sus tiendas, con margen minorista: margen bruto del 60,6 % en 2025 y del 63,5 % en el 1S26 [1, 2]. El margen operativo ajustado fue del 15,7 % en 2025 (16,0 % a tipo constante, 70 pb menos que en 2024 por los aranceles de EE. UU. y la mezcla de gafas con IA) y del 18,6 % en el 1S26 (18,1 % en el 1S25; +80 pb a tipo constante), el semestre fuerte [1, 2]. La diferencia entre el beneficio publicado (2.315 M EUR en 2025) y el ajustado (3.157 M) es sobre todo la amortización de los intangibles reconocidos en la fusión de 2018 y en las compras (830 M antes de impuestos), que no es caja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Professional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 to Consumer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Professional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 to Consumer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atomizada: cientos de miles de ópticas independientes y cadenas en Professional Solutions y consumidores finales en Direct to Consumer; ningún cliente es relevante en las cuentas [3]. El riesgo de concentración está en un socio, no en un cliente: Meta diseña la plataforma de las gafas con IA, que el grupo fabrica y distribuye, y tiene una participación minoritaria en el capital [3]. El poder de precio se ve en la mezcla: el crecimiento a tipo constante del 11,2 % de 2025 y del 9,7 % del 1S26 combina volumen (gafas con IA, control de miopía +24 % en el 2T26) con precio y mezcla en lentes de gama alta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(9M26: 1T +10,8 %, 2T +8,7 %, 3T +7,2 %)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Se modera contra una base alta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3T26 batió el consenso (+6,3 % esperado); el 4T25 (+18,4 %) es la base más dura [12,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tradicional (Eyecare &amp; Medtech)</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(3T26); +6,3 %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el grupo salvo las gafas con IA y Nuance Audio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(1S26, frente a 18,1 %)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pb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 solo publica ventas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Wearables (gafas con IA y Nuance Audio)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 M EUR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M (3T26, +20 %); 1.261 M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 casi +100 % en el 2T a +20 %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4T25 de 1.091 M: comparación muy exigente [12,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de 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(3T26); +7,5 %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miopía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(3T26 y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Stellest en ≈12.000 puntos de venta en EE. UU.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13.684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15.695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todo Top Charoen (Tailandia) desde abril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óptica mundial (lentes graduadas, monturas, gafas de sol y lentes de contacto, a precio de venta al público), donde EssilorLuxottica está en todos los eslabones: fabricación de lentes, marcas de monturas y venta minorista. Las estimaciones públicas varían según el perímetro: Ken Research da unos 222.000 M USD en 2025 y Global Market Insights unos 161.000 M USD [19, 20]. Usamos el punto medio, unos 190.000 M USD (≈170.000 M EUR), como orden de magnitud: con 28.491 M EUR, el grupo tendría en torno al 17 % del gasto mundial en óptica. Las gafas con IA son una categoría nueva que estas series apenas recogen.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161.000-222.000 M USD en 2025 según la fuente (≈ 170.000 M EUR en el punto medio) [19,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presbicia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progresivas (Varilux) son el producto de mayor precio; la población mayor de 50 años crece en todos los mercados desarrollados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infantil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control de miopía creció un 22 % en 2025 y un 24 % en el 3T26 y en los nueve meses; Stellest 2.0 logró a los seis meses resultados comparables a los de 12 meses de la primera versión en un ensayo en China [3,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7 millones de unidades en 2025; los wearables facturaron 486 M EUR en el 3T26 (+20 %, frente a casi el doble en el 2T) y 1.091 M en el 4T25, la base del 4T. Menor margen y Google con sus socios en lanzamiento este otoño [2, 12, 14,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300 M EUR de coste en 2025 [33]; el dólar restó 4 puntos al crecimiento del 1S26 (9,7 % a tipo constante, 5,7 % publicado) [2] y sumó 1,8 puntos en el 3T26 (+9,0 % publicado, +7,2 % constante)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de lujo y gafas de sol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gafas de sol de licencia de lujo dependen del gasto discrecional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en lentes con Hoya (2.º mundial) y Zeiss (privada)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Ópticas muy atomizadas; las grandes cadenas (Fielmann, Specsavers, National Vision) negocian más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comunes; en gafas con IA depende de la tecnología y la plataforma de Meta.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en lentes (tecnología, regulación sanitaria); alta en gafas inteligentes (Google con Warby Parker y Gentle Monster, Kering con Google, Samsung, Apple) [23,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Cirugía refractiva y lentes de contacto, de crecimiento lento frente a las gafas.</w:t>
            </w:r>
          </w:p>
        </w:tc>
      </w:tr>
    </w:tbl>
    <w:p>
      <w:pPr>
        <w:spacing w:after="160" w:before="0"/>
      </w:pPr>
    </w:p>
    <w:p>
      <w:pPr>
        <w:pStyle w:val="Heading2"/>
      </w:pPr>
      <w:r>
        <w:t xml:space="preserve">Ciclo</w:t>
      </w:r>
    </w:p>
    <w:p>
      <w:pPr>
        <w:spacing w:after="100"/>
      </w:pPr>
      <w:r>
        <w:t xml:space="preserve">La óptica graduada es poco cíclica (es un producto sanitario de reposición); las gafas de sol y las marcas de lujo sí lo son. En 2020 las ventas del grupo cayeron un 17 % con el cierre de tiendas y se recuperaron en 2021. Hoy el ciclo lo marcan los aranceles, el consumo discrecional y la adopción de las gafas con IA [2, 23].</w:t>
      </w:r>
    </w:p>
    <w:p>
      <w:pPr>
        <w:pStyle w:val="Heading2"/>
      </w:pPr>
      <w:r>
        <w:t xml:space="preserve">Regulación</w:t>
      </w:r>
    </w:p>
    <w:p>
      <w:pPr>
        <w:spacing w:after="100"/>
      </w:pPr>
      <w:r>
        <w:t xml:space="preserve">Las lentes graduadas son productos sanitarios (en la UE, reglamento de productos sanitarios), lo que exige registro y frena la entrada. En EE. UU., los aranceles a las importaciones de 2025 costaron unos 300 M EUR al grupo según su director financiero, porque fabrica buena parte de las monturas en Italia y China [33]. Las gafas con IA abren un frente de privacidad: la fiscalía de París investiga grabaciones sin consentimiento con gafas inteligentes y la CNIL ha recibido quejas (septiembre de 2026) [28].</w:t>
      </w:r>
    </w:p>
    <w:p>
      <w:pPr>
        <w:pStyle w:val="Heading2"/>
      </w:pPr>
      <w:r>
        <w:t xml:space="preserve">Tendencias y disrupción</w:t>
      </w:r>
    </w:p>
    <w:p>
      <w:pPr>
        <w:spacing w:after="100"/>
      </w:pPr>
      <w:r>
        <w:t xml:space="preserve">Tres tendencias: la tecnología médica (diagnóstico, control de miopía, clínicas oftalmológicas como Optegra, audición con Nuance Audio Plus, lanzado a mediados de septiembre), en la que el grupo invierte para salir del comercio de monturas [3, 12]; las gafas inteligentes, donde la alianza con Meta da ventaja (Ray-Ban Meta Gen 3, línea sin cámara Ray-Ban Meta Audio y más de 100 modelos a final de año, anunciados el 24-sep) pero llegan Google con sus socios, Samsung y probablemente Apple [23, 27, 34]; y la presión de precios en la gama de entrada [23]. Bernstein advierte de que si los productos rivales convencen, lo primero que se resentiría es el múltiplo del grupo [14].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lentes oftálmicas (por delante de Hoya y Zeiss), en monturas y gafas de sol de marca y en óptica minorista; socio de Meta en gafas con IA [3,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lentes oftálmicas; gana más con los semiconductores (máscaras) que con la óptica [24,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 Zeiss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3.º en lentes; de la fundación Carl Zeiss,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y cirugía ocular; competidor indirecto en corrección de la visión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(CooperVision) y control de miopía (MiSight), rival directo de Stellest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cadena de Alemania, cliente y rival en minorista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Safilo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Monturas y gafas de sol con licencias; perdió licencias de lujo frente a Kering Eyewear y Thélios.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ópticas y tiendas propias da distribución a los lanzamientos (Ray-Ban Meta), pero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ópticas trabajan con su sistema de pedidos, laboratorio y crédito; el consumidor repite marca de lente.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Ray-Ban, Oakley, Varilux, Transitions, Stellest; margen bruto del 63,5 % en el 1S26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industrial mundial en lentes y monturas.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28.491 M EUR de ventas, más de cinco veces las de Hoya en total [3, 15].</w:t>
            </w:r>
          </w:p>
        </w:tc>
      </w:tr>
    </w:tbl>
    <w:p>
      <w:pPr>
        <w:spacing w:after="160" w:before="0"/>
      </w:pPr>
    </w:p>
    <w:p>
      <w:pPr>
        <w:pStyle w:val="Heading2"/>
      </w:pPr>
      <w:r>
        <w:t xml:space="preserve">Amenazas</w:t>
      </w:r>
    </w:p>
    <w:p>
      <w:pPr>
        <w:spacing w:after="100"/>
      </w:pPr>
      <w:r>
        <w:t xml:space="preserve">La amenaza principal no está en las lentes sino en las gafas con IA: si Google (con Warby Parker, Gentle Monster y Kering), Samsung o Apple ganan cuota, el grupo pierde el motor de crecimiento que el mercado pagó en 2025 y se queda con un producto de menor margen [23, 27]. Probabilidad media en tres años. Kepler Cheuvreux rebajó en septiembre su previsión de mercado de gafas con IA en 2030 de 38 a 15 millones de unidades [28]. El 3T26 alivió en parte la duda: el negocio sin wearables creció un 6,5 % y los wearables un 20 % [12]. En lentes, la amenaza es más lenta: Hoya y Zeiss en gama alta y los fabricantes asiáticos en la de entrada. La compra de Supreme muestra que el grupo puede dispersarse fuera de su foso.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2020-2025: ingresos </w:t>
      </w:r>
      <w:r>
        <w:rPr>
          <w:b/>
          <w:bCs/>
        </w:rPr>
        <w:t xml:space="preserve">14,6 %</w:t>
      </w:r>
      <w:r>
        <w:t xml:space="preserve">, EBITDA </w:t>
      </w:r>
      <w:r>
        <w:rPr>
          <w:b/>
          <w:bCs/>
        </w:rPr>
        <w:t xml:space="preserve">20,9 %</w:t>
      </w:r>
      <w:r>
        <w:t xml:space="preserve">, BPA </w:t>
      </w:r>
      <w:r>
        <w:rPr>
          <w:b/>
          <w:bCs/>
        </w:rPr>
        <w:t xml:space="preserve">92,2 %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14.429 M EUR en 2020 (pandemia) a 28.491 M en 2025, con dos saltos por compras: GrandVision en 2021 y Supreme y Heidelberg en el 4T24 [4, 5]. Sin compras, el grupo crece al 6-11 % a tipo constante (6,0 % en 2024, 11,2 % en 2025, 9,7 % en el 1S26) [1, 2]. El margen EBIT publicado sube del 11,6 % de 2021 al 13,0 % de 2024 y baja al 11,9 % en 2025 por los aranceles de EE. UU., la mezcla de gafas con IA y 249 M de gastos no recurrentes (reestructuración, programa SuperBoost, prima extraordinaria a empleados, honorarios de compras y litigios) [1]. El beneficio neto atribuido se estanca en 2.289-2.359 M EUR desde 2023; el ajustado sube de 2.860 M (2022) a 3.157 M (2025) [1, 6]. En el 1S26 el beneficio neto fue de 1.566 M (BPA de 3,37 EUR frente a 3,00) [2]. Los últimos 12 meses (a junio de 2026) se calculan con el 1S26 y el 1S25.</w:t>
      </w:r>
    </w:p>
    <w:p>
      <w:pPr>
        <w:pStyle w:val="Heading2"/>
      </w:pPr>
      <w:r>
        <w:t xml:space="preserve">Ajustes y partidas no recurrentes</w:t>
      </w:r>
    </w:p>
    <w:p>
      <w:pPr>
        <w:spacing w:after="100"/>
      </w:pPr>
      <w:r>
        <w:t xml:space="preserve">La empresa publica cifras «ajustadas» que excluyen la amortización de los intangibles reconocidos en la fusión de 2018 y en las compras posteriores (830 M EUR antes de impuestos y 647 M después en 2025) y otros gastos no recurrentes (249 M antes de impuestos y 194 M después: reestructuración 63, SuperBoost 70, prima extraordinaria 75, honorarios de compras 12, litigios 15) [1]. Beneficio neto ajustado: 2.860 M (2022), 2.946 M (2023), 3.122 M (2024), 3.157 M (2025) y 1.921 M en el 1S26 (1.799 M en el 1S25; el ajuste del semestre es de 415 M de amortización de compras y 40 M de otros conceptos antes de impuestos) [2]; BPA ajustado de 6,42, 6,54, 6,79 y 6,79 EUR [1, 6, 7]. El beneficio operativo ajustado de 2025 fue de 4.459 M (15,7 %) [1]. Las cuentas de esta nota son las publicadas (NIIF); el objetivo a 12 meses usa el BPA ajustado, el que publica la empresa y miran los analistas, con la historia del PER en la misma base.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La empresa solo publica cuentas por semestre; los trimestres dan ventas (3T25 6.867, 4T25 7.600, 1T26 7.127, 2T26 7.692 y 3T26 7.486 M EUR) [1, 2, 12]. En julio (1S26: +9,7 % a tipo constante, margen operativo ajustado del 18,6 % frente al 18,1 %) la dirección avisó de una base más dura en el segundo semestre [2]. El 20-oct publicó un 3T de 7.486 M EUR, +7,2 % a tipo constante y +9,0 % publicado, frente a 7.330 M y +6,3 % esperados [12, 18]: Direct to Consumer +10,6 % (comparables +6,8 %), Professional Solutions +3,4 % frente a un 3T25 de dos dígitos, Asia-Pacífico +15,7 % y Norteamérica +4,7 %; el negocio tradicional creció un 6,5 % y los wearables un 20 % (486 M), frente a casi el doble en el 2T [12]. Confirmó la guía a cinco años (ventas «sólidas» y beneficio operativo ajustado «ampliamente alineado») [12]. En la conferencia el director financiero, Stefano Grassi, avisó de una comparación «exigente» en el 4T (los wearables facturaron 1.091 M en el 4T25) y respondió a las críticas de Leonardo Maria Del Vecchio con el apoyo del consejo a Milleri y du Saillant [14]; Milleri se mostró confiado en el 4T por los lanzamientos de finales de septiembre y dijo que el 60 % de las gafas con IA vendidas en sus tiendas llevaba lentes Transitions y el 33 % graduadas [15]. Los analistas preguntaron por el 4T, la competencia de Google y el gobierno; la dirección no dio cifra de margen del año ni guía numérica para 2027 [14, 15]. La transcripción completa no estaba accesible (Seeking Alpha la bloquea): la lectura sale de la prensa que cubrió la conferencia.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GrandVision, consolidada desde el 1-jul-2021 (adquisiciones netas de 7.078 M EUR en el año) [4]; 2024: Supreme (≈1.500 M USD) y el 80 % de Heidelberg Engineering, consolidadas desde el 4T24 (adquisiciones de 1.755 M EUR) [5]; 2026: Top Charoen (Tailandia, unas 2.000 ópticas), consolidada desde abril de 2026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activo está dominado por el fondo de comercio (31.013 M EUR) y los intangibles (9.753 M), herencia de la fusión de 2018 y de GrandVision: el 64 % del activo total de 2025 [3]. Los intangibles bajan cada año por la amortización de la fusión (12.599 M en 2021, 9.753 M en 2025). La deuda neta con arrendamientos subió de 10.249 M EUR a finales de 2022 a 13.385 M en junio de 2026 por las compras de 2024, el dividendo en efectivo y las recompras; la ratio sobre EBITDA (2,0 veces) es cómoda para el tamaño y la estabilidad de la caja [2,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2020-2025: FCF </w:t>
      </w:r>
      <w:r>
        <w:rPr>
          <w:b/>
          <w:bCs/>
        </w:rPr>
        <w:t xml:space="preserve">14.493</w:t>
      </w:r>
      <w:r>
        <w:t xml:space="preserve">, conversión </w:t>
      </w:r>
      <w:r>
        <w:rPr>
          <w:b/>
          <w:bCs/>
        </w:rPr>
        <w:t xml:space="preserve">136 %</w:t>
      </w:r>
      <w:r>
        <w:t xml:space="preserve"> del beneficio neto; adquisiciones 10.956, dividendos 3.292, recompras 1.828.</w:t>
      </w:r>
    </w:p>
    <w:p>
      <w:pPr>
        <w:spacing w:after="100"/>
      </w:pPr>
      <w:r>
        <w:t xml:space="preserve">El flujo operativo crece de 4.545 M EUR en 2021 a 5.291 M en 2025 y el capex se estabiliza en unos 1.525 M (5,4 % de las ventas) [3, 6]. La empresa calcula el flujo libre restando también los pagos de arrendamientos: 2.413 M en 2024 y 2.796 M en 2025, y 1.067 M en el 1S26 con una definición nueva que suma las desinversiones [1, 2]. Los dividendos pagados en efectivo oscilan mucho (138 M en 2021, 1.163 M en 2024) porque una parte de los accionistas, Delfin incluido, cobra en acciones; en 2026 casi todo se cobró en efectivo (1.669 M en el 1S26) [2]. Las altas de derechos de uso fueron de 1.043 M en 2025, que con el capex suman el 9,0 % de las ventas [3]. Las compras suman 10.956 M EUR en seis años, dos tercios en 2021 (GrandVision) [3,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Forvis Mazars y EY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(cuentas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de 2025 tienen opinión favorable de Forvis Mazars (auditor desde 2007) y de EY, que sustituyó a PwC en la junta de 2025 [3]. La calidad del beneficio depende de la lectura de los ajustes: el beneficio ajustado supera al publicado en 842 M EUR (36 %), sobre todo por la amortización de intangibles de la fusión, que no es caja; el flujo libre (2.796 M) está entre los dos (un 21 % por encima del publicado y un 11 % por debajo del ajustado), lo que da credibilidad a la cifra ajustada [1]. Los gastos «no recurrentes» se repiten cada año (249 M en 2025), así que los tratamos como parte del negocio en el DCF. Los 19 años de Forvis Mazars son una rotación larga para un mercado europeo, mitigada por la coauditoría.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64 %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deterioro (GrandVision, Supreme) no afectaría a la caja, pero sí al beneficio publicado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cada año (249 M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programa SuperBoost y primas: los dejamos dentro del margen del DCF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19 años en el cargo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Coauditoría con EY desde 2025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31.013 M en 2025 (el 62 % del capital invertido medio); ha subido más de un 5 % en 3 de 5 años: comprador en serie. ROIC publicado 5,4 %; sin fondo de comercio, 14,1 %.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16,5 % · </w:t>
      </w:r>
      <w:r>
        <w:rPr>
          <w:b/>
          <w:bCs/>
        </w:rPr>
        <w:t xml:space="preserve">WACC</w:t>
      </w:r>
      <w:r>
        <w:t xml:space="preserve">: 7,8 %.</w:t>
      </w:r>
    </w:p>
    <w:p>
      <w:pPr>
        <w:spacing w:after="100"/>
      </w:pPr>
      <w:r>
        <w:t xml:space="preserve">El ROIC con el fondo de comercio es bajo y estable: 5,1-5,4 % en 2022-2025, por debajo del WACC del 7,78 %, porque el capital invertido (51.157 M en 2025) lleva 31.013 M de fondo de comercio y 9.753 M de intangibles de la fusión de 2018 y de GrandVision [3]. Sin el fondo de comercio el rendimiento es del 13,9-14,3 %, y el ROIC incremental de 2021-2025 (16,5 %) dice que el negocio sí gana dinero con lo que invierte hoy; el problema es el precio pagado por las compras. Con el beneficio operativo ajustado (sin la amortización de compras) el ROIC sube a un 7 %, todavía por debajo del coste del capital. Frente a los comparables (mediana del 12,9 %), solo Alcon y Cooper, también construidos con compras, están por debajo. No cumple nuestro filtro de calidad (ROIC − WACC ≥ 5 puntos) y no lo cumplirá en años: haría falta duplicar el beneficio operativo con el mismo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14.013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3.544 M EUR a cierre de 2025 y de 1.931 M a 30-jun-2026, tras pagar el dividendo (1.669 M en efectivo; solo un 9 % eligió acciones a 175,06 EUR) y unas recompras de ≈969 M en el semestre [2, 3]. Deuda neta a 30-jun-2026 de 13.385 M EUR con arrendamientos (deuda 11.409, arrendamientos 3.907, caja 1.931), 2,0 veces el EBITDA de los últimos 12 meses (6.821 M) [2]. En septiembre siguió recomprando (74.083 acciones a 140,33 EUR el 21-sep)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A+, perspectiva estable (sube desde A el 23-oct-2026) [13]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Pensiones y otras prestaciones a empleados de 445 M EUR y participaciones en asociadas de 88 M a cierre de 2025 [3]. Los minoritarios (604 M EUR contables) vienen de filiales no participadas al 100 % [3]. La deuda de 2025 (10.839 M) se reparte en 6.812 M a largo y 4.027 M a corto; los arrendamientos, en 2.653 M a largo y 906 M a corto [3]. El coste de la deuda neta subió de 165 M en 2024 a 239 M en 2025 [1].</w:t>
      </w:r>
    </w:p>
    <w:p>
      <w:pPr>
        <w:pStyle w:val="Heading1"/>
      </w:pPr>
      <w:r>
        <w:t xml:space="preserve">12. Asignación de capital</w:t>
      </w:r>
    </w:p>
    <w:p>
      <w:pPr>
        <w:pStyle w:val="Confianza"/>
        <w:spacing w:after="100"/>
      </w:pPr>
      <w:r>
        <w:t xml:space="preserve">Confianza: Alta</w:t>
      </w:r>
    </w:p>
    <w:p>
      <w:pPr>
        <w:spacing w:after="100"/>
      </w:pPr>
      <w:r>
        <w:t xml:space="preserve">Dividendo de 4,00 EUR por acción con cargo a 2025 (3,95 EUR en 2023 y 2024), con opción de cobro en acciones [1, 2]. En 2026 el grupo recompró acciones por ≈969 M en el primer semestre y lanzó el 28-ago un programa de hasta 5 millones de acciones [2, 10]; los derechos de voto en circulación sin autocartera eran 458,4 M a 30-sep-2026 [11]; el 21-sep recompró 74.083 acciones a 140,33 EUR [16]. La prioridad declarada es crecer: compras de complemento (Supreme, Heidelberg, Top Charoen, cadenas en Asia), inversión en gafas inteligentes y tecnología médica, con la deuda neta en torno a 2 veces el EBITDA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GrandVision (cadena óptica europea)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el canal propio crece al 6-8 % comparable (2025-2026)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 (marca de ropa) y 80 % de Heidelberg Engineering (diagnóstico)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 lejos del núcleo y sin cifras propias publicadas; Heidelberg, base de la tecnología médica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Charoen (≈2.000 ópticas en Tailandia)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Consolidada desde abril [2].</w:t>
            </w:r>
          </w:p>
        </w:tc>
      </w:tr>
    </w:tbl>
    <w:p>
      <w:pPr>
        <w:spacing w:after="160" w:before="0"/>
      </w:pPr>
    </w:p>
    <w:p>
      <w:pPr>
        <w:spacing w:after="100"/>
      </w:pPr>
      <w:r>
        <w:t xml:space="preserve">La dirección ha usado el balance sobre todo para comprar: 10.956 M EUR en seis años, frente a un dividendo que sube despacio [3]. El rendimiento de ese capital es bajo: el capital invertido incluye 40.766 M EUR de fondo de comercio e intangibles, y el ROIC con ellos ronda el 5-6 %, por debajo del coste del capital; sin ellos, el negocio rinde mucho más [3]. Supreme, una marca de ropa, es la compra más difícil de justificar. El giro de 2026 (dividendo en efectivo y recompras de casi 1.000 M) compensa la dilución del dividendo en acciones de años anteriores (de 439 M de acciones diluidas en 2020 a 464,7 M en 2025) [2,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Milleri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 y empresario; consejero delegado de Luxottica desde 2017 y artífice de la fusión con Essilor; presidente y consejero delegado desde 2022 y presidente de Delfin, el accionista de control [3]. Con él, las ventas pasaron de 19.820 a 28.491 M EUR (2021-2025)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du Saillant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adjunto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Procedente de Essilor; responsable de la integración y de las operaciones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Stefano Grassi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 Luxottica antes de la fusión [3].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medio plazo: ventas de 27.000-28.000 M EUR y margen operativo ajustado del 19-20 % en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28.491 M ya en 2025; margen ajustado del 15,7 % en 2025. El objetivo de margen se retiró en febrero de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 cinco años (feb-26): crecimiento sólido de ventas y beneficio operativo ajustado ampliamente alineado, a tipo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+9,7 % de ventas y +15,0 % de beneficio operativo ajustado a tipo constante; 9M26: ventas +8,9 % a tipo constante; guía confirmada el 20-oct [2,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es estable y viene de la fusión (Milleri, du Saillant, Grassi) [3]. La credibilidad sufrió en febrero de 2026, cuando el objetivo de margen del 19-20 % se cambió por una guía cualitativa a cinco años; en el 1S26 la dirección cumplió esa guía (beneficio operativo ajustado +15 % frente a ventas +9,7 % a tipo constante) [2]. La sucesión es el riesgo: Milleri concentra presidencia, dirección ejecutiva y la presidencia de Delfin, y en agosto se fue Leonardo Maria Del Vecchio, hijo del fundador y director de estrategia, criticando a la dirección [21]. En la conferencia del 3T, Grassi defendió la unidad del equipo y el apoyo del consejo a Milleri y du Saillant, y Milleri dijo que el consejo de Delfin está dispuesto a hablar con los herederos para aclarar el gobierno [14, 15].</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Milleri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du Saillant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adjunto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Romolo Bardin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Delfin)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Mario Notari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(Delfin)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Marie-Christine Coisne-Roquette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Gonzalo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Swati Piramal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social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Cristina Scocchia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von Siemens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 Zappia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Virginie Mercier Pitre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(Valoptec, ópticos asociados)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Jean-Luc Biamonti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Bard y Brown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54 %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(cuentas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99,61 / ventas 5,07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Delfin (herederos de Leonardo Del Vecchio)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Holding 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unas 587.000 acciones entre mayo y agosto de 2026 a 164-175 EUR y pignoró 5 M de acciones en marzo [35]. Su voto está limitado al 31 % por los estatutos. El 16-oct, Reuters informó de conversaciones iniciales con bancos para financiar la compra de participaciones de herederos en Delfin, pagada con dividendos de EssilorLuxottica o con la venta de sus participaciones en MPS o Generali; no se habla de vender acciones de EssilorLuxottica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Planes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0,02 % a cierre de 2025 a ≈1,3 % a 30-sep-2026 (464,2 M de acciones y 458,4 M de derechos de voto en circulación) por las recompras de 2026 [11].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institucionales no residentes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 a 31-dic-2025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du Saillant (consejero delegado adjunto)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du Saillant (cesión a su fondo de dotación)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Delfin (persona vinculada a Milleri y Bardin), 13-may a 9-jun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Andrea Zappia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Delfin, 29-jul a 3-ago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Swati Piramal (consejera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Milleri devengó 20,09 M EUR en 2025 (16,34 M en 2024, +23 %): 2,1 M de fijo, 5,66 M de variable anual (el 179,6 % del objetivo, que es el 150 % del fijo, con tope del 300 %) y 50.000 acciones de rendimiento; 213 veces el salario medio y 296 veces el mediano [3]. El variable anual pesa en un 40 % el crecimiento del BPA ajustado y en un 30 % el de las ventas; el plan a largo plazo exige una subida anualizada de la cotización del 2-7 % para consolidar las acciones, lo que lo liga a la rentabilidad del accionista [3]. Du Saillant devengó 13,35 M [3]. Pagar el 180 % del objetivo en un año en que el beneficio neto atribuido bajó un 2 % y el margen ajustado 70 pb es generoso. La política de 2026 permite una remuneración excepcional de hasta una vez la remuneración total máxima, algo que señaló la AFG [37]. No hemos leído las actas de voto de la junta de 2026.</w:t>
      </w:r>
    </w:p>
    <w:p>
      <w:pPr>
        <w:pStyle w:val="Heading2"/>
      </w:pPr>
      <w:r>
        <w:t xml:space="preserve">Operaciones vinculadas, estructura de control y defensas</w:t>
      </w:r>
    </w:p>
    <w:p>
      <w:pPr>
        <w:spacing w:after="100"/>
      </w:pPr>
      <w:r>
        <w:t xml:space="preserve">Delfin controla de hecho la junta con el 32,4 % del capital (voto limitado al 31 % por estatutos) y su presidente, Milleri, es a la vez presidente y consejero delegado de EssilorLuxottica [3]. Delfin es de ocho herederos a partes iguales y está sometido a disputas: Leonardo Maria Del Vecchio intentó en abril comprar el 25 % de dos hermanos (≈10.000 M EUR), dejó sus cargos en el grupo el 25-ago criticando a la dirección y el consejo reafirmó por unanimidad su confianza en Milleri el 9-sep [21, 22, 38]. El 16-oct, Reuters informó de conversaciones iniciales de Delfin con bancos para comprar participaciones de herederos [36]. Hay un consejero independiente coordinador y la comisión de auditoría la preside un independiente con mayoría de independientes [3]. Tras las ventas del 3T, Milleri dijo esperar que la familia recupere la unidad y que Delfin está dispuesto a dialogar con los accionistas; no hay noticia de venta de acciones de EssilorLuxottica [15]. La BDIF no registra operaciones de directivos después del 30-sep [40].</w:t>
      </w:r>
    </w:p>
    <w:p>
      <w:pPr>
        <w:pStyle w:val="Heading2"/>
      </w:pPr>
      <w:r>
        <w:t xml:space="preserve">Señales de alerta</w:t>
      </w:r>
    </w:p>
    <w:p>
      <w:pPr>
        <w:pStyle w:val="ListParagraph"/>
        <w:numPr>
          <w:ilvl w:val="0"/>
          <w:numId w:val="2"/>
        </w:numPr>
        <w:spacing w:after="60"/>
      </w:pPr>
      <w:r>
        <w:t xml:space="preserve">Presidencia y dirección ejecutiva en la misma persona, que preside además al accionista de control [3].</w:t>
      </w:r>
    </w:p>
    <w:p>
      <w:pPr>
        <w:pStyle w:val="ListParagraph"/>
        <w:numPr>
          <w:ilvl w:val="0"/>
          <w:numId w:val="2"/>
        </w:numPr>
        <w:spacing w:after="60"/>
      </w:pPr>
      <w:r>
        <w:t xml:space="preserve">Disputa entre herederos en Delfin y salida de Leonardo Maria Del Vecchio (25-ago-2026) [21].</w:t>
      </w:r>
    </w:p>
    <w:p>
      <w:pPr>
        <w:pStyle w:val="ListParagraph"/>
        <w:numPr>
          <w:ilvl w:val="0"/>
          <w:numId w:val="2"/>
        </w:numPr>
        <w:spacing w:after="60"/>
      </w:pPr>
      <w:r>
        <w:t xml:space="preserve">Investigación de la fiscalía de Milán a Milleri por presunta manipulación de mercado y obstrucción a la supervisión en la operación MPS-Mediobanca (noticia del 27-nov-2025; Delfin niega toda implicación) [32].</w:t>
      </w:r>
    </w:p>
    <w:p>
      <w:pPr>
        <w:pStyle w:val="ListParagraph"/>
        <w:numPr>
          <w:ilvl w:val="0"/>
          <w:numId w:val="2"/>
        </w:numPr>
        <w:spacing w:after="60"/>
      </w:pPr>
      <w:r>
        <w:t xml:space="preserve">Delfin pignoró 5 M de acciones (≈1.100 M EUR) en marzo de 2026 [35].</w:t>
      </w:r>
    </w:p>
    <w:p>
      <w:pPr>
        <w:pStyle w:val="ListParagraph"/>
        <w:numPr>
          <w:ilvl w:val="0"/>
          <w:numId w:val="2"/>
        </w:numPr>
        <w:spacing w:after="60"/>
      </w:pPr>
      <w:r>
        <w:t xml:space="preserve">Forvis Mazars, auditor desde 2007 (19 años); PwC sustituido por EY en 2025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febrero de 2026, con las cuentas de 2025, la empresa sustituyó los objetivos de 2026 (ventas de 27.000-28.000 M EUR y margen operativo ajustado del 19-20 %) por una guía a cinco años: crecimiento «sólido» de las ventas y del beneficio operativo ajustado «ampliamente alineado», a tipo constante [1]. La confirmó en julio [2] y de nuevo el 20-oct con las ventas del 3T (+7,2 % a tipo constante; +8,9 % en nueve meses) [12]. En la conferencia la dirección avisó de una comparación exigente en el 4T (wearables de 1.091 M en el 4T25) sin dar cifra de margen del año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(página del 20-oct, antes de las ventas del 3T): beneficio neto NIIF 2.704 M (BPA NIIF 5,65). BPA ajustado = (beneficio NIIF + 647 M de amortización de compras neta de impuestos de 2025) ÷ 461 M de acciones, estimación propia para comparar en la base del objetivo [42]; Stock Analysis da un BPA 2026e de 7,23 (22-oct, 20 analistas) [58]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(página del 20-oct, antes de las ventas del 3T): beneficio neto NIIF 3.005 M (BPA NIIF 6,23); ajustado con el mismo criterio [42]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(página del 20-oct, antes de las ventas del 3T): beneficio neto NIIF 3.438 M (BPA NIIF 7,09); ajustado con el mismo criterio [42]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139,00 – 305,00</w:t>
            </w:r>
          </w:p>
        </w:tc>
      </w:tr>
    </w:tbl>
    <w:p>
      <w:pPr>
        <w:spacing w:after="160" w:before="0"/>
      </w:pPr>
    </w:p>
    <w:p>
      <w:pPr>
        <w:pStyle w:val="Heading2"/>
      </w:pPr>
      <w:r>
        <w:t xml:space="preserve">Revisiones de estimaciones</w:t>
      </w:r>
    </w:p>
    <w:p>
      <w:pPr>
        <w:spacing w:after="100"/>
      </w:pPr>
      <w:r>
        <w:t xml:space="preserve">Hasta el 3T las revisiones fueron a la baja: Goldman a Neutral (14-jul) [23], Kepler a Reducir con 135 EUR (17-sep) [28], Stifel de 290 a 280 (29-sep) [46], BofA de 237 a 205 (9-oct) [45]. Tras las ventas del 20-oct (7.486 M frente a 7.330 M esperados; +7,2 % frente a +6,3 %) [18] los objetivos se mueven en los dos sentidos: DZ Bank de 275 a 210 (Comprar), UBS de 247 a 244 (Comprar), Jefferies de 250 a 225 (Comprar), Goldman de 165 a 170 (Neutral), RBC 190 (Superior al mercado) [59]; Bernstein 185 (en línea) y sube su BPA un 1,4 % en 2026 y un 3,2 % en 2027; Equita 223 (Comprar) y espera subir un 1 % las ventas del año [14, 15]; Deutsche Bank pasó de Mantener (150-157) a Comprar el 22-oct [57, 60]. El objetivo medio de MarketScreener baja de 221,43 (19-oct) a 215,91 EUR (23-oct, 139-305) porque salen objetivos viejos altos [57]. Las estimaciones de BPA de MarketScreener aún eran las de antes del 3T; Stock Analysis da 7,23 EUR ajustado para 2026 [58].</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Índice: iShares STOXX Europe 600 (EXSA.DE); sector: iShares STOXX Europe 600 Health Care (EXV4.DE); todo en rentabilidad total [41]. EssilorLuxottica pierde un 40,8 % en un año frente al +13,5 % del índice: tras el máximo histórico de 323,80 EUR (13-nov-2025), cayó por la desaceleración de las gafas con IA, la competencia anunciada por Google (−5,6 % el 9-dic-2025) [27], los recortes de objetivos (Goldman en julio, Kepler en septiembre) [23, 28] y la disputa en Delfin [36], hasta el mínimo de 138,30 EUR del 18-sep-2026. Desde ahí rebota un 31 %: +14,3 % el 21-oct con unas ventas del 3T por encima de lo esperado [18] y +3,1 % el 23-oct con la subida del rating de S&amp;P a A+ [13]. Cierre del 23-oct: 181,20 EUR. Caída máxima de cinco años: −55,6 % (nov-2025 a sep-2026). Beta mensual de 5 años 0,93; semanal de 2 años 0,98 [41]. No figuran posiciones cortas por encima del 0,5 % en el registro de la AMF consultado.</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 / +8,9 % / -0,8 % / -43,5 %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 / +29,3 %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Febrero de 2027 (resultados de 2026; fecha no publicada)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Google anuncia gafas con IA para 2026 con sus socios (Warby Parker, Gentle Monster)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causa concreta identificada tras dos búsquedas; mes de −12,7 % tras las cuentas de 2025, en las que la empresa retiró los objetivos de margen de 2026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19-abr a 19-may-2026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1T26 (22-abr): las gafas con IA crecieron a un dígito medio y la acción cayó un 4,8 % al día siguiente [33]; descuento del dividendo de 4,00 EUR el 5-may (≈2 puntos)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23-sep a 23-oct-2026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desde el mínimo del 18-sep: Meta Connect (24-sep, nueva gama de gafas con IA) [34], ventas del 3T26 por encima del consenso (+7,2 % frente a +6,3 %; la acción sube un 14,3 % el 21-oct) [12, 18] y subida del rating de S&amp;P a A+ (23-oct)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 Maria Del Vecchio acuerda comprar a dos hermanos el 25 % de Delfin por ≈10.000 M EUR; la financiación depende de un acuerdo entre los ocho herederos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Delfin compra ≈346.000 acciones entre el 13-may y el 9-jun (168-175 EUR) y ≈241.000 entre el 29-jul y el 3-ago (164-167 EUR); consejeros independientes compran pequeñas cantidades (Zappia 4-jun, Piramal 29-sep) [35,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rebaja a Neutral (objetivo de 230 a 200 EUR) por la desaceleración de las gafas con IA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ventas +9,7 % a tipo constante, beneficio operativo ajustado +15 %, margen del 18,6 %; aviso de base de comparación más dura en el 2S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 Maria Del Vecchio deja todos sus cargos en el grupo (presidente de Ray-Ban y director de estrategia) criticando a la dirección; sigue con el 12,5 % de Delfin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recompra de hasta 5 M de acciones (≈1,1 % del capital)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reafirma por unanimidad su confianza en Milleri y en la estrategia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Kepler Cheuvreux rebaja a Reducir (objetivo de 244 a 135 EUR) y baja su previsión de gafas con IA en 2030 de 38 a 15 millones de unidades; la fiscalía de París investiga grabaciones sin consentimiento con gafas inteligentes (sin acusación a la empresa)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Stifel baja su objetivo de 290 a 280 EUR (Comprar) y espera +5,7 % a tipo constante en el 3T [46]; BofA baja de 237 a 205 EUR (Comprar) el 9-oct [45].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 Connect: Ray-Ban Meta Gen 3, línea sin cámara Ray-Ban Meta Audio y más de 100 modelos de gafas con IA a final de año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Delfin tiene conversaciones iniciales con bancos para financiar la compra de participaciones de uno o varios herederos, con los dividendos de EssilorLuxottica o la venta de sus participaciones en MPS o Generali; no se menciona vender acciones de EssilorLuxottica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7.486 M EUR, +7,2 % a tipo constante (+6,3 % esperado); guía a cinco años confirmada; la dirección avisa de un 4T exigente [12, 14,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 objetivo tras el 3T: DZ Bank 275→210, UBS 247→244, Jefferies 250→225, Goldman 165→170 (Neutral), RBC 190, Bernstein 185, Equita 223; Deutsche Bank sube a Comprar el 22-oct [14, 57, 59, 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sube el rating a largo plazo a A+ (perspectiva estable)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24,9 % en un mes y un 31 % desde el mínimo del 18-sep (138,30 EUR), pero aún pierde un 43,5 % en un año y está un 3,2 % por debajo de la media de 200 sesiones; no hay avisos P. La subida tiene causa con fuente: Meta Connect (24-sep), unas ventas del 3T por encima del consenso (+7,2 % frente a +6,3 %; +14,3 % el 21-oct) y la subida del rating de S&amp;P a A+ (23-oct) [13, 18, 34]. No hay colocación, ampliación ni oferta pendiente: la BDIF no registra ventas de directivos y las conversaciones de Delfin con bancos (16-oct) hablan de financiar con dividendos o con MPS y Generali, no vendiendo acciones de EssilorLuxottica [36, 40]. Los próximos resultados son en febrero de 2027.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Con el BPA publicado (que lleva unos 1,4 EUR por acción de amortización de compras), el PER de los últimos 12 meses es de 33,9 veces frente a 34,3-56,4 en los cierres de 2021-2025, y el EV/EBITDA de 14,5 veces frente a 13,8-20,3 (media 18,3): tras el rebote, sigue en la parte baja de la serie (percentil 20). La comparación útil es en BPA ajustado: 22,7 veces nuestro BPA de 2027e, frente a una historia adelantada de 25,3-36,6 veces (mediana 28,5) en 2021-2025. El cambio no es solo de humor: en 2024-2025 el mercado pagó las gafas con IA como un negocio tecnológico de alto crecimiento, y hoy las paga como una línea de menor margen con competencia. 2020 queda fuera de la serie (beneficio hundido por la pandemia).</w:t>
      </w:r>
    </w:p>
    <w:p>
      <w:pPr>
        <w:pStyle w:val="Heading1"/>
      </w:pPr>
      <w:r>
        <w:t xml:space="preserve">18. Comparables cotizados</w:t>
      </w:r>
    </w:p>
    <w:p>
      <w:pPr>
        <w:pStyle w:val="Confianza"/>
        <w:spacing w:after="100"/>
      </w:pPr>
      <w:r>
        <w:t xml:space="preserve">Confianza: Media</w:t>
      </w:r>
    </w:p>
    <w:p>
      <w:pPr>
        <w:spacing w:after="100"/>
      </w:pPr>
      <w:r>
        <w:t xml:space="preserve">Ocho cotizadas de salud visual, auditiva y dental de consumo: Hoya (2.º en lentes), Alcon y Cooper (lentes de contacto, cirugía ocular, control de miopía), Fielmann (cadena óptica), Sonova y Demant (audición: mismo modelo de fabricante con red propia), Straumann (implantes dentales, marca premium con canal profesional) y Coloplast (consumibles sanitarios). No hay un comparable puro de monturas de marca cotizado y líquido (Safilo es pequeño y de otro perfil). Cifras de los informes del repo (9-14 oct), llevadas al cierre del 23-oct de Yahoo con la misma deuda neta y convertidas a EUR con los tipos del BCE del 23-oct (USD 1,1193; JPY 175,51; CHF 0,9227; DKK 7,4748) [29, 30, 31, 43, 44, 53, 54, 55]. El PER es el de cada informe, en la base de cada empresa (Hoya, Sonova, Demant, Cooper y Alcon, ajustado).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Straumann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13,7x / 14,2x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 / 15,4x / 18,4x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 / 20,8x / 25,9x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 / 4,3x / 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rPr>
        <w:t xml:space="preserve">Regresión EV/EBITDA NTM sobre crecimiento</w:t>
      </w:r>
      <w:r>
        <w:t xml:space="preserve"> (5 comparables): múltiplo = 8,7 + 0,57 × crecimiento; R² = 0,20. El crecimiento explica poco los múltiplos de estos comparables (R² &lt; 0,3): la regresión no se usa en la valoración.</w:t>
      </w:r>
    </w:p>
    <w:p>
      <w:pPr>
        <w:spacing w:after="100"/>
      </w:pPr>
      <w:r>
        <w:t xml:space="preserve">EssilorLuxottica cotiza a 14,5 veces el EBITDA de los últimos 12 meses y 12,7 veces el de los próximos, por debajo de la mediana de sus comparables (15,4x y 13,7x), y a 23,2 veces el BPA ajustado de los próximos 12 meses frente a 20,8 veces de mediana [29, 30, 31, 53, 54, 55]: tras el rebote ya no está barata por PER. El descuento en EV/EBITDA se explica por el ROIC: 5,4 % con fondo de comercio frente al 12,9 % de mediana, y por un margen EBITDA menor (23,3 % frente al 28,3 %), propio de un grupo con 15.695 tiendas propias [12]. Por crecimiento (7,1 % en los próximos 12 meses frente a 6,9 % de mediana) está en línea. Hoya (33,2x PER) cotiza con prima por sus semiconductores; Fielmann (14,7x) es el minorista puro. Por PER los comparables dan 161,90 EUR (−10,7 %) y por EV/EBITDA de los próximos 12 meses 197,45 EUR (+9,0 %): el mercado ya le da un múltiplo de grupo de salud de consumo medio, no de líder con prima. La regresión no explica nada (R² 0,20)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(audífonos)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M EUR sin caja ni deuda; ventas ≈1.000 M y EBITDA ajustado ≈220 M EUR, sin sinergias [47].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 (tecnología médica)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EBITDA ajustado de 1.339,7 M USD [48].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1.750 M USD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bancos de células; ventas ≈250 M USD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(cadena óptica de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proforma de 171,4 M EUR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GrandVision (76,72 %)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EUR por acción; el 76,72 % costaba unos 5.500 M EUR con 3.700 M EUR de ventas; sin valor empresa ni EBITDA publicados [25].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112,63 – 250,62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dos operaciones con EBITDA publicado se pagaron a 10,5 y 13,7 veces, por encima de lo que hoy paga el mercado por EssilorLuxottica (unas 14 veces el EBITDA de los últimos 12 meses a 181,20 EUR) [47, 48]. Con Delfin al 32,4 % y una capitalización de casi 70.000 M EUR, una opa es improbable: las disputas en Delfin pueden cambiar quién manda en el holding, no el control de la cotizada. Las transacciones no entran en la valoración (peso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2026e con un +6,0 % publicado (fijo: tres trimestres cerrados; nueve meses a +6,8 % publicado y +8,9 % a tipo constante, y un 4T que compara con un 4T25 de +18,4 %; suponemos ≈+4 % en el 4T) [12], algo por encima del consenso anterior al 3T (30.080 M) [42] y en línea con la subida de ≈1 % que espera Equita [14]. Para 2027-28 usamos 6,5 % y 6,0 %, por debajo del consenso (+8,1 % en 2027) y del crecimiento a tipo constante de 2024-2026 (6-11 %), porque suponemos que las gafas con IA crecen menos (+20 % en el 3T frente a casi +100 % en el 2T) [12]. Bajamos al 3 % en 2034-35. La media de la proyección es del 4,7 %.</w:t>
      </w:r>
    </w:p>
    <w:p>
      <w:pPr>
        <w:keepNext/>
        <w:spacing w:after="100"/>
      </w:pPr>
      <w:r>
        <w:rPr>
          <w:b/>
          <w:bCs/>
        </w:rPr>
        <w:t xml:space="preserve">Márgenes.</w:t>
      </w:r>
    </w:p>
    <w:p>
      <w:pPr>
        <w:spacing w:after="100"/>
      </w:pPr>
      <w:r>
        <w:t xml:space="preserve">El margen EBITDA publicado fue del 24,7 % en 2024, del 22,8 % en 2025 (aranceles, mezcla de gafas con IA y 249 M de no recurrentes) y del 26,2 % en el 1S26, el semestre fuerte [1, 2]. Usamos el 24,1 % en 2026 y el 24,4 % desde 2028: un margen operativo ajustado del 16,4-16,7 %, frente al 15,7 % de 2025 y la guía de un beneficio operativo que crece «ampliamente alineado» con las ventas, confirmada el 20-oct [1, 12]. No volvemos al objetivo retirado del 19-20 %. Los gastos no recurrentes, que se repiten cada año, quedan dentro del margen.</w:t>
      </w:r>
    </w:p>
    <w:p>
      <w:pPr>
        <w:keepNext/>
        <w:spacing w:after="100"/>
      </w:pPr>
      <w:r>
        <w:rPr>
          <w:b/>
          <w:bCs/>
        </w:rPr>
        <w:t xml:space="preserve">Inversión y circulante.</w:t>
      </w:r>
    </w:p>
    <w:p>
      <w:pPr>
        <w:spacing w:after="100"/>
      </w:pPr>
      <w:r>
        <w:t xml:space="preserve">La amortización (10,5 % de las ventas en 2026e) incluye unos 2,8 puntos de amortización de compras (830 M en 2025, 415 M en el 1S26), que no hay que reponer; baja al 8,6 % en 2035, aún con algo de ella [1, 2]. El capex (9,0 %) suma el del estado de flujos (5,4 % de las ventas en 2025) y las altas de derechos de uso (3,7 %), porque los arrendamientos van en la deuda del puente [3]. El circulante se mantiene en su nivel real, el 15 % de las ventas (existencias 3.542 + clientes 3.638 − proveedores 2.883 en 2025: 15,1 %) [3]: crece con las ventas y consume caja cada año (233 M en 2026e). Impuesto del 24,5 % (24,0 % en el 1S26) [2].</w:t>
      </w:r>
    </w:p>
    <w:p>
      <w:pPr>
        <w:keepNext/>
        <w:spacing w:after="100"/>
      </w:pPr>
      <w:r>
        <w:rPr>
          <w:b/>
          <w:bCs/>
        </w:rPr>
        <w:t xml:space="preserve">Coste del capital.</w:t>
      </w:r>
    </w:p>
    <w:p>
      <w:pPr>
        <w:spacing w:after="100"/>
      </w:pPr>
      <w:r>
        <w:t xml:space="preserve">Bund a 10 años del 3,39 % (23-oct-2026) [44]; beta de 0,95: la ajustada de la regresión mensual de cinco años de la propia acción frente al STOXX 600 (bruta 0,93; semanal de dos años 0,98), que ya lleva el apalancamiento de la empresa y no se copia de un comparable [41]; prima de mercado del 5,5 %; sin prima adicional (vende en todo el mundo). Coste de la deuda del 3,5 % antes de impuestos, coherente con el A+ de S&amp;P [13], y peso de la deuda del 14 % (13.385 M de deuda neta con arrendamientos sobre 96.450 M de capitalización más deuda) [2]. WACC del 7,78 %. Con la prima implícita del mercado (4,2 %) el WACC baja al 6,72 % [56].</w:t>
      </w:r>
    </w:p>
    <w:p>
      <w:pPr>
        <w:keepNext/>
        <w:spacing w:after="100"/>
      </w:pPr>
      <w:r>
        <w:rPr>
          <w:b/>
          <w:bCs/>
        </w:rPr>
        <w:t xml:space="preserve">Valor terminal.</w:t>
      </w:r>
    </w:p>
    <w:p>
      <w:pPr>
        <w:spacing w:after="100"/>
      </w:pPr>
      <w:r>
        <w:t xml:space="preserve">Gordon con un 2,5 % de crecimiento: inflación del euro del 2 % más medio punto real, por debajo de la tasa libre (3,39 %). El valor terminal pesa el 64 % del valor. Implica 9,0 veces el EBITDA final, por debajo de lo que hoy pagan el mercado (14,5x) y los comparables (15,4x) [29, 30, 31, 53, 54, 55]: el terminal es prudente, y la distancia con el precio sale de ahí y del WACC.</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182,79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(reinvierte el 85 %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(histórico: 16,5 %)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 frente al 4,7 %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414 M, el 1 % del NOPAT, con un capex bruto medio del 8,9 % de las ventas). En un negocio de activos ligeros, el crecimiento medio del 4,7 %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meses a +8,9 % a tipo constante (volumen de tiendas, miopía +24 %, Top Charoen desde abril, wearables +20 % en el 3T) y precio y mezcla en lentes; el 4T compara con +18,4 %; el dólar resta unos 2 puntos en el año [2,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(lentes, tiendas propias, gafas con IA a menor ritmo), 2,5 % de precio y medio punto de compras pequeñas en Asia.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y precio del 2,5 %, por debajo del 6-11 % a tipo constante de 2024-2026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al 3 %; precio en línea con la inflación más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2,5 % (envejecimiento y miopía) y precio del 2,5 %.</w:t>
            </w:r>
          </w:p>
        </w:tc>
      </w:tr>
    </w:tbl>
    <w:p>
      <w:pPr>
        <w:spacing w:after="160" w:before="0"/>
      </w:pPr>
    </w:p>
    <w:p>
      <w:pPr>
        <w:spacing w:after="100"/>
      </w:pPr>
      <w:r>
        <w:t xml:space="preserve">La proyección pide un 4,7 % de crecimiento medio (4,6 % en los años no fijos, 2027-2035), por debajo de lo que la empresa ha hecho sin compras (6,0 % en 2024, 11,2 % en 2025 y 8,9 % en nueve meses de 2026 a tipo constante, con el negocio sin wearables al 6,3 %) y del 5,5 % que se espera para su mercado [1, 12, 19, 20]. Como la reinversión neta es casi nula, el motor no hace la prueba; la hacemos a mano: con la reinversión bruta (capex con derechos de uso del 9 % frente a una amortización ordinaria del 7,7 %) el crecimiento financiable es del 4,6 %, igual al de los años no fijos, y el ROIC que supone la proyección (7,1 % bruto) está por debajo del incremental histórico (16,5 %). El poder de precio está demostrado (margen bruto del 63,5 % en el 1S26; volumen y precio-mezcla positivos en el negocio tradicional en el 3T) y el foso en lentes es amplio [2, 12]. La cuota (≈17 % del gasto mundial en óptica) no necesita subir. El riesgo está en las gafas con IA, no en el núcleo.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 (base: 24,4 %)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 (WACC: 7,8 %)</w:t>
            </w:r>
          </w:p>
        </w:tc>
      </w:tr>
    </w:tbl>
    <w:p>
      <w:pPr>
        <w:spacing w:after="160" w:before="0"/>
      </w:pPr>
    </w:p>
    <w:p>
      <w:pPr>
        <w:spacing w:after="100"/>
      </w:pPr>
      <w:r>
        <w:t xml:space="preserve">El DCF da 135,49 EUR por acción (rango de 112,78 a 168,61 con el WACC y el crecimiento terminal ±0,5 puntos), un 25,2 % por debajo del precio, con el valor terminal en el 64 %. El DCF inverso dice que a 181,20 EUR el mercado descuenta un crecimiento anual del 8,6 % en 2027-2035 con nuestro margen (frente al 4,6 % nuestro y al 5,5 % previsto para su mercado), o un margen EBITDA del 28,4 % con nuestro crecimiento (24,4 % nuestro), o una rentabilidad implícita del 6,7 %, por debajo de nuestro WACC (7,78 %) e igual a la que pide hoy el mercado (6,72 %). Es decir: tras el rebote, el precio está en el valor que da la prima del mercado (DCF de 178,46 EUR con ella), pero exige un crecimiento casi el doble del nuestro con nuestro coste del capital. El rebote no ha cambiado los flujos: el DCF solo sube de 133,19 a 135,49 EUR frente al 19-oct (tasa libre del 3,39 % frente al 3,49 %, beta 0,95 frente a 0,97 y un 2026e algo mayor), mientras el precio sube un 19,2 %.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gafas con IA se estancan ante Google, Samsung y Apple, los aranceles vuelven y el consumo flojea: el crecimiento cae 2,5 puntos al año y el margen EBITDA 1,5 puntos, como en 2025, cuando los aranceles y la mezcla le quitaron 70 pb de margen ajustado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núcleo de lentes y tiendas crece al 5-6 % con precio y mezcla (6,5 % en el 3T26), las gafas con IA crecen más despacio y el margen operativo ajustado se queda en el 16,5-17 %, en línea con la guía [12].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gafas con IA y el control de miopía mantienen el crecimiento cerca del 8 % y el margen operativo ajustado sube hacia el 17,5 %, sin llegar al objetivo antiguo del 19-20 %.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181,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126,95 EUR (-29,9 %).</w:t>
      </w:r>
    </w:p>
    <w:p>
      <w:pPr>
        <w:spacing w:after="100"/>
      </w:pPr>
      <w:r>
        <w:t xml:space="preserve">En el DCF el bajista (90,71 EUR) pierde un 49,9 % y el alcista (159,97 EUR) también pierde, un 11,7 %: con nuestro WACC no hay asimetría a favor (−0,23 veces). A 12 meses, con el PER de la regla común, la asimetría es otra (bajista −17,0 %, alcista +56,4 %), porque el múltiplo actual (22,7 veces el BPA ajustado de 2027e) sigue por debajo de la mediana de cinco años (28,5 veces). Las dos lecturas no se contradicen: la acción puede subir algo en un año si el mercado sigue devolviéndole múltiplo, pero su valor por flujos con un coste del capital del 7,8 % está muy por debajo del precio. El bajista pesa un 30 % porque el 4T compara con un trimestre récord de gafas con IA y Google lanza este otoño.</w:t>
      </w:r>
    </w:p>
    <w:p>
      <w:pPr>
        <w:pStyle w:val="Heading1"/>
      </w:pPr>
      <w:r>
        <w:t xml:space="preserve">22. Suma de partes</w:t>
      </w:r>
    </w:p>
    <w:p>
      <w:pPr>
        <w:pStyle w:val="Confianza"/>
        <w:spacing w:after="100"/>
      </w:pPr>
      <w:r>
        <w:t xml:space="preserve">Confianza: Media</w:t>
      </w:r>
    </w:p>
    <w:p>
      <w:pPr>
        <w:spacing w:after="100"/>
      </w:pPr>
      <w:r>
        <w:t xml:space="preserve">No aplica: los segmentos (Professional Solutions y Direct to Consumer) no publican resultado y comparten marcas y fábricas; las gafas con IA no se desglosan.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181,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132,07 EUR (-27,1 % sobre 181,20).</w:t>
      </w:r>
    </w:p>
    <w:p>
      <w:pPr>
        <w:spacing w:after="100"/>
      </w:pPr>
      <w:r>
        <w:t xml:space="preserve">Pesos: DCF 60 % y escenarios 40 %, sin comparables ni transacciones. El DCF es el método más fiable para un negocio estable que genera caja (2.796 M de flujo libre en 2025) [1]; los escenarios recogen el riesgo de las gafas con IA. Los comparables no pesan porque su PER está en bases distintas y su ROIC (mediana 12,9 %) no es el de un grupo con 40.766 M de fondo de comercio e intangibles; dan 142-206 EUR por PER y EV/EBITDA de los próximos 12 meses. Las transacciones (113-251 EUR) llevan prima de control y Delfin impide una opa. La dispersión es amplia: del bajista del DCF (91 EUR) al EV/Ventas de comparables (238 EUR); los métodos sin prima de control se reparten entre 127 EUR (escenarios) y 197 EUR (EV/EBITDA de comparables), y solo el DCF con la prima del mercado (178,46) se acerca al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(22.7x) × 1.1 (tope: la mediana de 5 años, 28.5x,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+56,4 %</w:t>
            </w:r>
          </w:p>
        </w:tc>
      </w:tr>
    </w:tbl>
    <w:p>
      <w:pPr>
        <w:spacing w:after="160" w:before="0"/>
      </w:pPr>
    </w:p>
    <w:p>
      <w:pPr>
        <w:spacing w:after="100"/>
      </w:pPr>
      <w:r>
        <w:rPr>
          <w:b/>
          <w:bCs/>
        </w:rPr>
        <w:t xml:space="preserve">Objetivo a 12 meses (ponderado):</w:t>
      </w:r>
      <w:r>
        <w:t xml:space="preserve"> 206,67 EUR · rentabilidad +16,3 % (base +20,2 %) · señal Mantener.</w:t>
      </w:r>
    </w:p>
    <w:p>
      <w:pPr>
        <w:spacing w:after="100"/>
      </w:pPr>
      <w:r>
        <w:t xml:space="preserve">Para comparar, con la regla v2 (historia al cierre, mismo precio): 19,3x / 22,7x / 29,5x, 9,2 % Mantener; con el tope anterior del base (×1,3, 14-oct mediodía): 17,6 %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2027e (7,99 EUR) coincide con el consenso pasado a ajustado (7,92) y el de 2028e (8,55) queda un 3,5 % por debajo (8,86) [42]; el de 2026e (7,38) está un 2 % por encima del de Stock Analysis (7,23) [58]. Suponemos un crecimiento de ventas menor en 2027-28 (6,0-6,5 % frente al 7,4-8,1 % del consenso), con un margen parecido. Nuestro precio base (213,75 EUR) queda un 1,0 % por debajo del objetivo medio de los 23 analistas de MarketScreener (215,91; 139-305) [57]: tras el rebote, el múltiplo de la regla (25,0 veces el BPA ajustado de 2028e) ya se parece al que implica el consenso. Los objetivos revisados tras el 3T van de 170 (Goldman) a 244 (UBS) [59].</w:t>
      </w:r>
    </w:p>
    <w:p>
      <w:pPr>
        <w:keepNext/>
        <w:spacing w:after="100"/>
      </w:pPr>
      <w:r>
        <w:rPr>
          <w:b/>
          <w:bCs/>
        </w:rPr>
        <w:t xml:space="preserve">Del valor intrínseco al objetivo a 12 meses.</w:t>
      </w:r>
    </w:p>
    <w:p>
      <w:pPr>
        <w:spacing w:after="100"/>
      </w:pPr>
      <w:r>
        <w:t xml:space="preserve">Con la regla común (v3), el objetivo ponderado es de 206,67 EUR (+16,3 % con el dividendo) y el base de 213,75 (+20,2 %): pasan los umbrales a 12 meses, pero el valor intrínseco (132,07 EUR) está un 27,1 % por debajo del precio, así que la regla dice Mantener. El objetivo sube de 178,13 a 206,67 EUR frente al 19-oct casi solo por el precio: la regla ancla el múltiplo del base al PER actual (22,7 veces, con el tope de ×1,1 a 25,0 veces), y el BPA de 2028e apenas cambia (8,55 frente a 8,51). La distancia entre el objetivo a 12 meses y el valor intrínseco (56 %) es muy grande: el primero supone que el mercado paga dentro de un año 25 veces un beneficio que crece; el segundo, que con un coste del capital del 7,8 % los flujos no justifican ni el precio de hoy. Con la prima implícita del mercado (4,2 %) el valor intrínseco sube a 173,75 EUR, aún un 4,1 % bajo el precio. Lo que cerraría la distancia es un margen que vuelva a crecer más que las ventas (señal: resultados de 2026 en febrero de 2027).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de J.P. Morgan de lujo y marcas en París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señales del 4T y de la campaña de Navidad de las gafas con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Otoño-invierno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las gafas con IA de Google con sus socios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ventaja de la alianza con Meta; Bernstein avisa de que afectaría primero al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año y ventas del 4T frente a un 4T25 de +18,4 %; un margen que crece más que las ventas cambiaría el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del capital de Delfin (compra de participaciones de herederos con financiación bancaria)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paga con dividendos, presión por repartir más; si se exigieran ventas de acciones de EssilorLuxottica, riesgo de colocación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 consejo y voto de la remuneración tras la salida de Leonardo Maria Del Vecchio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hasta 5 M de acciones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 del capital; apoyo al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las gafas con IA y competencia de Google, Samsung y Apple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(bajista del DCF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Meta, marcas Ray-Ban y Oakley y red de distribución; el núcleo crece al 6,5 % sin ellas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Wearables en caída interanual en el 4T26 o crecimiento a tipo constante por debajo del 5 % [12]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Rebote por delante de los fundamentales: el precio sube un 19 % en una semana con el BPA casi igual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(bajista a 12 meses de la regla)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(22,7x) sigue bajo su mediana de cinco años (28,5x)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4T por debajo del consenso o recortes de BPA tras la conferencia de noviembre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disputas entre herederos en Delfin y concentración de poder en Milleri, investigado en Milán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(descuento de gobierno)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reafirmó su confianza por unanimidad (9-sep) y Delfin compra acciones [22,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Milleri sin sucesor o cambio en el consejo de Delfin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Colocación de acciones por Delfin o por herederos para financiar la reorganización del holding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hablada es bancaria, con dividendos o venta de MPS y Generali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pignoraciones o anuncio de colocación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100 pb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y producción local [33]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a tipo constante y publicado superior a 4 puntos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baja del capital total (ROIC del 5,4 %, bajo el WACC) y compras fuera del núcleo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Limita el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2.796 M y recompras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compras grandes fuera de la óptica (como Supreme)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Privacidad y regulación de las gafas inteligentes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con avisos de grabación; responsabilidad compartida con Meta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Prohibiciones en espacios públicos o investigaciones a la empresa (hoy solo a usuarios) [28]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 del fondo de comercio (31.013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en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los negocios comprados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ventas comparables en GrandVision o Supreme</w:t>
            </w:r>
          </w:p>
        </w:tc>
      </w:tr>
    </w:tbl>
    <w:p>
      <w:pPr>
        <w:spacing w:after="160" w:before="0"/>
      </w:pPr>
    </w:p>
    <w:p>
      <w:pPr>
        <w:pStyle w:val="Heading2"/>
      </w:pPr>
      <w:r>
        <w:t xml:space="preserve">Pre-mortem</w:t>
      </w:r>
    </w:p>
    <w:p>
      <w:pPr>
        <w:spacing w:after="100"/>
      </w:pPr>
      <w:r>
        <w:t xml:space="preserve">Es octubre de 2029 y la acción vale 110 EUR. El rebote de octubre de 2026 duró hasta febrero: el 4T comparó con un trimestre récord de gafas con IA y las de Google con sus socios, y después las de Apple, se comieron la gama media en 2027-28; Meta abrió su plataforma a otros fabricantes y las ventas de wearables cayeron, dejando existencias. A la vez, la reorganización de Delfin terminó con un heredero vendiendo un paquete con descuento y un relevo en la dirección que paralizó las decisiones un año. El núcleo de lentes siguió creciendo al 4-5 %, pero los aranceles volvieron por otra vía y el margen operativo ajustado bajó al 15 %; con el ROIC por debajo del coste del capital, el mercado dejó de pagar 23 veces el beneficio y pasó a 16. La señal temprana fue un 4T26 con wearables en caída y un crecimiento a tipo constante por debajo del 5 %, y las pignoraciones de acciones en Delfin.</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+10 %</w:t>
      </w:r>
    </w:p>
    <w:p>
      <w:pPr>
        <w:spacing w:after="100"/>
      </w:pPr>
      <w:r>
        <w:t xml:space="preserve">La IA toca al grupo por dos lados. Como oportunidad, las gafas con IA (Ray-Ban Meta, Oakley Meta) son la línea que más creció en 2025 (1.796 M EUR de wearables) y siguen creciendo (+20 % en el 3T26, 486 M), aunque con menor margen; la empresa las fabrica, distribuye y amplía con Meta (Ray-Ban Meta Gen 3 y la línea sin cámara anunciadas el 24-sep) [12, 34]. Como amenaza, convierten la montura en un dispositivo donde mandan las plataformas: Google, Samsung y Apple pueden llevarse el valor con otros fabricantes o con los suyos, y Meta podría reducir la exclusividad. El núcleo (lentes graduadas, tiendas) es poco sustituible por la IA, que sí ayuda en diagnóstico y en la venta (el 60 % de las gafas con IA vendidas en sus tiendas lleva Transitions) [15]. Señal: el peso de los wearables en el crecimiento y su margen; un acuerdo de Meta con otro fabricante.</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materiales son la gobernanza (control de Delfin, disputas entre herederos y entre Leonardo Maria Del Vecchio y el presidente y consejero delegado Francesco Milleri en 2026), la privacidad de los datos de las gafas con IA y la cadena de suministro en China e Italia, expuesta a aranceles [21, 22, 28]. El grupo publica su estado de sostenibilidad en el documento de registro universal (programa Eyes on the Planet) [3]. No hemos encontrado calificaciones ESG recientes en fuentes abiertas.</w:t>
      </w:r>
    </w:p>
    <w:p>
      <w:pPr>
        <w:pStyle w:val="Heading2"/>
      </w:pPr>
      <w:r>
        <w:t xml:space="preserve">Controversias</w:t>
      </w:r>
    </w:p>
    <w:p>
      <w:pPr>
        <w:spacing w:after="100"/>
      </w:pPr>
      <w:r>
        <w:t xml:space="preserve">En 2026: disputa en el holding Delfin sobre el control y sobre Milleri; dimisión de Leonardo Maria Del Vecchio de todos sus cargos en el grupo (25-ago) [21]; investigación de la fiscalía de Milán a Milleri por presunta manipulación de mercado y obstrucción en la operación MPS-Mediobanca (noticia del 27-nov-2025; Delfin niega toda implicación de sus miembros) [32]; investigación de la fiscalía de París por grabaciones sin consentimiento con gafas inteligentes, sin acusación contra la empresa (septiembre de 2026) [28]. El consejo de EssilorLuxottica reafirmó por unanimidad su confianza en Milleri el 9-sep-2026 [22].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beneficio operativo de 2026 dan los wearables, y con qué margen frente al del grupo?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 la empresa ya da sus ventas (1.261 M en nueve meses), pero no su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esperan que caigan las ventas de wearables en el 4T frente a los 1.091 M del 4T25?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corto plazo del rebote.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ajustado espera la dirección a cinco años, ahora que la guía es cualitativa?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distancia entre el DCF y el precio se cierra con margen, no con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afecta a EssilorLuxottica la reorganización del capital de Delfin, y hay compromiso de no vender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accionista de control y su financiación son el riesgo de colocación.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Supreme, Optegra y Top Charoen y qué criterio de ROIC aplican a las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capital total está por debajo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exclusividad y duración tiene el acuerdo con Meta?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plataforma es de Meta; el riesgo de que abra el acuerdo no está cuantificado.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EssilorLuxottica (hilos abiertos del 21 al 24-oct)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las ventas del 3T dominan los hilos de euforia («Si haut si vite», «Tout le monde à l'achat», recompras de cortos el 21-oct) y críticas a Kepler por su rebaja a 135 EUR; una minoría avisa de que el rebote es rápido y de que el valor es «el diésel de los viejos»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de septiembre sobre la rebaja de Kepler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acción en mínimos, unos veían la valoración «a precio de saldo» y otros se quejaban del gobierno y de la subida de la remuneración del presidente; varios preferían LVMH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 de artículos de autores independientes, RSS)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tras el 3T («Q3 Confirms Core Strength, Buy Confirmed») y el de septiembre sobre «ruido de gobierno» y opcionalidad de Armani ven la caída como excesiva [64].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italiana (Il Sole 24 Ore, Forbes Italia)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Celebran el rebote del 14 %, pero recogen la cautela de Deutsche Bank y Bernstein por el 4T y por la competencia de Google, y la crítica de Leonardo Maria Del Vecchio a la dirección [14,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suelo ya pasó: rebote tras el 3T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 batió el consenso (+7,2 % frente a +6,3 %) y el negocio sin wearables crece un 6,5 %; pero la acción sube un 31 % desde el mínimo, más que lo que han subido las estimaciones (Bernstein +1-3 % de BPA).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gafas con IA: motor o trampa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wearables pasaron de casi +100 % en el 2T a +20 % en el 3T y el 4T compara con 1.091 M; Google lanza este otoño. Nuestro base no depende de ellas.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 desacreditados (Kepler)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critican la rebaja a 135 EUR de Kepler; el consenso (23 analistas, 19 en Comprar) ya era comprador, y tras el 3T se mueven objetivos en los dos sentidos (DZ Bank baja a 210, Deutsche Bank sube a Comprar).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y remuneración del presidente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 Milleri cobró 20,09 M EUR en 2025 (+23 %) con el margen a la baja, y la disputa en Delfin sigue abierta; lo recogemos en gobierno y riesgos.</w:t>
            </w:r>
          </w:p>
        </w:tc>
      </w:tr>
    </w:tbl>
    <w:p>
      <w:pPr>
        <w:spacing w:after="160" w:before="0"/>
      </w:pPr>
    </w:p>
    <w:p>
      <w:pPr>
        <w:spacing w:after="100"/>
      </w:pPr>
      <w:r>
        <w:t xml:space="preserve">El tono ha pasado de cansado a eufórico en una semana: el foro francés celebra el rebote y ataca a los analistas bajistas, y la prensa recoge que el negocio tradicional aguanta. No es una señal de compra: es la reacción a un trimestre mejor de lo esperado tras una caída del 57 %, y llega cuando la acción ya ha subido un 31 % desde el mínimo y el 4T compara con un trimestre récord de gafas con IA. Lo que aporta a la decisión es la asimetría del sentimiento: el particular descuenta la recuperación y apenas habla de Google ni del 4T, que es el riesgo de corto plazo que más pesa en el informe.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64 (32 primarias); citas distintas en el texto: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15,0 % frente a 15,1 % real: genera una variación de circulante de 233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0,20: el crecimiento no explica los múltiplos de estos comparables; no uses el valor de la regresión. Explicación: R² de 0,20 con cinco comparables: la regresión no se usa; los comparables mezclan óptica, audición, dental y consumibles, y su múltiplo depende más del ROIC que del crecimiento.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fuentes (32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17, 52, 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 vencimientos, coste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texto del DEU 2025 (ESEF) extraído: la nota de deuda no se separa bien en el texto; 2) comunicado del 1S26: solo deuda neta y coste de la deuda neta (111 M en el semestre); 3) comunicado de S&amp;P del 23-oct: sin calendario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3T26: solo ventas; 2) semestres: sí, usados; 3) proveedores de datos: semestrales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Sustituido por semestres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(webcast, sin texto); 2) Seeking Alpha: bloqueado por robots; 3) prensa que cubrió la conferencia (Il Sole 24 Ore, Forbes Italia, Option Finance): usada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Sustituido por la prensa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DEU 2025: describe el mercado sin serie; 2) estudios de mercado: rangos de 161.000-222.000 M USD sin serie homogénea; 3) Vision Council: sin cifra mundial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DEU 2025: menciona índices sin calificación con fecha; 2) búsqueda MSCI/Sustainalytics: sin resultado abierto;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Votaciones de remuneración de las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DEU 2025: no recoge el acta de 2026; 2) web de la empresa (página de juntas): 404 desde la nube; 3) búsqueda del resultado de votos de la junta del 28-abr-2026: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nombramiento de cada consejero independiente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DEU 2025 en texto extraído del ESEF: tablas partidas; 2) comunicados de juntas; 3)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y causa de la caída del 27-feb-2026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AMF: sin declaraciones por encima del 0,5 % leídas; 2) búsqueda en francés de la sesión del 27-feb; 3) búsqueda en inglés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BPA ajustado y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BPA NIIF y aún de antes del 3T; 2) Stock Analysis: BPA ajustado solo de 2026e (7,23) gratis; 3) web de la empresa (consenso compilado):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con el ajuste de amortización de compras de 2025; 2026e contrastado con Stock Analysis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getquin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Stocktwits (ESLOY): sin mensajes devueltos; 2) getquin: la ficha no muestra los mensajes sin sesión; 3) Seeking Alpha: solo titulares (comentarios de pago); Boursorama sí, usado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Q4/FY 2025 Results – Press Release (con estados financieros resumidos)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https://www.essilorluxottica.com/cap/content/283060/?_iframe=true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Q2/H1 2026 results: solid revenue trajectory at 9.7% in H1 (comunicado depositado en la AMF, 36 páginas)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 (AMF, información regulada)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https://echanges.dila.gouv.fr/OPENDATA/AMF/MKW/2026/07/FCMKW114841_20260728.pdf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(paquete ESEF, D.26-0067)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https://bdif.amf-france.org/back/api/v1/documents/2026/D.26-0067/0D68313E89A3B969F30FC93636A5F593D5C83740DCE94719A81161AF47F6C7EB.zip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informe anual 2021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https://filings.xbrl.org/549300M3VH1A3ER1TB49/2021-12-31/ESEF/FR/0/el-2021-12-31AR/reports/el-2021-12-31AR.xhtml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2024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https://www.essilorluxottica.com/cap/content/245084/?_iframe=true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2023 Results (comunicado depositado en la AMF,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(AMF, información regulada)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https://echanges.dila.gouv.fr/OPENDATA/AMF/MKW/2024/02/FCMKW113830_20240214.pdf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informes anuales 2022-2024 (ESEF, extraídos con 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https://filings.xbrl.org/549300M3VH1A3ER1TB49/2024-12-31/ESEF/FR/0/el-2024-12-31-0-fr/reports/el-2024-12-31-0-fr.xhtml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Q1 2026 revenue: revenue rising 10.8% in Q1 (copia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Santé log / 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https://www.santelog.com/actualites-sante-nasdaq/essilorluxottica-q1-2026-revenue-revenue-rising-108-q1-third-consecutive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Third-Quarter 2026 Revenue Conference Call Invitation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https://mfn.se/one/a/essilorluxottica/essilorluxottica-third-quarter-2026-revenue-conference-call-invitation-b9fa187e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announces the launch of a share buyback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https://mfn.se/one/a/essilorluxottica/essilorluxottica-announces-the-launch-of-a-share-buyback-program-b2aec348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Outstanding as of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https://mfn.se/one/a/essilorluxottica/essilorluxottica-disclosure-of-share-capital-and-voting-rights-outstanding-as-of-september-30-2026-5378f0e7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Revenue: revenue growth at 9.0% in Q3, +7.2% at constant currency (comunicado completo, 9 páginas)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https://ml-eu.globenewswire.com/Resource/Download/c5da9c00-4bab-4128-9302-51baad79fb55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announces S&amp;P Global's rating upgrade to 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https://mfn.se/one/a/essilorluxottica/essilorluxottica-announces-sandp-globals-rating-upgrade-to-a-e3dd2ab3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 Paris EssiLux reports a surge in nine-month revenues exceeding forecasts (conferencia del 20-oct)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https://en.ilsole24ore.com/art/in-paris-essilux-reports-a-surge-in-nine-month-revenues-exceeding-forecasts-AJpXz5pB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trimestrale e rally: Milleri e gli smart glasses (conferencia del 20-oct)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https://forbes.it/2026/10/21/essilorluxottica-trimestrale-rally-milleri-smart-glasses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transactions in own shares (recompra del 21-sep-2026: 74.083 acciones a 140,33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https://mfn.se/one/a/essilorluxottica/essilorluxottica-disclosure-of-transactions-in-own-shares-ea93932c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Outstanding as of June 30, 2026 (459.591.575 derechos de voto reales)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https://mfn.se/one/a/essilorluxottica/essilorluxottica-disclosure-of-share-capital-and-voting-rights-outstanding-as-of-june-30-2026-d7e3ef92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 Luxottica Q3 2026: Revenue 7.5bln (exp. 7.33bln), Revenue ex-FX +7.2% (exp. +6.3%)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https://www.newsquawk.com/headlines/essilorluxottica-el-fp-q3-2026-eur-revenue-75bln-exp-733bln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Eyewear Market Size, Share &amp; Forecast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https://www.kenresearch.com/global-eyewear-market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Eyewear Market Size report 2025-2034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https://www.gminsights.com/industry-analysis/eyewear-Market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 Maria Del Vecchio resigns from all positions at EssilorLuxottica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https://www.ansa.it/english/news/2026/08/25/leonardo-maria-del-vecchio-resigns-from-all-positions-at-essilorluxottica_8d55e889-3163-4cda-a78d-b1892cc8a63b.html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Board of Directors unanimously reaffirms confidence in the Company's leadership and strategy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https://mfn.se/one/a/essilorluxottica/essilorluxottica-essilorluxottica-board-of-directors-unanimously-reaffirms-confidence-in-the-companys-leadership-and-strategy-fbd56673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falls as Goldman cuts to Neutral on slowing AI glasses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https://www.investing.com/news/stock-market-news/essilorluxottica-falls-as-goldman-cuts-to-neutral-on-slowing-ai-glasses-outlook-4789856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Is the Second-Largest Eyeglass Lensmaker and the Dominant Leader in Mask Blanks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https://www.morningstar.com/company-reports/1485209-hoya-is-the-second-largest-eyeglass-lensmaker-and-the-dominant-leader-in-mask-blanks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a 76.72% stake in GrandVision from HAL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https://echanges.dila.gouv.fr/OPENDATA/AMF/MKW/2019/07/FCMKW114936_20190731.pdf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Ray-Ban maker EssilorLuxottica falls 5.7% after Google plans AI glasses launch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Torre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https://torre.news/ray-ban-maker-essilorluxottica-falls-57-after-google-plans-ai-glasses-launch-europe-markets-close-lower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Aktie: Strafuntersuchung zu Smart-Glasses-Missbrauch (Kepler rebaja a Reducir)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https://www.finanztrends.de/news/essilorluxottica-aktie-strafuntersuchung-zu-smart-glasses-missbrauch/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Financials –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comunicado de resultados del 2T26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https://www.sec.gov/Archives/edgar/data/0001167379/000116737926000030/q22026pressrelease.htm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https://www.sec.gov/Archives/edgar/data/711404/000162828025055615/coo-20251031.htm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Scalata di Mps a Mediobanca: indagati Caltagirone, Milleri e Lovaglio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LaPresse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https://www.lapresse.it/economia/2025/11/27/banche-caltagirone-milleri-e-lovaglio-indagati-per-scalata-di-mps-a-mediobanca/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slips as doubts linger over smart glasses growth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https://www.investing.com/news/stock-market-news/essilorluxottica-slips-as-doubts-linger-over-smart-glasses-growth-4631576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and Meta further advance AI glasses category with new products revealed at Meta Connect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https://mfn.se/one/a/essilorluxottica/essilorluxottica-and-meta-further-advance-ai-glasses-category-with-new-products-revealed-at-meta-connect-92772db3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Delfin, compra de 100.000 acciones a 164,10 EUR (29-jul-2026) y resto de avisos de 12 meses en la BDIF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https://bdif.amf-france.org/back/api/v1/documents/2026/2026DD1130261/148BE94CA26BBB0A661DCE3ECAFE1171A59603A092B6E4278FD1333826AE8DB3.pdf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Late Italian billionaire Leonardo Del Vecchio's heirs weigh a bank-funded buyout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Billionaires.Africa (cita a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https://www.billionaires.africa/2026/10/16/late-italian-billionaire-leonardo-del-vecchios-heirs-weigh-a-bank-funded-buyout/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Alerte AFG n° 25: EssilorLuxottica, assemblée générale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https://www.afg.asso.fr/app/uploads/2026/04/Div-n°-6493_04-_Alerte-n°-25-ESSILOR.pdf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heir buys out siblings in €10 billion deal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https://qz.com/essilorluxottica-del-vecchio-heir-sibling-buyout-delfin-042726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Swati Piramal, compra de 250 acciones a 146,15 EUR (29-sep-2026)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https://bdif.amf-france.org/back/api/v1/documents/2026/2026DD1141092/4170BD69992E4CB11C095D5B4FBD517DE0C26CDEC5C6AD9A988AF3395BF8B460.pdf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declaraciones de directivos de EssilorLuxottica (consulta del 26-oct-2026; la última, del 30-sep)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https://bdif.amf-france.org/back/api/v1/informations?RechercheTexte=ESSILORLUXOTTICA&amp;TypesInformation=DD&amp;From=0&amp;Size=15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EL.PA, EXSA.DE y EXV4.DE: históricos diarios (precio, rentabilidades, betas, cierres de ejercicio) hasta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https://finance.yahoo.com/quote/EL.PA/history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Financial Data, Forecasts (estimaciones NIIF; página del 20-oct, antes de las ventas del 3T)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vencimiento residual de 10 años (3,39 %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Aktie: BofA senkt Kursziel auf 205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https://goldesel.de/aktien/news/essilorluxottica-aktie-bofa-senkt-kursziel-auf-205-euro-bleibt-bei-kaufen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Stifel réduit sa cible sur EssilorLuxottica mais reste à l’achat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https://www.optionfinance.fr/info-financiere-en-continu/d/2026-09-29-stifel-reduit-sa-cible-sur-essilorluxottica-mais-reste-a-lachat.html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Company Update tras la compra de GN Hearing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Intermonte SIM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https://www.websim.it/static/upload/amp/amplifon-17-03-26.pdf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Annual Report 2024 (Shopko Optical)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Q3/9M 2025 Revenue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https://www.essilorluxottica.com/cap/content/262766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https://via.ritzau.dk/ir-files/13560112/14774039/17104/Demant%20Annual%20Report%202025.pdf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Annual Report 2025/26 –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https://www.sonova.com/wp-content/uploads/2026/05/08_Sonova_AR_25-26_Finance_en.pdf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Coloplast y Fielmann: informes anuales (comparables de los informes del repo de 8-14 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https://www.straumann.com/content/dam/media-center/group/en/documents/annual-report/2025/StraumannGroup-Press-Release-FY2025.pdf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consensus (23 analistas, objetivo medio 215,91 EUR, 139-305)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EPA:EL Analyst Forecast (BPA 2026e medio 7,23 EUR, 20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Aktie: Q3-Umsatz übertrifft Erwartungen, Analysten bleiben uneins (DZ Bank, UBS, Jefferies, Goldman, RBC)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https://goldesel.de/aktien/news/essilorluxottica-aktie-goldman-hebt-kursziel-an-jefferies-senkt-auf-225-euro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croissance au rendez-vous, EssilorLuxottica flambe (Bernstein, Jefferies, Deutsche Bank, Baader)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https://www.optionfinance.fr/info-financiere-en-continu/d/2026-10-21-la-croissance-au-rendez-vous-essilorluxottica-flambe.html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(FR0000121667): ficha con recomendaciones de 23 analistas (19 comprar, 3 mantener, 1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https://app.getquin.com/es/acciones/FR0000121667/essilorluxottica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EssilorLuxottica: hilos del 21 al 24-oct-2026 (Si haut si vite; Tout le monde à l'achat; rachat massif de shorts; Kepler devrait se cacher)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EssilorLuxottica: hilo sobre la rebaja de Kepler Cheuvreux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https://www.boursorama.com/bourse/forum/1rPEL/detail/468456482/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noticias y análisis (RSS de artículos)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https://seekingalpha.com/api/sa/combined/ESLOY.xml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89,4 %</w:t>
      </w:r>
      <w:r>
        <w:t xml:space="preserve"> · Secciones con menos del 60 % de campos cubiertos: </w:t>
      </w:r>
      <w:r>
        <w:rPr>
          <w:b/>
          <w:bCs/>
        </w:rPr>
        <w:t xml:space="preserve">ninguna</w:t>
      </w:r>
      <w:r>
        <w:t xml:space="preserve"> · Generado el 26 oct 2026.</w:t>
      </w:r>
    </w:p>
    <w:p>
      <w:pPr>
        <w:pStyle w:val="Nota"/>
        <w:spacing w:after="100"/>
      </w:pPr>
      <w:r>
        <w:t xml:space="preserve">Cotiza en Euronext París en EUR y publica en EUR (NIIF-UE): tipo 1. Cuentas 2020-2024 del ESEF del grupo (LEI 549300M3VH1A3ER1TB49) extraído con cuentas.mjs el 26-oct; 2025 del documento de registro universal depositado en la AMF (D.26-0067), porque filings.xbrl.org aún no tiene 2025; 1S26 del comunicado depositado en la AMF; 3T26 del comunicado de ventas del 20-oct (solo ventas) [2, 3, 7, 12]. El precio es el cierre del 23-oct-2026 (181,20 EUR, Euronext París): a la hora del análisis (26-oct, 09:35) la sesión del día no había cerrado. La empresa solo publica cuentas semestrales: la sección de trimestres va por semestres y el LTM sigue siendo a junio de 2026. El consenso de BPA de MarketScreener es NIIF y de antes del 3T; para compararlo con nuestro BPA ajustado le sumamos la amortización de compras neta de 2025 (647 M), estimación propia, y lo contrastamos con Stock Analysis (BPA ajustado 2026e de 7,23 EUR) [42, 58]. Los comparables vienen de los informes del repo de 9-14 de octubre, llevados al cierre del 23-oct con la misma deuda neta; el PER de cada uno está en su propia base. El objetivo a 12 meses y la historia del PER van los dos en BPA ajustado (sin la amortización de compras), la base que publica la empresa. La transcripción de la conferencia del 3T no estaba accesible: se usa la prensa que la cubrió.</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EssilorLuxottica Société anonyme (EL)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181,20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(138,30 – 323,80)</c:v>
                </c:pt>
                <c:pt idx="1">
                  <c:v>Precio objetivo de los analistas (139,00 – 305,00)</c:v>
                </c:pt>
                <c:pt idx="2">
                  <c:v>Comparables: EV/EBITDA NTM (158,54 – 205,91)</c:v>
                </c:pt>
                <c:pt idx="3">
                  <c:v>Comparables: PER NTM (142,01 – 202,48)</c:v>
                </c:pt>
                <c:pt idx="4">
                  <c:v>Transacciones precedentes (EV/ventas) (112,63 – 250,62)</c:v>
                </c:pt>
                <c:pt idx="5">
                  <c:v>DCF (WACC y g ± 0,5) (112,78 – 168,61)</c:v>
                </c:pt>
                <c:pt idx="6">
                  <c:v>Escenarios (bajista – alcista) (90,71 – 159,97)</c:v>
                </c:pt>
                <c:pt idx="7">
                  <c:v>DCF con la prima implícita del mercado (4,2 %)</c:v>
                </c:pt>
                <c:pt idx="8">
                  <c:v>Precio actual (181,20)</c:v>
                </c:pt>
              </c:strCache>
            </c:strRef>
          </c:cat>
          <c:val>
            <c:numRef>
              <c:f>Hoja1!$B$2:$B$10</c:f>
              <c:numCache>
                <c:formatCode>#,##0</c:formatCode>
                <c:ptCount val="9"/>
                <c:pt idx="0">
                  <c:v>138.3</c:v>
                </c:pt>
                <c:pt idx="1">
                  <c:v>139</c:v>
                </c:pt>
                <c:pt idx="2">
                  <c:v>158.54</c:v>
                </c:pt>
                <c:pt idx="3">
                  <c:v>142.01</c:v>
                </c:pt>
                <c:pt idx="4">
                  <c:v>112.63</c:v>
                </c:pt>
                <c:pt idx="5">
                  <c:v>112.78</c:v>
                </c:pt>
                <c:pt idx="6">
                  <c:v>90.71</c:v>
                </c:pt>
                <c:pt idx="7">
                  <c:v>155.81</c:v>
                </c:pt>
                <c:pt idx="8">
                  <c:v>180.29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(138,30 – 323,80)</c:v>
                </c:pt>
                <c:pt idx="1">
                  <c:v>Precio objetivo de los analistas (139,00 – 305,00)</c:v>
                </c:pt>
                <c:pt idx="2">
                  <c:v>Comparables: EV/EBITDA NTM (158,54 – 205,91)</c:v>
                </c:pt>
                <c:pt idx="3">
                  <c:v>Comparables: PER NTM (142,01 – 202,48)</c:v>
                </c:pt>
                <c:pt idx="4">
                  <c:v>Transacciones precedentes (EV/ventas) (112,63 – 250,62)</c:v>
                </c:pt>
                <c:pt idx="5">
                  <c:v>DCF (WACC y g ± 0,5) (112,78 – 168,61)</c:v>
                </c:pt>
                <c:pt idx="6">
                  <c:v>Escenarios (bajista – alcista) (90,71 – 159,97)</c:v>
                </c:pt>
                <c:pt idx="7">
                  <c:v>DCF con la prima implícita del mercado (4,2 %)</c:v>
                </c:pt>
                <c:pt idx="8">
                  <c:v>Precio actual (181,20)</c:v>
                </c:pt>
              </c:strCache>
            </c:strRef>
          </c:cat>
          <c:val>
            <c:numRef>
              <c:f>Hoja1!$C$2:$C$10</c:f>
              <c:numCache>
                <c:formatCode>#,##0</c:formatCode>
                <c:ptCount val="9"/>
                <c:pt idx="0">
                  <c:v>185.5</c:v>
                </c:pt>
                <c:pt idx="1">
                  <c:v>166</c:v>
                </c:pt>
                <c:pt idx="2">
                  <c:v>47.370000000000005</c:v>
                </c:pt>
                <c:pt idx="3">
                  <c:v>60.47</c:v>
                </c:pt>
                <c:pt idx="4">
                  <c:v>137.99</c:v>
                </c:pt>
                <c:pt idx="5">
                  <c:v>55.83000000000001</c:v>
                </c:pt>
                <c:pt idx="6">
                  <c:v>69.26</c:v>
                </c:pt>
                <c:pt idx="7">
                  <c:v>51.43000000000001</c:v>
                </c:pt>
                <c:pt idx="8">
                  <c:v>1.8200000000000216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Professional Solutions</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11770</c:v>
                </c:pt>
                <c:pt idx="1">
                  <c:v>12199</c:v>
                </c:pt>
                <c:pt idx="2">
                  <c:v>12547</c:v>
                </c:pt>
                <c:pt idx="3">
                  <c:v>13600</c:v>
                </c:pt>
              </c:numCache>
            </c:numRef>
          </c:val>
        </c:ser>
        <c:ser>
          <c:idx val="1"/>
          <c:order val="1"/>
          <c:tx>
            <c:strRef>
              <c:f>Hoja1!$C$1</c:f>
              <c:strCache>
                <c:ptCount val="1"/>
                <c:pt idx="0">
                  <c:v>Direct to Consumer</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12724</c:v>
                </c:pt>
                <c:pt idx="1">
                  <c:v>13195</c:v>
                </c:pt>
                <c:pt idx="2">
                  <c:v>13960</c:v>
                </c:pt>
                <c:pt idx="3">
                  <c:v>14891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Professional Solutions</c:v>
                </c:pt>
                <c:pt idx="1">
                  <c:v>Direct to Consumer</c:v>
                </c:pt>
              </c:strCache>
            </c:strRef>
          </c:cat>
          <c:val>
            <c:numRef>
              <c:f>Hoja1!$B$2:$B$3</c:f>
              <c:numCache>
                <c:formatCode>General</c:formatCode>
                <c:ptCount val="2"/>
                <c:pt idx="0">
                  <c:v>47.7</c:v>
                </c:pt>
                <c:pt idx="1">
                  <c:v>52.3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EMEA</c:v>
                </c:pt>
                <c:pt idx="2">
                  <c:v>Asia-Pacífico</c:v>
                </c:pt>
                <c:pt idx="3">
                  <c:v>Latinoamérica</c:v>
                </c:pt>
              </c:strCache>
            </c:strRef>
          </c:cat>
          <c:val>
            <c:numRef>
              <c:f>Hoja1!$B$2:$B$5</c:f>
              <c:numCache>
                <c:formatCode>0"%"</c:formatCode>
                <c:ptCount val="4"/>
                <c:pt idx="0">
                  <c:v>44.9</c:v>
                </c:pt>
                <c:pt idx="1">
                  <c:v>37.8</c:v>
                </c:pt>
                <c:pt idx="2">
                  <c:v>12</c:v>
                </c:pt>
                <c:pt idx="3">
                  <c:v>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EssilorLuxottica</c:v>
                </c:pt>
                <c:pt idx="1">
                  <c:v>Hoya</c:v>
                </c:pt>
                <c:pt idx="2">
                  <c:v>Carl Zeiss Vision</c:v>
                </c:pt>
                <c:pt idx="3">
                  <c:v>Alcon</c:v>
                </c:pt>
                <c:pt idx="4">
                  <c:v>Cooper Companies</c:v>
                </c:pt>
                <c:pt idx="5">
                  <c:v>Fielmann</c:v>
                </c:pt>
                <c:pt idx="6">
                  <c:v>Safilo</c:v>
                </c:pt>
              </c:strCache>
            </c:strRef>
          </c:cat>
          <c:val>
            <c:numRef>
              <c:f>Hoja1!$B$2:$B$8</c:f>
              <c:numCache>
                <c:formatCode>0.0"%"</c:formatCode>
                <c:ptCount val="7"/>
                <c:pt idx="0">
                  <c:v>12.7</c:v>
                </c:pt>
                <c:pt idx="1">
                  <c:v>29.1</c:v>
                </c:pt>
                <c:pt idx="3">
                  <c:v>13.1</c:v>
                </c:pt>
                <c:pt idx="4">
                  <c:v>16.7</c:v>
                </c:pt>
                <c:pt idx="5">
                  <c:v>13.5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14429</c:v>
                </c:pt>
                <c:pt idx="1">
                  <c:v>19820</c:v>
                </c:pt>
                <c:pt idx="2">
                  <c:v>24494</c:v>
                </c:pt>
                <c:pt idx="3">
                  <c:v>25395</c:v>
                </c:pt>
                <c:pt idx="4">
                  <c:v>26508</c:v>
                </c:pt>
                <c:pt idx="5">
                  <c:v>28491</c:v>
                </c:pt>
                <c:pt idx="6">
                  <c:v>30200</c:v>
                </c:pt>
                <c:pt idx="7">
                  <c:v>32163</c:v>
                </c:pt>
                <c:pt idx="8">
                  <c:v>34093</c:v>
                </c:pt>
                <c:pt idx="9">
                  <c:v>35968</c:v>
                </c:pt>
                <c:pt idx="10">
                  <c:v>37767</c:v>
                </c:pt>
                <c:pt idx="11">
                  <c:v>39466</c:v>
                </c:pt>
                <c:pt idx="12">
                  <c:v>41045</c:v>
                </c:pt>
                <c:pt idx="13">
                  <c:v>42482</c:v>
                </c:pt>
                <c:pt idx="14">
                  <c:v>43756</c:v>
                </c:pt>
                <c:pt idx="15">
                  <c:v>45069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2607</c:v>
                </c:pt>
                <c:pt idx="1">
                  <c:v>4787</c:v>
                </c:pt>
                <c:pt idx="2">
                  <c:v>6127</c:v>
                </c:pt>
                <c:pt idx="3">
                  <c:v>6148</c:v>
                </c:pt>
                <c:pt idx="4">
                  <c:v>6546</c:v>
                </c:pt>
                <c:pt idx="5">
                  <c:v>6741</c:v>
                </c:pt>
                <c:pt idx="6">
                  <c:v>7278</c:v>
                </c:pt>
                <c:pt idx="7">
                  <c:v>7816</c:v>
                </c:pt>
                <c:pt idx="8">
                  <c:v>8319</c:v>
                </c:pt>
                <c:pt idx="9">
                  <c:v>8776</c:v>
                </c:pt>
                <c:pt idx="10">
                  <c:v>9215</c:v>
                </c:pt>
                <c:pt idx="11">
                  <c:v>9630</c:v>
                </c:pt>
                <c:pt idx="12">
                  <c:v>10015</c:v>
                </c:pt>
                <c:pt idx="13">
                  <c:v>10366</c:v>
                </c:pt>
                <c:pt idx="14">
                  <c:v>10676</c:v>
                </c:pt>
                <c:pt idx="15">
                  <c:v>10997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56.7</c:v>
                </c:pt>
                <c:pt idx="1">
                  <c:v>61.7</c:v>
                </c:pt>
                <c:pt idx="2">
                  <c:v>63.6</c:v>
                </c:pt>
                <c:pt idx="3">
                  <c:v>63.2</c:v>
                </c:pt>
                <c:pt idx="4">
                  <c:v>63.4</c:v>
                </c:pt>
                <c:pt idx="5">
                  <c:v>60.6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18.1</c:v>
                </c:pt>
                <c:pt idx="1">
                  <c:v>24.2</c:v>
                </c:pt>
                <c:pt idx="2">
                  <c:v>25</c:v>
                </c:pt>
                <c:pt idx="3">
                  <c:v>24.2</c:v>
                </c:pt>
                <c:pt idx="4">
                  <c:v>24.7</c:v>
                </c:pt>
                <c:pt idx="5">
                  <c:v>23.7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c:v>
                </c:pt>
                <c:pt idx="1">
                  <c:v>11.6</c:v>
                </c:pt>
                <c:pt idx="2">
                  <c:v>12.9</c:v>
                </c:pt>
                <c:pt idx="3">
                  <c:v>12.5</c:v>
                </c:pt>
                <c:pt idx="4">
                  <c:v>13</c:v>
                </c:pt>
                <c:pt idx="5">
                  <c:v>12.7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0.6</c:v>
                </c:pt>
                <c:pt idx="1">
                  <c:v>7.3</c:v>
                </c:pt>
                <c:pt idx="2">
                  <c:v>8.8</c:v>
                </c:pt>
                <c:pt idx="3">
                  <c:v>9</c:v>
                </c:pt>
                <c:pt idx="4">
                  <c:v>8.9</c:v>
                </c:pt>
                <c:pt idx="5">
                  <c:v>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5.5</c:v>
                </c:pt>
                <c:pt idx="3">
                  <c:v>9.5</c:v>
                </c:pt>
                <c:pt idx="4">
                  <c:v>5.7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7.3</c:v>
                </c:pt>
                <c:pt idx="3">
                  <c:v>15.2</c:v>
                </c:pt>
                <c:pt idx="4">
                  <c:v>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52</c:v>
                </c:pt>
                <c:pt idx="1">
                  <c:v>43</c:v>
                </c:pt>
                <c:pt idx="2">
                  <c:v>40</c:v>
                </c:pt>
                <c:pt idx="3">
                  <c:v>42</c:v>
                </c:pt>
                <c:pt idx="4">
                  <c:v>45</c:v>
                </c:pt>
                <c:pt idx="5">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113</c:v>
                </c:pt>
                <c:pt idx="1">
                  <c:v>118</c:v>
                </c:pt>
                <c:pt idx="2">
                  <c:v>114</c:v>
                </c:pt>
                <c:pt idx="3">
                  <c:v>107</c:v>
                </c:pt>
                <c:pt idx="4">
                  <c:v>119</c:v>
                </c:pt>
                <c:pt idx="5">
                  <c:v>115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109</c:v>
                </c:pt>
                <c:pt idx="1">
                  <c:v>107</c:v>
                </c:pt>
                <c:pt idx="2">
                  <c:v>94</c:v>
                </c:pt>
                <c:pt idx="3">
                  <c:v>93</c:v>
                </c:pt>
                <c:pt idx="4">
                  <c:v>100</c:v>
                </c:pt>
                <c:pt idx="5">
                  <c:v>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1842</c:v>
                </c:pt>
                <c:pt idx="1">
                  <c:v>2793</c:v>
                </c:pt>
                <c:pt idx="2">
                  <c:v>2256</c:v>
                </c:pt>
                <c:pt idx="3">
                  <c:v>2394</c:v>
                </c:pt>
                <c:pt idx="4">
                  <c:v>2412</c:v>
                </c:pt>
                <c:pt idx="5">
                  <c:v>2796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85</c:v>
                </c:pt>
                <c:pt idx="1">
                  <c:v>1448</c:v>
                </c:pt>
                <c:pt idx="2">
                  <c:v>2152</c:v>
                </c:pt>
                <c:pt idx="3">
                  <c:v>2289</c:v>
                </c:pt>
                <c:pt idx="4">
                  <c:v>2359</c:v>
                </c:pt>
                <c:pt idx="5">
                  <c:v>2315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0.8</c:v>
                </c:pt>
                <c:pt idx="1">
                  <c:v>4.1</c:v>
                </c:pt>
                <c:pt idx="2">
                  <c:v>5.1</c:v>
                </c:pt>
                <c:pt idx="3">
                  <c:v>5.3</c:v>
                </c:pt>
                <c:pt idx="4">
                  <c:v>5.2</c:v>
                </c:pt>
                <c:pt idx="5">
                  <c:v>5.4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7.8</c:v>
                </c:pt>
                <c:pt idx="1">
                  <c:v>7.8</c:v>
                </c:pt>
                <c:pt idx="2">
                  <c:v>7.8</c:v>
                </c:pt>
                <c:pt idx="3">
                  <c:v>7.8</c:v>
                </c:pt>
                <c:pt idx="4">
                  <c:v>7.8</c:v>
                </c:pt>
                <c:pt idx="5">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0.3</c:v>
                </c:pt>
                <c:pt idx="1">
                  <c:v>4.3</c:v>
                </c:pt>
                <c:pt idx="2">
                  <c:v>5.9</c:v>
                </c:pt>
                <c:pt idx="3">
                  <c:v>6</c:v>
                </c:pt>
                <c:pt idx="4">
                  <c:v>6</c:v>
                </c:pt>
                <c:pt idx="5">
                  <c:v>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1.23</c:v>
                </c:pt>
                <c:pt idx="1">
                  <c:v>2.03</c:v>
                </c:pt>
                <c:pt idx="2">
                  <c:v>1.67</c:v>
                </c:pt>
                <c:pt idx="3">
                  <c:v>1.48</c:v>
                </c:pt>
                <c:pt idx="4">
                  <c:v>1.68</c:v>
                </c:pt>
                <c:pt idx="5">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133</c:v>
                </c:pt>
                <c:pt idx="1">
                  <c:v>7078</c:v>
                </c:pt>
                <c:pt idx="2">
                  <c:v>965</c:v>
                </c:pt>
                <c:pt idx="3">
                  <c:v>114</c:v>
                </c:pt>
                <c:pt idx="4">
                  <c:v>1755</c:v>
                </c:pt>
                <c:pt idx="5">
                  <c:v>911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503</c:v>
                </c:pt>
                <c:pt idx="1">
                  <c:v>138</c:v>
                </c:pt>
                <c:pt idx="2">
                  <c:v>454</c:v>
                </c:pt>
                <c:pt idx="3">
                  <c:v>487</c:v>
                </c:pt>
                <c:pt idx="4">
                  <c:v>1163</c:v>
                </c:pt>
                <c:pt idx="5">
                  <c:v>547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159</c:v>
                </c:pt>
                <c:pt idx="1">
                  <c:v>317</c:v>
                </c:pt>
                <c:pt idx="2">
                  <c:v>431</c:v>
                </c:pt>
                <c:pt idx="3">
                  <c:v>271</c:v>
                </c:pt>
                <c:pt idx="4">
                  <c:v>274</c:v>
                </c:pt>
                <c:pt idx="5">
                  <c:v>376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Independiente</c:v>
                </c:pt>
                <c:pt idx="3">
                  <c:v>Otro externo</c:v>
                </c:pt>
              </c:strCache>
            </c:strRef>
          </c:cat>
          <c:val>
            <c:numRef>
              <c:f>Hoja1!$B$2:$B$5</c:f>
              <c:numCache>
                <c:formatCode>0</c:formatCode>
                <c:ptCount val="4"/>
                <c:pt idx="0">
                  <c:v>2</c:v>
                </c:pt>
                <c:pt idx="1">
                  <c:v>3</c:v>
                </c:pt>
                <c:pt idx="2">
                  <c:v>7</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Delfin (herederos de Leonardo Del Vecchio)</c:v>
                </c:pt>
                <c:pt idx="1">
                  <c:v>Empleados</c:v>
                </c:pt>
                <c:pt idx="2">
                  <c:v>Autocartera</c:v>
                </c:pt>
                <c:pt idx="3">
                  <c:v>Inversores institucionales no residentes</c:v>
                </c:pt>
              </c:strCache>
            </c:strRef>
          </c:cat>
          <c:val>
            <c:numRef>
              <c:f>Hoja1!$B$2:$B$5</c:f>
              <c:numCache>
                <c:formatCode>0.0"%"</c:formatCode>
                <c:ptCount val="4"/>
                <c:pt idx="0">
                  <c:v>32.4</c:v>
                </c:pt>
                <c:pt idx="1">
                  <c:v>4.4</c:v>
                </c:pt>
                <c:pt idx="2">
                  <c:v>1.3</c:v>
                </c:pt>
                <c:pt idx="3">
                  <c:v>47.5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-6.7</c:v>
                </c:pt>
                <c:pt idx="1">
                  <c:v>8.5</c:v>
                </c:pt>
                <c:pt idx="2">
                  <c:v>-2.6</c:v>
                </c:pt>
                <c:pt idx="3">
                  <c:v>25.4</c:v>
                </c:pt>
                <c:pt idx="4">
                  <c:v>-5.2</c:v>
                </c:pt>
                <c:pt idx="5">
                  <c:v>47.9</c:v>
                </c:pt>
                <c:pt idx="6">
                  <c:v>-8.1</c:v>
                </c:pt>
                <c:pt idx="7">
                  <c:v>9.3</c:v>
                </c:pt>
                <c:pt idx="8">
                  <c:v>35.3</c:v>
                </c:pt>
                <c:pt idx="9">
                  <c:v>16.4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22.5</c:v>
                </c:pt>
                <c:pt idx="1">
                  <c:v>19.3</c:v>
                </c:pt>
                <c:pt idx="2">
                  <c:v>13.8</c:v>
                </c:pt>
                <c:pt idx="3">
                  <c:v>14.6</c:v>
                </c:pt>
                <c:pt idx="4">
                  <c:v>18.3</c:v>
                </c:pt>
                <c:pt idx="5">
                  <c:v>20.3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18.3</c:v>
                </c:pt>
                <c:pt idx="1">
                  <c:v>18.3</c:v>
                </c:pt>
                <c:pt idx="2">
                  <c:v>18.3</c:v>
                </c:pt>
                <c:pt idx="3">
                  <c:v>18.3</c:v>
                </c:pt>
                <c:pt idx="4">
                  <c:v>18.3</c:v>
                </c:pt>
                <c:pt idx="5">
                  <c:v>18.3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EssilorLuxottica</c:v>
                </c:pt>
                <c:pt idx="1">
                  <c:v>Hoya</c:v>
                </c:pt>
                <c:pt idx="2">
                  <c:v>Alcon</c:v>
                </c:pt>
                <c:pt idx="3">
                  <c:v>Cooper Companies</c:v>
                </c:pt>
                <c:pt idx="4">
                  <c:v>Demant</c:v>
                </c:pt>
                <c:pt idx="5">
                  <c:v>Sonova</c:v>
                </c:pt>
                <c:pt idx="6">
                  <c:v>Fielmann</c:v>
                </c:pt>
                <c:pt idx="7">
                  <c:v>Straumann</c:v>
                </c:pt>
                <c:pt idx="8">
                  <c:v>Coloplast</c:v>
                </c:pt>
              </c:strCache>
            </c:strRef>
          </c:cat>
          <c:val>
            <c:numRef>
              <c:f>Hoja1!$B$2:$B$10</c:f>
              <c:numCache>
                <c:formatCode>0.0"x"</c:formatCode>
                <c:ptCount val="9"/>
                <c:pt idx="0">
                  <c:v>12.7</c:v>
                </c:pt>
                <c:pt idx="3">
                  <c:v>11.4</c:v>
                </c:pt>
                <c:pt idx="4">
                  <c:v>13.7</c:v>
                </c:pt>
                <c:pt idx="5">
                  <c:v>15.8</c:v>
                </c:pt>
                <c:pt idx="6">
                  <c:v>7</c:v>
                </c:pt>
                <c:pt idx="8">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EssilorLuxottica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7.1</c:v>
                </c:pt>
              </c:numCache>
            </c:numRef>
          </c:xVal>
          <c:yVal>
            <c:numRef>
              <c:f>Hoja1!$C$2</c:f>
              <c:numCache>
                <c:formatCode>0.0"x"</c:formatCode>
                <c:ptCount val="1"/>
                <c:pt idx="0">
                  <c:v>12.7</c:v>
                </c:pt>
              </c:numCache>
            </c:numRef>
          </c:yVal>
          <c:smooth val="0"/>
        </c:ser>
        <c:ser>
          <c:idx val="1"/>
          <c:order val="1"/>
          <c:tx>
            <c:strRef>
              <c:f>Hoja1!$A$3</c:f>
              <c:strCache>
                <c:ptCount val="1"/>
                <c:pt idx="0">
                  <c:v>Cooper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3.2</c:v>
                </c:pt>
              </c:numCache>
            </c:numRef>
          </c:xVal>
          <c:yVal>
            <c:numRef>
              <c:f>Hoja1!$C$3</c:f>
              <c:numCache>
                <c:formatCode>0.0"x"</c:formatCode>
                <c:ptCount val="1"/>
                <c:pt idx="0">
                  <c:v>11.4</c:v>
                </c:pt>
              </c:numCache>
            </c:numRef>
          </c:yVal>
          <c:smooth val="0"/>
        </c:ser>
        <c:ser>
          <c:idx val="2"/>
          <c:order val="2"/>
          <c:tx>
            <c:strRef>
              <c:f>Hoja1!$A$4</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10.6</c:v>
                </c:pt>
              </c:numCache>
            </c:numRef>
          </c:xVal>
          <c:yVal>
            <c:numRef>
              <c:f>Hoja1!$C$4</c:f>
              <c:numCache>
                <c:formatCode>0.0"x"</c:formatCode>
                <c:ptCount val="1"/>
                <c:pt idx="0">
                  <c:v>13.7</c:v>
                </c:pt>
              </c:numCache>
            </c:numRef>
          </c:yVal>
          <c:smooth val="0"/>
        </c:ser>
        <c:ser>
          <c:idx val="3"/>
          <c:order val="3"/>
          <c:tx>
            <c:strRef>
              <c:f>Hoja1!$A$5</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15.8</c:v>
                </c:pt>
              </c:numCache>
            </c:numRef>
          </c:yVal>
          <c:smooth val="0"/>
        </c:ser>
        <c:ser>
          <c:idx val="4"/>
          <c:order val="4"/>
          <c:tx>
            <c:strRef>
              <c:f>Hoja1!$A$6</c:f>
              <c:strCache>
                <c:ptCount val="1"/>
                <c:pt idx="0">
                  <c:v>Fielmann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7</c:v>
                </c:pt>
              </c:numCache>
            </c:numRef>
          </c:yVal>
          <c:smooth val="0"/>
        </c:ser>
        <c:ser>
          <c:idx val="5"/>
          <c:order val="5"/>
          <c:tx>
            <c:strRef>
              <c:f>Hoja1!$A$7</c:f>
              <c:strCache>
                <c:ptCount val="1"/>
                <c:pt idx="0">
                  <c:v>Coloplast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6.7</c:v>
                </c:pt>
              </c:numCache>
            </c:numRef>
          </c:xVal>
          <c:yVal>
            <c:numRef>
              <c:f>Hoja1!$C$7</c:f>
              <c:numCache>
                <c:formatCode>0.0"x"</c:formatCode>
                <c:ptCount val="1"/>
                <c:pt idx="0">
                  <c:v>14.2</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GN Hearing (audífonos)</c:v>
                </c:pt>
                <c:pt idx="1">
                  <c:v>Hologic (tecnología médica)</c:v>
                </c:pt>
                <c:pt idx="2">
                  <c:v>Xiidra (Novartis)</c:v>
                </c:pt>
                <c:pt idx="3">
                  <c:v>Generate Life Sciences</c:v>
                </c:pt>
                <c:pt idx="4">
                  <c:v>Shopko Optical (cadena óptica de EE. UU.)</c:v>
                </c:pt>
                <c:pt idx="5">
                  <c:v>GrandVision (76,72 %)</c:v>
                </c:pt>
              </c:strCache>
            </c:strRef>
          </c:cat>
          <c:val>
            <c:numRef>
              <c:f>Hoja1!$B$2:$B$7</c:f>
              <c:numCache>
                <c:formatCode>0.0"x"</c:formatCode>
                <c:ptCount val="6"/>
                <c:pt idx="0">
                  <c:v>10.5</c:v>
                </c:pt>
                <c:pt idx="1">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3321</c:v>
                </c:pt>
                <c:pt idx="1">
                  <c:v>3515</c:v>
                </c:pt>
                <c:pt idx="2">
                  <c:v>3758</c:v>
                </c:pt>
                <c:pt idx="3">
                  <c:v>3971</c:v>
                </c:pt>
                <c:pt idx="4">
                  <c:v>4215</c:v>
                </c:pt>
                <c:pt idx="5">
                  <c:v>4412</c:v>
                </c:pt>
                <c:pt idx="6">
                  <c:v>4597</c:v>
                </c:pt>
                <c:pt idx="7">
                  <c:v>4809</c:v>
                </c:pt>
                <c:pt idx="8">
                  <c:v>4962</c:v>
                </c:pt>
                <c:pt idx="9">
                  <c:v>5089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28156</c:v>
                </c:pt>
                <c:pt idx="1">
                  <c:v>49679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181,20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90.71</c:v>
                </c:pt>
                <c:pt idx="1">
                  <c:v>135.49</c:v>
                </c:pt>
                <c:pt idx="2">
                  <c:v>159.97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181,20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(138,30 – 323,80)</c:v>
                </c:pt>
                <c:pt idx="1">
                  <c:v>Precio objetivo de los analistas (139,00 – 305,00)</c:v>
                </c:pt>
                <c:pt idx="2">
                  <c:v>Comparables: EV/EBITDA NTM (158,54 – 205,91)</c:v>
                </c:pt>
                <c:pt idx="3">
                  <c:v>Comparables: PER NTM (142,01 – 202,48)</c:v>
                </c:pt>
                <c:pt idx="4">
                  <c:v>Transacciones precedentes (EV/ventas) (112,63 – 250,62)</c:v>
                </c:pt>
                <c:pt idx="5">
                  <c:v>DCF (WACC y g ± 0,5) (112,78 – 168,61)</c:v>
                </c:pt>
                <c:pt idx="6">
                  <c:v>Escenarios (bajista – alcista) (90,71 – 159,97)</c:v>
                </c:pt>
                <c:pt idx="7">
                  <c:v>DCF con la prima implícita del mercado (4,2 %)</c:v>
                </c:pt>
                <c:pt idx="8">
                  <c:v>Precio actual (181,20)</c:v>
                </c:pt>
              </c:strCache>
            </c:strRef>
          </c:cat>
          <c:val>
            <c:numRef>
              <c:f>Hoja1!$B$2:$B$10</c:f>
              <c:numCache>
                <c:formatCode>#,##0</c:formatCode>
                <c:ptCount val="9"/>
                <c:pt idx="0">
                  <c:v>138.3</c:v>
                </c:pt>
                <c:pt idx="1">
                  <c:v>139</c:v>
                </c:pt>
                <c:pt idx="2">
                  <c:v>158.54</c:v>
                </c:pt>
                <c:pt idx="3">
                  <c:v>142.01</c:v>
                </c:pt>
                <c:pt idx="4">
                  <c:v>112.63</c:v>
                </c:pt>
                <c:pt idx="5">
                  <c:v>112.78</c:v>
                </c:pt>
                <c:pt idx="6">
                  <c:v>90.71</c:v>
                </c:pt>
                <c:pt idx="7">
                  <c:v>155.81</c:v>
                </c:pt>
                <c:pt idx="8">
                  <c:v>180.29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(138,30 – 323,80)</c:v>
                </c:pt>
                <c:pt idx="1">
                  <c:v>Precio objetivo de los analistas (139,00 – 305,00)</c:v>
                </c:pt>
                <c:pt idx="2">
                  <c:v>Comparables: EV/EBITDA NTM (158,54 – 205,91)</c:v>
                </c:pt>
                <c:pt idx="3">
                  <c:v>Comparables: PER NTM (142,01 – 202,48)</c:v>
                </c:pt>
                <c:pt idx="4">
                  <c:v>Transacciones precedentes (EV/ventas) (112,63 – 250,62)</c:v>
                </c:pt>
                <c:pt idx="5">
                  <c:v>DCF (WACC y g ± 0,5) (112,78 – 168,61)</c:v>
                </c:pt>
                <c:pt idx="6">
                  <c:v>Escenarios (bajista – alcista) (90,71 – 159,97)</c:v>
                </c:pt>
                <c:pt idx="7">
                  <c:v>DCF con la prima implícita del mercado (4,2 %)</c:v>
                </c:pt>
                <c:pt idx="8">
                  <c:v>Precio actual (181,20)</c:v>
                </c:pt>
              </c:strCache>
            </c:strRef>
          </c:cat>
          <c:val>
            <c:numRef>
              <c:f>Hoja1!$C$2:$C$10</c:f>
              <c:numCache>
                <c:formatCode>#,##0</c:formatCode>
                <c:ptCount val="9"/>
                <c:pt idx="0">
                  <c:v>185.5</c:v>
                </c:pt>
                <c:pt idx="1">
                  <c:v>166</c:v>
                </c:pt>
                <c:pt idx="2">
                  <c:v>47.370000000000005</c:v>
                </c:pt>
                <c:pt idx="3">
                  <c:v>60.47</c:v>
                </c:pt>
                <c:pt idx="4">
                  <c:v>137.99</c:v>
                </c:pt>
                <c:pt idx="5">
                  <c:v>55.83000000000001</c:v>
                </c:pt>
                <c:pt idx="6">
                  <c:v>69.26</c:v>
                </c:pt>
                <c:pt idx="7">
                  <c:v>51.43000000000001</c:v>
                </c:pt>
                <c:pt idx="8">
                  <c:v>1.8200000000000216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